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国家税务总局武汉市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</w:rPr>
        <w:t>江岸区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税务局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2025年，我局严格遵循《中华人民共和国政府信息公开条例》及相关规定，以持续提升政务公开工作质效为目标，紧扣服务经济社会发展大局，不断夯实公开基础、拓展公开渠道、规范公开流程，切实保障社会公众的知情权、参与权和监督权，有效发挥了以公开促落实、促规范、促服务的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年度，我局持续拓展和畅通政府信息主动公开渠道。通过武汉市税务局门户网站、湖北省电子税务局、湖北税务行政执法信息公示平台等核心线上载体，结合办税服务厅资料索取点、公告栏、电子显示屏等线下实体平台，及时、准确、全面地公开了机构职能、领导信息、政策法规、权力清单、发展规划、工作动态、税收数据、行政许可与处罚结果、欠税及非正常户公告、纳税信用信息、政府采购、人事招录等重点领域信息，确保了各项行政事务运行的透明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全年共依法受理政府信息公开申请28件。对所有申请均严格按照法定时限、程序和要求进行了登记、审查、处理和答复，办理过程规范有序，有效满足了申请人个性化的信息需求。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建立健全信息发布审核、动态更新和保密审查机制，强化信息资源的标准化、规范化管理，确保所公开信息的准确性、权威性和时效性。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着力加强线上公开主阵地建设，优化门户网站栏目设置与用户体验，提升信息发布的协同性和一致性。同时，巩固线下传统公开阵地，确保多平台信息同步、服务同质。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将政府信息公开工作纳入绩效管理，明确责任分工，加强内部监督与考核。畅通社会监督渠道，认真听取公众意见建议。组织开展相关业务培训，提升全局工作人员的公开意识和能力，为工作的长效开展提供了坚实保障。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000000" w:themeColor="text1"/>
        </w:rPr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三、收到和处理政府信息公开申请情况</w:t>
      </w:r>
    </w:p>
    <w:tbl>
      <w:tblPr>
        <w:tblStyle w:val="5"/>
        <w:tblW w:w="490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9"/>
        <w:gridCol w:w="782"/>
        <w:gridCol w:w="2797"/>
        <w:gridCol w:w="582"/>
        <w:gridCol w:w="582"/>
        <w:gridCol w:w="582"/>
        <w:gridCol w:w="582"/>
        <w:gridCol w:w="582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000000" w:themeColor="text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432" w:lineRule="auto"/>
        <w:jc w:val="center"/>
        <w:rPr>
          <w:rFonts w:ascii="宋体" w:hAnsi="宋体" w:eastAsia="宋体" w:cs="宋体"/>
          <w:color w:val="000000" w:themeColor="text1"/>
          <w:sz w:val="24"/>
        </w:rPr>
      </w:pPr>
    </w:p>
    <w:p>
      <w:pPr>
        <w:widowControl/>
        <w:spacing w:line="432" w:lineRule="auto"/>
        <w:jc w:val="center"/>
        <w:rPr>
          <w:rFonts w:ascii="宋体" w:hAnsi="宋体" w:eastAsia="宋体" w:cs="宋体"/>
          <w:color w:val="000000" w:themeColor="text1"/>
          <w:sz w:val="24"/>
        </w:rPr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color w:val="000000" w:themeColor="text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000000" w:themeColor="text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取得了一定成效，但也有一些不足，比如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领域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公开深度与公众期待仍有差距，尤其在涉及税收执法过程、项目结果细节等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；针对政府信息公开工作的培训较少，缺少系统学习和兄弟单位之间的横向沟通交流。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本年度，我们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针对上述问题进行改进：一是细化公开内容，对税收政策等分类予以明确，增强信息可读性和实用性；二是丰富解读形式，采用图文、问答、短视频等方式开展政策宣传，提升公众理解度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拓展公开内容与深度，在依法合规的前提下，逐步推动执法过程信息、重点项目进展、税收数据解读等内容公开，提升政务透明度和公信力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健全监督培训机制，定期开展信息公开业务培训与考核，强化各部门协同，完善公众反馈评价渠道，持续优化公开质量与服务体验，切实保障社会公众的知情权、参与权和监督权。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C7A88-69E0-40F8-9600-789DACE181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6825390-883C-441A-9CEF-D218DFBAB6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52E8FE-7570-4E7C-A4B8-3789194615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7D0ACC-3653-4D32-9385-C69A13E6DD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B7148DC-6E9B-4634-A74F-B75D991D3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A23F79E-8459-4F72-B4E9-72BB17309A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8B1E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EC518F"/>
    <w:rsid w:val="00ED577C"/>
    <w:rsid w:val="036739A7"/>
    <w:rsid w:val="08FF04E0"/>
    <w:rsid w:val="118648B3"/>
    <w:rsid w:val="13EA14F8"/>
    <w:rsid w:val="16195A89"/>
    <w:rsid w:val="1A70005D"/>
    <w:rsid w:val="1D8240A1"/>
    <w:rsid w:val="22A61174"/>
    <w:rsid w:val="238B1E27"/>
    <w:rsid w:val="23CC4AD4"/>
    <w:rsid w:val="246E2621"/>
    <w:rsid w:val="26C87F08"/>
    <w:rsid w:val="2B43387B"/>
    <w:rsid w:val="2CE150ED"/>
    <w:rsid w:val="2DB95A94"/>
    <w:rsid w:val="319C15DF"/>
    <w:rsid w:val="32A711A7"/>
    <w:rsid w:val="35A45C12"/>
    <w:rsid w:val="380214FF"/>
    <w:rsid w:val="397119C0"/>
    <w:rsid w:val="403D212B"/>
    <w:rsid w:val="42F3337D"/>
    <w:rsid w:val="460B0EC3"/>
    <w:rsid w:val="48D211F4"/>
    <w:rsid w:val="529062F8"/>
    <w:rsid w:val="53F6485F"/>
    <w:rsid w:val="53F77BA3"/>
    <w:rsid w:val="558A78DB"/>
    <w:rsid w:val="5B2B275C"/>
    <w:rsid w:val="5F0069B9"/>
    <w:rsid w:val="604F4960"/>
    <w:rsid w:val="616F2CA3"/>
    <w:rsid w:val="6AED6246"/>
    <w:rsid w:val="79514BAB"/>
    <w:rsid w:val="79FB1236"/>
    <w:rsid w:val="7CD95349"/>
    <w:rsid w:val="7E9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3</Pages>
  <Words>248</Words>
  <Characters>1418</Characters>
  <Lines>11</Lines>
  <Paragraphs>3</Paragraphs>
  <TotalTime>5</TotalTime>
  <ScaleCrop>false</ScaleCrop>
  <LinksUpToDate>false</LinksUpToDate>
  <CharactersWithSpaces>1663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董晨露</cp:lastModifiedBy>
  <cp:lastPrinted>2022-01-05T02:30:00Z</cp:lastPrinted>
  <dcterms:modified xsi:type="dcterms:W3CDTF">2026-01-19T06:35:22Z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