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国家税务总局武汉市</w:t>
      </w:r>
      <w:r>
        <w:rPr>
          <w:rFonts w:hint="eastAsia" w:ascii="方正小标宋简体" w:hAnsi="方正小标宋简体" w:eastAsia="方正小标宋简体" w:cs="方正小标宋简体"/>
          <w:b w:val="0"/>
          <w:bCs w:val="0"/>
          <w:sz w:val="44"/>
          <w:szCs w:val="44"/>
          <w:lang w:eastAsia="zh-CN"/>
        </w:rPr>
        <w:t>蔡甸区</w:t>
      </w:r>
      <w:r>
        <w:rPr>
          <w:rFonts w:hint="eastAsia" w:ascii="方正小标宋简体" w:hAnsi="方正小标宋简体" w:eastAsia="方正小标宋简体" w:cs="方正小标宋简体"/>
          <w:b w:val="0"/>
          <w:bCs w:val="0"/>
          <w:sz w:val="44"/>
          <w:szCs w:val="44"/>
        </w:rPr>
        <w:t>税务局</w:t>
      </w:r>
    </w:p>
    <w:p>
      <w:pPr>
        <w:pStyle w:val="4"/>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政府信息公开</w:t>
      </w:r>
      <w:r>
        <w:rPr>
          <w:rFonts w:hint="eastAsia" w:ascii="方正小标宋简体" w:hAnsi="方正小标宋简体" w:eastAsia="方正小标宋简体" w:cs="方正小标宋简体"/>
          <w:b w:val="0"/>
          <w:bCs w:val="0"/>
          <w:sz w:val="44"/>
          <w:szCs w:val="44"/>
          <w:lang w:eastAsia="zh-CN"/>
        </w:rPr>
        <w:t>工作</w:t>
      </w:r>
      <w:bookmarkStart w:id="0" w:name="_GoBack"/>
      <w:bookmarkEnd w:id="0"/>
      <w:r>
        <w:rPr>
          <w:rFonts w:hint="eastAsia" w:ascii="方正小标宋简体" w:hAnsi="方正小标宋简体" w:eastAsia="方正小标宋简体" w:cs="方正小标宋简体"/>
          <w:b w:val="0"/>
          <w:bCs w:val="0"/>
          <w:sz w:val="44"/>
          <w:szCs w:val="44"/>
        </w:rPr>
        <w:t>年度报告</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color w:val="333333"/>
          <w:sz w:val="32"/>
          <w:szCs w:val="32"/>
        </w:rPr>
      </w:pP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根据《中华人民共和国政府信息公开条例》第五十条之规定，制作本报告。</w:t>
      </w:r>
    </w:p>
    <w:p>
      <w:pPr>
        <w:pStyle w:val="4"/>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总体情况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ascii="仿宋_GB2312" w:hAnsi="宋体" w:eastAsia="仿宋_GB2312" w:cs="宋体"/>
          <w:color w:val="auto"/>
          <w:kern w:val="0"/>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政府信息主动公开情况</w:t>
      </w:r>
      <w:r>
        <w:rPr>
          <w:rFonts w:hint="eastAsia" w:ascii="楷体_GB2312" w:hAnsi="楷体_GB2312" w:eastAsia="楷体_GB2312" w:cs="楷体_GB2312"/>
          <w:sz w:val="32"/>
          <w:szCs w:val="32"/>
          <w:lang w:eastAsia="zh-CN"/>
        </w:rPr>
        <w:t>。</w:t>
      </w:r>
      <w:r>
        <w:rPr>
          <w:rFonts w:hint="eastAsia" w:ascii="仿宋_GB2312" w:hAnsi="宋体" w:eastAsia="仿宋_GB2312" w:cs="宋体"/>
          <w:color w:val="auto"/>
          <w:kern w:val="0"/>
          <w:sz w:val="32"/>
          <w:szCs w:val="32"/>
          <w:lang w:val="en-US" w:eastAsia="zh-CN"/>
        </w:rPr>
        <w:t>国家税务总局</w:t>
      </w:r>
      <w:r>
        <w:rPr>
          <w:rFonts w:hint="eastAsia" w:ascii="仿宋_GB2312" w:hAnsi="宋体" w:eastAsia="仿宋_GB2312" w:cs="宋体"/>
          <w:color w:val="auto"/>
          <w:kern w:val="0"/>
          <w:sz w:val="32"/>
          <w:szCs w:val="32"/>
        </w:rPr>
        <w:t>武汉市蔡甸区税务局通过武汉市税务局网页主动向社会公开领导简介、机构设置、主要职能、行业概况、税收政策法规、税收征管制度、办税指南等政府信息。</w:t>
      </w:r>
      <w:r>
        <w:rPr>
          <w:rFonts w:hint="eastAsia" w:ascii="仿宋_GB2312" w:hAnsi="宋体" w:eastAsia="仿宋_GB2312" w:cs="宋体"/>
          <w:color w:val="auto"/>
          <w:kern w:val="0"/>
          <w:sz w:val="32"/>
          <w:szCs w:val="32"/>
          <w:lang w:val="en-US" w:eastAsia="zh-CN"/>
        </w:rPr>
        <w:t>国家税务总局</w:t>
      </w:r>
      <w:r>
        <w:rPr>
          <w:rFonts w:hint="eastAsia" w:ascii="仿宋_GB2312" w:hAnsi="宋体" w:eastAsia="仿宋_GB2312" w:cs="宋体"/>
          <w:color w:val="auto"/>
          <w:kern w:val="0"/>
          <w:sz w:val="32"/>
          <w:szCs w:val="32"/>
        </w:rPr>
        <w:t>武汉市蔡甸区税务局依托办税服务厅，主动接受纳税人咨询，综合利用各类纳税辅导培训、宣传栏、电子显示屏等形式，及时公开税收政策、行政处罚、行政许可等各类信息，推进公开信息的电子化，降低纳税人查询成本，信息公开工作得到有序推进。</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仿宋_GB2312" w:hAnsi="仿宋" w:eastAsia="仿宋_GB2312" w:cs="仿宋"/>
          <w:sz w:val="32"/>
          <w:szCs w:val="32"/>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政府信息依申请公开情况。</w:t>
      </w:r>
      <w:r>
        <w:rPr>
          <w:rFonts w:hint="eastAsia" w:ascii="仿宋_GB2312" w:hAnsi="仿宋" w:eastAsia="仿宋_GB2312" w:cs="仿宋"/>
          <w:sz w:val="32"/>
          <w:szCs w:val="32"/>
          <w:lang w:val="en-US" w:eastAsia="zh-CN"/>
        </w:rPr>
        <w:t>国家税务总局</w:t>
      </w:r>
      <w:r>
        <w:rPr>
          <w:rFonts w:hint="eastAsia" w:ascii="仿宋_GB2312" w:hAnsi="仿宋" w:eastAsia="仿宋_GB2312" w:cs="仿宋"/>
          <w:sz w:val="32"/>
          <w:szCs w:val="32"/>
        </w:rPr>
        <w:t>武汉市蔡甸区税务局</w:t>
      </w:r>
      <w:r>
        <w:rPr>
          <w:rFonts w:hint="eastAsia" w:ascii="仿宋_GB2312" w:hAnsi="仿宋" w:eastAsia="仿宋_GB2312" w:cs="仿宋"/>
          <w:sz w:val="32"/>
          <w:szCs w:val="32"/>
          <w:lang w:val="en-US" w:eastAsia="zh-CN"/>
        </w:rPr>
        <w:t>2025</w:t>
      </w:r>
      <w:r>
        <w:rPr>
          <w:rFonts w:hint="eastAsia" w:ascii="仿宋_GB2312" w:hAnsi="仿宋" w:eastAsia="仿宋_GB2312" w:cs="仿宋"/>
          <w:sz w:val="32"/>
          <w:szCs w:val="32"/>
        </w:rPr>
        <w:t>年收到依申请政府信息公开</w:t>
      </w:r>
      <w:r>
        <w:rPr>
          <w:rFonts w:hint="eastAsia" w:ascii="仿宋_GB2312" w:hAnsi="仿宋" w:eastAsia="仿宋_GB2312" w:cs="仿宋"/>
          <w:sz w:val="32"/>
          <w:szCs w:val="32"/>
          <w:lang w:val="en-US" w:eastAsia="zh-CN"/>
        </w:rPr>
        <w:t>13</w:t>
      </w:r>
      <w:r>
        <w:rPr>
          <w:rFonts w:hint="eastAsia" w:ascii="仿宋_GB2312" w:hAnsi="仿宋" w:eastAsia="仿宋_GB2312" w:cs="仿宋"/>
          <w:sz w:val="32"/>
          <w:szCs w:val="32"/>
        </w:rPr>
        <w:t>件，</w:t>
      </w:r>
      <w:r>
        <w:rPr>
          <w:rFonts w:hint="eastAsia" w:ascii="仿宋_GB2312" w:hAnsi="仿宋" w:eastAsia="仿宋_GB2312" w:cs="仿宋"/>
          <w:sz w:val="32"/>
          <w:szCs w:val="32"/>
          <w:lang w:eastAsia="zh-CN"/>
        </w:rPr>
        <w:t>根据</w:t>
      </w:r>
      <w:r>
        <w:rPr>
          <w:rFonts w:hint="default" w:ascii="仿宋_GB2312" w:hAnsi="仿宋" w:eastAsia="仿宋_GB2312" w:cs="仿宋"/>
          <w:sz w:val="32"/>
          <w:szCs w:val="32"/>
        </w:rPr>
        <w:t>《中华人民共和国政府信息公开条例》《税务机关政府信息公开申请办理规范》</w:t>
      </w:r>
      <w:r>
        <w:rPr>
          <w:rFonts w:hint="eastAsia" w:ascii="仿宋_GB2312" w:hAnsi="仿宋" w:eastAsia="仿宋_GB2312" w:cs="仿宋"/>
          <w:sz w:val="32"/>
          <w:szCs w:val="32"/>
          <w:lang w:eastAsia="zh-CN"/>
        </w:rPr>
        <w:t>依法依规</w:t>
      </w:r>
      <w:r>
        <w:rPr>
          <w:rFonts w:hint="eastAsia" w:ascii="仿宋_GB2312" w:eastAsia="仿宋_GB2312"/>
          <w:sz w:val="32"/>
          <w:szCs w:val="32"/>
        </w:rPr>
        <w:t>开展依申请公开工作</w:t>
      </w:r>
      <w:r>
        <w:rPr>
          <w:rFonts w:hint="eastAsia" w:ascii="仿宋_GB2312" w:eastAsia="仿宋_GB2312"/>
          <w:sz w:val="32"/>
          <w:szCs w:val="32"/>
          <w:lang w:eastAsia="zh-CN"/>
        </w:rPr>
        <w:t>，并按时办结</w:t>
      </w:r>
      <w:r>
        <w:rPr>
          <w:rFonts w:hint="eastAsia" w:ascii="仿宋_GB2312" w:hAnsi="仿宋" w:eastAsia="仿宋_GB2312"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（三）政府信息管理情况。</w:t>
      </w:r>
      <w:r>
        <w:rPr>
          <w:rFonts w:hint="eastAsia" w:ascii="仿宋_GB2312" w:hAnsi="仿宋" w:eastAsia="仿宋_GB2312" w:cs="仿宋"/>
          <w:kern w:val="2"/>
          <w:sz w:val="32"/>
          <w:szCs w:val="32"/>
          <w:lang w:val="en-US" w:eastAsia="zh-CN" w:bidi="ar-SA"/>
        </w:rPr>
        <w:t>国家税务总局武汉市蔡甸区税务局严格遵循依法、及时、高效的原则，在公文的产生过程中，同步确定其主动公开、依申请公开、不予公开三种属性，公文拟制部门根据公文内容，注明公文属性，办公室审核公文拟制部门确定的属性是否符合规定，确保公开事项填写的规范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（四）政府信息公开平台建设情况</w:t>
      </w:r>
      <w:r>
        <w:rPr>
          <w:rFonts w:hint="eastAsia" w:ascii="仿宋_GB2312" w:hAnsi="仿宋" w:eastAsia="仿宋_GB2312" w:cs="仿宋"/>
          <w:kern w:val="2"/>
          <w:sz w:val="32"/>
          <w:szCs w:val="32"/>
          <w:lang w:val="en-US" w:eastAsia="zh-CN" w:bidi="ar-SA"/>
        </w:rPr>
        <w:t>。国家税务总局武汉市蔡甸区税务局依托国家税务总局武汉市税务局网站政府信息公开栏目开展政府信息公开公示，主动公示区局政府信息公开指南、政府信息公开年报、政府信息公开规程、委托代征管理办法及个体工商户定期定额公示信息，并及时进行更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333333"/>
          <w:sz w:val="32"/>
          <w:szCs w:val="32"/>
        </w:rPr>
      </w:pPr>
      <w:r>
        <w:rPr>
          <w:rFonts w:hint="eastAsia" w:ascii="楷体_GB2312" w:hAnsi="楷体_GB2312" w:eastAsia="楷体_GB2312" w:cs="楷体_GB2312"/>
          <w:kern w:val="2"/>
          <w:sz w:val="32"/>
          <w:szCs w:val="32"/>
          <w:lang w:val="en-US" w:eastAsia="zh-CN" w:bidi="ar-SA"/>
        </w:rPr>
        <w:t>（五）监督保障情况。</w:t>
      </w:r>
      <w:r>
        <w:rPr>
          <w:rFonts w:hint="eastAsia" w:ascii="仿宋_GB2312" w:hAnsi="仿宋" w:eastAsia="仿宋_GB2312" w:cs="仿宋"/>
          <w:kern w:val="0"/>
          <w:sz w:val="32"/>
          <w:szCs w:val="32"/>
          <w:highlight w:val="none"/>
          <w:lang w:val="en-US" w:eastAsia="zh-CN" w:bidi="ar-SA"/>
        </w:rPr>
        <w:t>国家税务总局武汉市蔡甸区税务局</w:t>
      </w:r>
      <w:r>
        <w:rPr>
          <w:rFonts w:hint="eastAsia" w:ascii="仿宋_GB2312" w:hAnsi="宋体" w:eastAsia="仿宋_GB2312" w:cs="宋体"/>
          <w:kern w:val="0"/>
          <w:sz w:val="32"/>
          <w:szCs w:val="32"/>
          <w:highlight w:val="none"/>
          <w:lang w:val="en-US" w:eastAsia="zh-CN" w:bidi="ar-SA"/>
        </w:rPr>
        <w:t>将</w:t>
      </w:r>
      <w:r>
        <w:rPr>
          <w:rFonts w:hint="eastAsia" w:ascii="仿宋_GB2312" w:hAnsi="宋体" w:eastAsia="仿宋_GB2312" w:cs="宋体"/>
          <w:kern w:val="0"/>
          <w:sz w:val="32"/>
          <w:szCs w:val="32"/>
          <w:lang w:val="en-US" w:eastAsia="zh-CN" w:bidi="ar-SA"/>
        </w:rPr>
        <w:t>政府信息公开纳入绩效考核管理，科学设置指标，按年度开展考核考评，并按期在</w:t>
      </w:r>
      <w:r>
        <w:rPr>
          <w:rFonts w:hint="eastAsia" w:ascii="仿宋_GB2312" w:hAnsi="仿宋" w:eastAsia="仿宋_GB2312" w:cs="仿宋"/>
          <w:kern w:val="2"/>
          <w:sz w:val="32"/>
          <w:szCs w:val="32"/>
          <w:lang w:val="en-US" w:eastAsia="zh-CN" w:bidi="ar-SA"/>
        </w:rPr>
        <w:t>国家税务总局</w:t>
      </w:r>
      <w:r>
        <w:rPr>
          <w:rFonts w:hint="eastAsia" w:ascii="仿宋_GB2312" w:hAnsi="宋体" w:eastAsia="仿宋_GB2312" w:cs="宋体"/>
          <w:color w:val="auto"/>
          <w:kern w:val="0"/>
          <w:sz w:val="32"/>
          <w:szCs w:val="32"/>
          <w:lang w:val="en-US" w:eastAsia="zh-CN" w:bidi="ar-SA"/>
        </w:rPr>
        <w:t>武汉市税务局网页</w:t>
      </w:r>
      <w:r>
        <w:rPr>
          <w:rFonts w:hint="eastAsia" w:ascii="仿宋_GB2312" w:hAnsi="宋体" w:eastAsia="仿宋_GB2312" w:cs="宋体"/>
          <w:kern w:val="0"/>
          <w:sz w:val="32"/>
          <w:szCs w:val="32"/>
          <w:lang w:val="en-US" w:eastAsia="zh-CN" w:bidi="ar-SA"/>
        </w:rPr>
        <w:t>发布政府信息公开年度工作报告。通过对</w:t>
      </w:r>
      <w:r>
        <w:rPr>
          <w:rFonts w:hint="eastAsia" w:ascii="仿宋_GB2312" w:hAnsi="仿宋" w:eastAsia="仿宋_GB2312" w:cs="仿宋"/>
          <w:kern w:val="2"/>
          <w:sz w:val="32"/>
          <w:szCs w:val="32"/>
          <w:lang w:val="en-US" w:eastAsia="zh-CN" w:bidi="ar-SA"/>
        </w:rPr>
        <w:t>国家税务总局武汉市蔡甸区税务局</w:t>
      </w:r>
      <w:r>
        <w:rPr>
          <w:rFonts w:hint="eastAsia" w:ascii="仿宋_GB2312" w:hAnsi="宋体" w:eastAsia="仿宋_GB2312" w:cs="宋体"/>
          <w:kern w:val="0"/>
          <w:sz w:val="32"/>
          <w:szCs w:val="32"/>
          <w:lang w:val="zh-CN" w:eastAsia="zh-CN" w:bidi="ar-SA"/>
        </w:rPr>
        <w:t>政府信息公开工作开展自查整改，进一步完善政府信息公开内容，</w:t>
      </w:r>
      <w:r>
        <w:rPr>
          <w:rFonts w:hint="eastAsia" w:ascii="仿宋_GB2312" w:hAnsi="宋体" w:eastAsia="仿宋_GB2312" w:cs="宋体"/>
          <w:kern w:val="0"/>
          <w:sz w:val="32"/>
          <w:szCs w:val="32"/>
          <w:lang w:val="en-US" w:eastAsia="zh-CN" w:bidi="ar-SA"/>
        </w:rPr>
        <w:t>规范政府信息公开查收和办理。</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color w:val="333333"/>
          <w:sz w:val="32"/>
          <w:szCs w:val="32"/>
        </w:rPr>
      </w:pPr>
      <w:r>
        <w:rPr>
          <w:rFonts w:hint="eastAsia" w:ascii="黑体" w:hAnsi="黑体" w:eastAsia="黑体" w:cs="黑体"/>
          <w:color w:val="333333"/>
          <w:sz w:val="32"/>
          <w:szCs w:val="32"/>
        </w:rPr>
        <w:t>二、主动公开政府信息情况</w:t>
      </w:r>
    </w:p>
    <w:tbl>
      <w:tblPr>
        <w:tblStyle w:val="5"/>
        <w:tblW w:w="5000" w:type="pct"/>
        <w:jc w:val="center"/>
        <w:tblLayout w:type="autofit"/>
        <w:tblCellMar>
          <w:top w:w="0" w:type="dxa"/>
          <w:left w:w="0" w:type="dxa"/>
          <w:bottom w:w="0" w:type="dxa"/>
          <w:right w:w="0" w:type="dxa"/>
        </w:tblCellMar>
      </w:tblPr>
      <w:tblGrid>
        <w:gridCol w:w="2105"/>
        <w:gridCol w:w="2105"/>
        <w:gridCol w:w="2105"/>
        <w:gridCol w:w="2105"/>
      </w:tblGrid>
      <w:tr>
        <w:tblPrEx>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第二十条第（一）项</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本年</w:t>
            </w:r>
            <w:r>
              <w:rPr>
                <w:rFonts w:hint="eastAsia" w:ascii="宋体" w:hAnsi="宋体" w:eastAsia="宋体" w:cs="宋体"/>
                <w:color w:val="333333"/>
                <w:kern w:val="0"/>
                <w:szCs w:val="21"/>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现行有效件</w:t>
            </w:r>
            <w:r>
              <w:rPr>
                <w:rFonts w:hint="eastAsia" w:ascii="宋体" w:hAnsi="宋体" w:eastAsia="宋体" w:cs="宋体"/>
                <w:color w:val="333333"/>
                <w:kern w:val="0"/>
                <w:szCs w:val="21"/>
              </w:rPr>
              <w:t>数</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left"/>
              <w:rPr>
                <w:szCs w:val="21"/>
              </w:rPr>
            </w:pPr>
            <w:r>
              <w:rPr>
                <w:rFonts w:hint="eastAsia" w:ascii="宋体" w:hAnsi="宋体" w:eastAsia="宋体"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rFonts w:hint="eastAsia" w:eastAsia="宋体"/>
                <w:szCs w:val="21"/>
                <w:lang w:val="en-US" w:eastAsia="zh-CN"/>
              </w:rPr>
            </w:pPr>
            <w:r>
              <w:rPr>
                <w:rFonts w:hint="eastAsia" w:ascii="宋体" w:hAnsi="宋体" w:eastAsia="宋体" w:cs="宋体"/>
                <w:color w:val="000000"/>
                <w:kern w:val="0"/>
                <w:szCs w:val="21"/>
                <w:lang w:val="en-US" w:eastAsia="zh-CN"/>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widowControl/>
              <w:spacing w:line="30" w:lineRule="atLeast"/>
              <w:jc w:val="center"/>
              <w:rPr>
                <w:rFonts w:hint="eastAsia" w:eastAsia="宋体"/>
                <w:szCs w:val="21"/>
                <w:lang w:val="en-US" w:eastAsia="zh-CN"/>
              </w:rPr>
            </w:pPr>
            <w:r>
              <w:rPr>
                <w:rFonts w:hint="eastAsia" w:ascii="宋体" w:hAnsi="宋体" w:eastAsia="宋体"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rFonts w:hint="eastAsia" w:eastAsia="宋体"/>
                <w:szCs w:val="21"/>
                <w:lang w:val="en-US" w:eastAsia="zh-CN"/>
              </w:rPr>
            </w:pPr>
            <w:r>
              <w:rPr>
                <w:rFonts w:hint="eastAsia" w:ascii="Calibri" w:hAnsi="Calibri" w:eastAsia="宋体" w:cs="Calibri"/>
                <w:color w:val="333333"/>
                <w:szCs w:val="21"/>
                <w:lang w:val="en-US" w:eastAsia="zh-CN"/>
              </w:rPr>
              <w:t>0</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left"/>
              <w:rPr>
                <w:szCs w:val="21"/>
              </w:rPr>
            </w:pPr>
            <w:r>
              <w:rPr>
                <w:rFonts w:hint="eastAsia" w:ascii="宋体" w:hAnsi="宋体" w:eastAsia="宋体"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rFonts w:hint="eastAsia" w:eastAsia="宋体"/>
                <w:szCs w:val="21"/>
                <w:lang w:val="en-US" w:eastAsia="zh-CN"/>
              </w:rPr>
            </w:pPr>
            <w:r>
              <w:rPr>
                <w:rFonts w:hint="eastAsia" w:ascii="宋体" w:hAnsi="宋体" w:eastAsia="宋体" w:cs="宋体"/>
                <w:color w:val="000000"/>
                <w:kern w:val="0"/>
                <w:szCs w:val="21"/>
                <w:lang w:val="en-US" w:eastAsia="zh-CN"/>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widowControl/>
              <w:spacing w:line="30" w:lineRule="atLeast"/>
              <w:jc w:val="center"/>
              <w:rPr>
                <w:rFonts w:hint="eastAsia" w:eastAsia="宋体"/>
                <w:szCs w:val="21"/>
                <w:lang w:val="en-US" w:eastAsia="zh-CN"/>
              </w:rPr>
            </w:pPr>
            <w:r>
              <w:rPr>
                <w:rFonts w:hint="eastAsia" w:ascii="宋体" w:hAnsi="宋体" w:eastAsia="宋体"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rFonts w:hint="eastAsia" w:eastAsia="宋体"/>
                <w:szCs w:val="21"/>
                <w:lang w:val="en-US" w:eastAsia="zh-CN"/>
              </w:rPr>
            </w:pPr>
            <w:r>
              <w:rPr>
                <w:rFonts w:hint="eastAsia" w:ascii="Calibri" w:hAnsi="Calibri" w:eastAsia="宋体" w:cs="Calibri"/>
                <w:color w:val="333333"/>
                <w:szCs w:val="21"/>
                <w:lang w:val="en-US" w:eastAsia="zh-CN"/>
              </w:rPr>
              <w:t>0</w:t>
            </w:r>
          </w:p>
        </w:tc>
      </w:tr>
      <w:tr>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第二十条第（五）项</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本年处理决定数量</w:t>
            </w:r>
          </w:p>
        </w:tc>
      </w:tr>
      <w:tr>
        <w:tblPrEx>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widowControl/>
              <w:spacing w:line="30" w:lineRule="atLeast"/>
              <w:jc w:val="left"/>
              <w:rPr>
                <w:szCs w:val="21"/>
              </w:rPr>
            </w:pPr>
            <w:r>
              <w:rPr>
                <w:rFonts w:hint="eastAsia" w:ascii="宋体" w:hAnsi="宋体" w:eastAsia="宋体" w:cs="宋体"/>
                <w:color w:val="000000"/>
                <w:kern w:val="0"/>
                <w:szCs w:val="21"/>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rFonts w:hint="eastAsia" w:eastAsia="宋体"/>
                <w:szCs w:val="21"/>
                <w:lang w:val="en-US" w:eastAsia="zh-CN"/>
              </w:rPr>
            </w:pPr>
            <w:r>
              <w:rPr>
                <w:rFonts w:hint="eastAsia" w:ascii="Calibri" w:hAnsi="Calibri" w:eastAsia="宋体" w:cs="Calibri"/>
                <w:color w:val="333333"/>
                <w:szCs w:val="21"/>
                <w:lang w:val="en-US" w:eastAsia="zh-CN"/>
              </w:rPr>
              <w:t>7</w:t>
            </w:r>
          </w:p>
        </w:tc>
      </w:tr>
      <w:tr>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第二十条第（六）项</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本年处理决定数量</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left"/>
              <w:rPr>
                <w:szCs w:val="21"/>
              </w:rPr>
            </w:pPr>
            <w:r>
              <w:rPr>
                <w:rFonts w:hint="eastAsia" w:ascii="宋体" w:hAnsi="宋体" w:eastAsia="宋体" w:cs="宋体"/>
                <w:color w:val="000000"/>
                <w:kern w:val="0"/>
                <w:szCs w:val="21"/>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rFonts w:hint="default" w:eastAsia="宋体"/>
                <w:szCs w:val="21"/>
                <w:lang w:val="en-US" w:eastAsia="zh-CN"/>
              </w:rPr>
            </w:pPr>
            <w:r>
              <w:rPr>
                <w:rFonts w:hint="eastAsia" w:ascii="宋体" w:hAnsi="宋体" w:eastAsia="宋体" w:cs="宋体"/>
                <w:color w:val="000000"/>
                <w:kern w:val="0"/>
                <w:szCs w:val="21"/>
                <w:lang w:val="en-US" w:eastAsia="zh-CN"/>
              </w:rPr>
              <w:t>2241</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left"/>
              <w:rPr>
                <w:szCs w:val="21"/>
              </w:rPr>
            </w:pPr>
            <w:r>
              <w:rPr>
                <w:rFonts w:hint="eastAsia" w:ascii="宋体" w:hAnsi="宋体" w:eastAsia="宋体" w:cs="宋体"/>
                <w:color w:val="000000"/>
                <w:kern w:val="0"/>
                <w:szCs w:val="21"/>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rFonts w:hint="eastAsia" w:eastAsia="宋体"/>
                <w:szCs w:val="21"/>
                <w:lang w:val="en-US" w:eastAsia="zh-CN"/>
              </w:rPr>
            </w:pPr>
            <w:r>
              <w:rPr>
                <w:rFonts w:hint="eastAsia" w:ascii="宋体" w:hAnsi="宋体" w:eastAsia="宋体" w:cs="宋体"/>
                <w:color w:val="000000"/>
                <w:kern w:val="0"/>
                <w:szCs w:val="21"/>
                <w:lang w:val="en-US" w:eastAsia="zh-CN"/>
              </w:rPr>
              <w:t>5</w:t>
            </w:r>
          </w:p>
        </w:tc>
      </w:tr>
      <w:tr>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第二十条第（八）项</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spacing w:line="30" w:lineRule="atLeast"/>
              <w:jc w:val="center"/>
              <w:rPr>
                <w:szCs w:val="21"/>
              </w:rPr>
            </w:pPr>
            <w:r>
              <w:rPr>
                <w:rFonts w:hint="eastAsia" w:ascii="宋体" w:hAnsi="宋体" w:eastAsia="宋体" w:cs="宋体"/>
                <w:color w:val="000000"/>
                <w:kern w:val="0"/>
                <w:szCs w:val="21"/>
              </w:rPr>
              <w:t>本年收费金额（单位：万元）</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line="30" w:lineRule="atLeast"/>
              <w:jc w:val="left"/>
              <w:rPr>
                <w:szCs w:val="21"/>
              </w:rPr>
            </w:pPr>
            <w:r>
              <w:rPr>
                <w:rFonts w:hint="eastAsia" w:ascii="宋体" w:hAnsi="宋体" w:eastAsia="宋体" w:cs="宋体"/>
                <w:color w:val="000000"/>
                <w:kern w:val="0"/>
                <w:szCs w:val="21"/>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hAnsi="宋体" w:eastAsia="宋体" w:cs="宋体"/>
                <w:color w:val="333333"/>
                <w:szCs w:val="21"/>
                <w:lang w:val="en-US" w:eastAsia="zh-CN"/>
              </w:rPr>
            </w:pPr>
            <w:r>
              <w:rPr>
                <w:rFonts w:hint="eastAsia" w:ascii="宋体" w:hAnsi="宋体" w:eastAsia="宋体" w:cs="宋体"/>
                <w:color w:val="333333"/>
                <w:szCs w:val="21"/>
                <w:lang w:val="en-US" w:eastAsia="zh-CN"/>
              </w:rPr>
              <w:t>0</w:t>
            </w:r>
          </w:p>
        </w:tc>
      </w:tr>
    </w:tbl>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color w:val="333333"/>
          <w:sz w:val="32"/>
          <w:szCs w:val="32"/>
        </w:rPr>
      </w:pPr>
      <w:r>
        <w:rPr>
          <w:rFonts w:hint="eastAsia" w:ascii="黑体" w:hAnsi="黑体" w:eastAsia="黑体" w:cs="黑体"/>
          <w:color w:val="333333"/>
          <w:sz w:val="32"/>
          <w:szCs w:val="32"/>
        </w:rPr>
        <w:t>三、收到和处理政府信息公开申请情况</w:t>
      </w:r>
    </w:p>
    <w:tbl>
      <w:tblPr>
        <w:tblStyle w:val="5"/>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57" w:type="dxa"/>
          <w:bottom w:w="0" w:type="dxa"/>
          <w:right w:w="57" w:type="dxa"/>
        </w:tblCellMar>
      </w:tblPr>
      <w:tblGrid>
        <w:gridCol w:w="653"/>
        <w:gridCol w:w="798"/>
        <w:gridCol w:w="2847"/>
        <w:gridCol w:w="595"/>
        <w:gridCol w:w="595"/>
        <w:gridCol w:w="595"/>
        <w:gridCol w:w="595"/>
        <w:gridCol w:w="595"/>
        <w:gridCol w:w="601"/>
        <w:gridCol w:w="5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8"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widowControl/>
              <w:spacing w:line="30" w:lineRule="atLeast"/>
              <w:jc w:val="left"/>
            </w:pPr>
            <w:r>
              <w:rPr>
                <w:rFonts w:hint="eastAsia" w:ascii="楷体" w:hAnsi="楷体" w:eastAsia="楷体" w:cs="楷体"/>
                <w:color w:val="333333"/>
                <w:kern w:val="0"/>
                <w:sz w:val="20"/>
                <w:szCs w:val="20"/>
              </w:rPr>
              <w:t>（本列数据的勾稽关系为：第一项加第二项之和，等于第三项加第四项之和）</w:t>
            </w:r>
          </w:p>
        </w:tc>
        <w:tc>
          <w:tcPr>
            <w:tcW w:w="2462" w:type="pct"/>
            <w:gridSpan w:val="7"/>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8"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ascii="宋体" w:hAnsi="宋体" w:eastAsia="宋体" w:cs="宋体"/>
                <w:color w:val="333333"/>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自然人</w:t>
            </w:r>
          </w:p>
        </w:tc>
        <w:tc>
          <w:tcPr>
            <w:tcW w:w="1759" w:type="pct"/>
            <w:gridSpan w:val="5"/>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8"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ascii="宋体" w:hAnsi="宋体" w:eastAsia="宋体" w:cs="宋体"/>
                <w:color w:val="333333"/>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ascii="宋体" w:hAnsi="宋体" w:eastAsia="宋体" w:cs="宋体"/>
                <w:color w:val="333333"/>
                <w:szCs w:val="21"/>
              </w:rPr>
            </w:pP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商业</w:t>
            </w:r>
          </w:p>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企业</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科研</w:t>
            </w:r>
          </w:p>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法律服务机构</w:t>
            </w:r>
          </w:p>
        </w:tc>
        <w:tc>
          <w:tcPr>
            <w:tcW w:w="354" w:type="pct"/>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ascii="宋体" w:hAnsi="宋体" w:eastAsia="宋体" w:cs="宋体"/>
                <w:color w:val="333333"/>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default" w:ascii="宋体" w:hAnsi="宋体" w:eastAsia="宋体" w:cs="宋体"/>
                <w:szCs w:val="21"/>
                <w:lang w:val="en-US" w:eastAsia="zh-CN"/>
              </w:rPr>
            </w:pPr>
            <w:r>
              <w:rPr>
                <w:rFonts w:hint="eastAsia" w:ascii="宋体" w:hAnsi="宋体" w:eastAsia="宋体" w:cs="宋体"/>
                <w:color w:val="333333"/>
                <w:kern w:val="0"/>
                <w:szCs w:val="21"/>
                <w:lang w:val="en-US" w:eastAsia="zh-CN"/>
              </w:rPr>
              <w:t>13</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color w:val="333333"/>
                <w:kern w:val="0"/>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default" w:ascii="宋体" w:hAnsi="宋体" w:eastAsia="宋体" w:cs="宋体"/>
                <w:szCs w:val="21"/>
                <w:lang w:val="en-US" w:eastAsia="zh-CN"/>
              </w:rPr>
            </w:pPr>
            <w:r>
              <w:rPr>
                <w:rFonts w:hint="eastAsia" w:ascii="宋体" w:hAnsi="宋体" w:eastAsia="宋体" w:cs="宋体"/>
                <w:color w:val="333333"/>
                <w:kern w:val="0"/>
                <w:szCs w:val="21"/>
                <w:lang w:val="en-US" w:eastAsia="zh-CN"/>
              </w:rPr>
              <w:t>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color w:val="333333"/>
                <w:kern w:val="0"/>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三、本年度办理结果</w:t>
            </w:r>
          </w:p>
        </w:tc>
        <w:tc>
          <w:tcPr>
            <w:tcW w:w="2153" w:type="pct"/>
            <w:gridSpan w:val="2"/>
            <w:tcBorders>
              <w:top w:val="nil"/>
              <w:left w:val="nil"/>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（一）予以公开</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2153" w:type="pct"/>
            <w:gridSpan w:val="2"/>
            <w:tcBorders>
              <w:top w:val="nil"/>
              <w:left w:val="nil"/>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（二）部分公开（区分处理的，只计这一情形，不计其他情形）</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（三）不予公开</w:t>
            </w:r>
          </w:p>
        </w:tc>
        <w:tc>
          <w:tcPr>
            <w:tcW w:w="1681"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1.属于国家秘密</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1"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2.其他法律行政法规禁止公开</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1"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3.危及“三安全一稳定”</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1"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4.保护第三方合法权益</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6</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1"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5.属于三类内部事务信息</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1"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6.属于四类过程性信息</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1"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7.属于行政执法案卷</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1"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8.属于行政查询事项</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（四）无法提供</w:t>
            </w:r>
          </w:p>
        </w:tc>
        <w:tc>
          <w:tcPr>
            <w:tcW w:w="1681"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1.本机关不掌握相关政府信息</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1"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2.没有现成信息需要另行制作</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1"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3.补正后申请内容仍不明确</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（五）不予处理</w:t>
            </w:r>
          </w:p>
        </w:tc>
        <w:tc>
          <w:tcPr>
            <w:tcW w:w="1681" w:type="pct"/>
            <w:tcBorders>
              <w:top w:val="nil"/>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1.信访举报投诉类申请</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1" w:type="pct"/>
            <w:tcBorders>
              <w:top w:val="single" w:color="auto" w:sz="8" w:space="0"/>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2.重复申请</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1" w:type="pct"/>
            <w:tcBorders>
              <w:top w:val="single" w:color="auto" w:sz="8" w:space="0"/>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3.要求提供公开出版物</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1" w:type="pct"/>
            <w:tcBorders>
              <w:top w:val="single" w:color="auto" w:sz="8" w:space="0"/>
              <w:left w:val="nil"/>
              <w:bottom w:val="single" w:color="auto" w:sz="8" w:space="0"/>
              <w:right w:val="single" w:color="auto" w:sz="8" w:space="0"/>
            </w:tcBorders>
            <w:shd w:val="clear" w:color="auto" w:fill="auto"/>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4.无正当理由大量反复申请</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single" w:color="auto" w:sz="8" w:space="0"/>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1" w:type="pct"/>
            <w:tcBorders>
              <w:top w:val="nil"/>
              <w:left w:val="nil"/>
              <w:bottom w:val="outset" w:color="auto" w:sz="6" w:space="0"/>
              <w:right w:val="single" w:color="auto" w:sz="8" w:space="0"/>
            </w:tcBorders>
            <w:shd w:val="clear" w:color="auto" w:fill="auto"/>
            <w:vAlign w:val="center"/>
          </w:tcPr>
          <w:p>
            <w:pPr>
              <w:widowControl/>
              <w:spacing w:line="30" w:lineRule="atLeast"/>
              <w:rPr>
                <w:rFonts w:asciiTheme="minorEastAsia" w:hAnsiTheme="minorEastAsia" w:cstheme="minorEastAsia"/>
                <w:szCs w:val="21"/>
              </w:rPr>
            </w:pPr>
            <w:r>
              <w:rPr>
                <w:rFonts w:hint="eastAsia" w:asciiTheme="minorEastAsia" w:hAnsiTheme="minorEastAsia" w:cstheme="minorEastAsia"/>
                <w:color w:val="333333"/>
                <w:kern w:val="0"/>
                <w:szCs w:val="21"/>
              </w:rPr>
              <w:t>5.要求行政机关确认或重新出具已获取信息</w:t>
            </w:r>
          </w:p>
        </w:tc>
        <w:tc>
          <w:tcPr>
            <w:tcW w:w="595" w:type="dxa"/>
            <w:tcBorders>
              <w:top w:val="nil"/>
              <w:left w:val="nil"/>
              <w:bottom w:val="outset" w:color="auto" w:sz="6"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nil"/>
              <w:left w:val="nil"/>
              <w:bottom w:val="outset" w:color="auto" w:sz="6"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outset" w:color="auto" w:sz="6"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（六）其他处理</w:t>
            </w:r>
          </w:p>
        </w:tc>
        <w:tc>
          <w:tcPr>
            <w:tcW w:w="1681" w:type="pct"/>
            <w:tcBorders>
              <w:top w:val="nil"/>
              <w:left w:val="nil"/>
              <w:bottom w:val="single" w:color="auto" w:sz="8" w:space="0"/>
              <w:right w:val="single" w:color="auto" w:sz="8" w:space="0"/>
            </w:tcBorders>
            <w:shd w:val="clear" w:color="auto" w:fill="auto"/>
            <w:vAlign w:val="center"/>
          </w:tcPr>
          <w:p>
            <w:pPr>
              <w:widowControl/>
              <w:spacing w:line="30" w:lineRule="atLeast"/>
              <w:rPr>
                <w:rFonts w:asciiTheme="minorEastAsia" w:hAnsiTheme="minorEastAsia" w:cstheme="minorEastAsia"/>
                <w:szCs w:val="21"/>
              </w:rPr>
            </w:pPr>
            <w:r>
              <w:rPr>
                <w:rFonts w:hint="eastAsia" w:asciiTheme="minorEastAsia" w:hAnsiTheme="minorEastAsia" w:cstheme="minorEastAsia"/>
                <w:color w:val="333333"/>
                <w:kern w:val="0"/>
                <w:szCs w:val="21"/>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default" w:ascii="宋体" w:hAnsi="宋体" w:eastAsia="宋体" w:cs="宋体"/>
                <w:szCs w:val="21"/>
                <w:lang w:val="en-US"/>
              </w:rPr>
            </w:pPr>
            <w:r>
              <w:rPr>
                <w:rFonts w:hint="eastAsia" w:ascii="宋体" w:hAnsi="宋体" w:eastAsia="宋体" w:cs="宋体"/>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1" w:type="pct"/>
            <w:tcBorders>
              <w:top w:val="nil"/>
              <w:left w:val="nil"/>
              <w:bottom w:val="single" w:color="auto" w:sz="8" w:space="0"/>
              <w:right w:val="single" w:color="auto" w:sz="8" w:space="0"/>
            </w:tcBorders>
            <w:shd w:val="clear" w:color="auto" w:fill="auto"/>
            <w:vAlign w:val="center"/>
          </w:tcPr>
          <w:p>
            <w:pPr>
              <w:widowControl/>
              <w:spacing w:line="30" w:lineRule="atLeast"/>
              <w:rPr>
                <w:rFonts w:asciiTheme="minorEastAsia" w:hAnsiTheme="minorEastAsia" w:cstheme="minorEastAsia"/>
                <w:szCs w:val="21"/>
              </w:rPr>
            </w:pPr>
            <w:r>
              <w:rPr>
                <w:rFonts w:hint="eastAsia" w:asciiTheme="minorEastAsia" w:hAnsiTheme="minorEastAsia" w:cstheme="minorEastAsia"/>
                <w:color w:val="333333"/>
                <w:kern w:val="0"/>
                <w:szCs w:val="21"/>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eastAsia" w:ascii="宋体" w:hAnsi="宋体" w:eastAsia="宋体" w:cs="宋体"/>
                <w:szCs w:val="21"/>
                <w:lang w:val="en-US" w:eastAsia="zh-CN"/>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1681" w:type="pct"/>
            <w:tcBorders>
              <w:top w:val="nil"/>
              <w:left w:val="nil"/>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3.其他</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4</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asciiTheme="minorEastAsia" w:hAnsiTheme="minorEastAsia" w:cstheme="minorEastAsia"/>
                <w:color w:val="333333"/>
                <w:szCs w:val="21"/>
              </w:rPr>
            </w:pPr>
          </w:p>
        </w:tc>
        <w:tc>
          <w:tcPr>
            <w:tcW w:w="2153" w:type="pct"/>
            <w:gridSpan w:val="2"/>
            <w:tcBorders>
              <w:top w:val="nil"/>
              <w:left w:val="nil"/>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（七）总计</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default" w:ascii="宋体" w:hAnsi="宋体" w:eastAsia="宋体" w:cs="宋体"/>
                <w:szCs w:val="21"/>
                <w:lang w:val="en-US" w:eastAsia="zh-CN"/>
              </w:rPr>
            </w:pPr>
            <w:r>
              <w:rPr>
                <w:rFonts w:hint="eastAsia" w:ascii="宋体" w:hAnsi="宋体" w:eastAsia="宋体" w:cs="宋体"/>
                <w:szCs w:val="21"/>
                <w:lang w:val="en-US" w:eastAsia="zh-CN"/>
              </w:rPr>
              <w:t>13</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hint="default" w:ascii="宋体" w:hAnsi="宋体" w:eastAsia="宋体" w:cs="宋体"/>
                <w:szCs w:val="21"/>
                <w:lang w:val="en-US" w:eastAsia="zh-CN"/>
              </w:rPr>
            </w:pPr>
            <w:r>
              <w:rPr>
                <w:rFonts w:hint="eastAsia" w:ascii="宋体" w:hAnsi="宋体" w:eastAsia="宋体" w:cs="宋体"/>
                <w:szCs w:val="21"/>
                <w:lang w:val="en-US" w:eastAsia="zh-CN"/>
              </w:rPr>
              <w:t>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8" w:type="pct"/>
            <w:gridSpan w:val="3"/>
            <w:tcBorders>
              <w:top w:val="nil"/>
              <w:left w:val="single" w:color="auto" w:sz="8" w:space="0"/>
              <w:bottom w:val="single" w:color="auto" w:sz="8" w:space="0"/>
              <w:right w:val="single" w:color="auto" w:sz="8" w:space="0"/>
            </w:tcBorders>
            <w:shd w:val="clear" w:color="auto" w:fill="auto"/>
            <w:vAlign w:val="center"/>
          </w:tcPr>
          <w:p>
            <w:pPr>
              <w:widowControl/>
              <w:spacing w:line="30" w:lineRule="atLeast"/>
              <w:jc w:val="left"/>
              <w:rPr>
                <w:rFonts w:asciiTheme="minorEastAsia" w:hAnsiTheme="minorEastAsia" w:cstheme="minorEastAsia"/>
                <w:szCs w:val="21"/>
              </w:rPr>
            </w:pPr>
            <w:r>
              <w:rPr>
                <w:rFonts w:hint="eastAsia" w:asciiTheme="minorEastAsia" w:hAnsiTheme="minorEastAsia" w:cstheme="minorEastAsia"/>
                <w:color w:val="333333"/>
                <w:kern w:val="0"/>
                <w:szCs w:val="21"/>
              </w:rPr>
              <w:t>四、结转下年度继续办理</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601"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szCs w:val="21"/>
              </w:rPr>
            </w:pPr>
            <w:r>
              <w:rPr>
                <w:rFonts w:hint="eastAsia" w:ascii="宋体" w:hAnsi="宋体" w:eastAsia="宋体" w:cs="宋体"/>
                <w:szCs w:val="21"/>
                <w:lang w:val="en-US" w:eastAsia="zh-CN"/>
              </w:rPr>
              <w:t>0</w:t>
            </w:r>
          </w:p>
        </w:tc>
        <w:tc>
          <w:tcPr>
            <w:tcW w:w="595" w:type="dxa"/>
            <w:tcBorders>
              <w:top w:val="nil"/>
              <w:left w:val="nil"/>
              <w:bottom w:val="single" w:color="auto" w:sz="8" w:space="0"/>
              <w:right w:val="single" w:color="auto" w:sz="8" w:space="0"/>
            </w:tcBorders>
            <w:shd w:val="clear" w:color="auto" w:fill="auto"/>
            <w:vAlign w:val="center"/>
          </w:tcPr>
          <w:p>
            <w:pPr>
              <w:widowControl/>
              <w:spacing w:line="30" w:lineRule="atLeast"/>
              <w:jc w:val="center"/>
              <w:rPr>
                <w:rFonts w:ascii="宋体" w:hAnsi="宋体" w:eastAsia="宋体" w:cs="宋体"/>
                <w:color w:val="333333"/>
                <w:szCs w:val="21"/>
              </w:rPr>
            </w:pPr>
            <w:r>
              <w:rPr>
                <w:rFonts w:hint="eastAsia" w:ascii="宋体" w:hAnsi="宋体" w:eastAsia="宋体" w:cs="宋体"/>
                <w:szCs w:val="21"/>
                <w:lang w:val="en-US" w:eastAsia="zh-CN"/>
              </w:rPr>
              <w:t>0</w:t>
            </w:r>
          </w:p>
        </w:tc>
      </w:tr>
    </w:tbl>
    <w:p>
      <w:pPr>
        <w:widowControl/>
        <w:spacing w:line="432" w:lineRule="auto"/>
        <w:jc w:val="center"/>
        <w:rPr>
          <w:rFonts w:ascii="宋体" w:hAnsi="宋体" w:eastAsia="宋体" w:cs="宋体"/>
          <w:color w:val="333333"/>
          <w:sz w:val="24"/>
        </w:rPr>
      </w:pPr>
    </w:p>
    <w:p>
      <w:pPr>
        <w:widowControl/>
        <w:spacing w:line="432" w:lineRule="auto"/>
        <w:jc w:val="center"/>
        <w:rPr>
          <w:rFonts w:ascii="宋体" w:hAnsi="宋体" w:eastAsia="宋体" w:cs="宋体"/>
          <w:color w:val="333333"/>
          <w:sz w:val="24"/>
        </w:rPr>
      </w:pP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四、政府信息公开行政复议、行政诉讼情况</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567"/>
        <w:gridCol w:w="566"/>
        <w:gridCol w:w="566"/>
        <w:gridCol w:w="574"/>
        <w:gridCol w:w="566"/>
        <w:gridCol w:w="566"/>
        <w:gridCol w:w="567"/>
        <w:gridCol w:w="567"/>
        <w:gridCol w:w="573"/>
        <w:gridCol w:w="567"/>
        <w:gridCol w:w="567"/>
        <w:gridCol w:w="567"/>
        <w:gridCol w:w="568"/>
        <w:gridCol w:w="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7"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行政复议</w:t>
            </w:r>
          </w:p>
        </w:tc>
        <w:tc>
          <w:tcPr>
            <w:tcW w:w="3333"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结果维持</w:t>
            </w:r>
          </w:p>
        </w:tc>
        <w:tc>
          <w:tcPr>
            <w:tcW w:w="333" w:type="pct"/>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结果</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其他</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尚未</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审结</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未经复议直接起诉</w:t>
            </w:r>
          </w:p>
        </w:tc>
        <w:tc>
          <w:tcPr>
            <w:tcW w:w="1667"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333333"/>
                <w:szCs w:val="21"/>
              </w:rPr>
            </w:pPr>
          </w:p>
        </w:tc>
        <w:tc>
          <w:tcPr>
            <w:tcW w:w="333"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333333"/>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333333"/>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333333"/>
                <w:szCs w:val="21"/>
              </w:rPr>
            </w:pPr>
          </w:p>
        </w:tc>
        <w:tc>
          <w:tcPr>
            <w:tcW w:w="3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333333"/>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结果</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结果</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其他</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尚未</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000000"/>
                <w:kern w:val="0"/>
                <w:sz w:val="20"/>
                <w:szCs w:val="20"/>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结果</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结果</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333333"/>
                <w:kern w:val="0"/>
                <w:sz w:val="20"/>
                <w:szCs w:val="20"/>
              </w:rPr>
              <w:t>尚未</w:t>
            </w:r>
            <w:r>
              <w:rPr>
                <w:rFonts w:hint="eastAsia" w:ascii="宋体" w:hAnsi="宋体" w:eastAsia="宋体" w:cs="宋体"/>
                <w:color w:val="333333"/>
                <w:kern w:val="0"/>
                <w:sz w:val="20"/>
                <w:szCs w:val="20"/>
              </w:rPr>
              <w:br w:type="textWrapping"/>
            </w:r>
            <w:r>
              <w:rPr>
                <w:rFonts w:hint="eastAsia" w:ascii="宋体" w:hAnsi="宋体" w:eastAsia="宋体" w:cs="宋体"/>
                <w:color w:val="333333"/>
                <w:kern w:val="0"/>
                <w:sz w:val="20"/>
                <w:szCs w:val="20"/>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rPr>
                <w:rFonts w:hint="eastAsia" w:eastAsia="黑体"/>
                <w:lang w:val="en-US" w:eastAsia="zh-CN"/>
              </w:rPr>
            </w:pPr>
            <w:r>
              <w:rPr>
                <w:rFonts w:hint="eastAsia" w:ascii="黑体" w:hAnsi="宋体" w:eastAsia="黑体" w:cs="黑体"/>
                <w:color w:val="333333"/>
                <w:sz w:val="20"/>
                <w:szCs w:val="20"/>
                <w:lang w:val="en-US" w:eastAsia="zh-CN"/>
              </w:rPr>
              <w:t>2</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lang w:val="en-US" w:eastAsia="zh-CN"/>
              </w:rPr>
              <w:t>1</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rPr>
                <w:rFonts w:hint="eastAsia" w:eastAsia="黑体"/>
                <w:lang w:val="en-US" w:eastAsia="zh-CN"/>
              </w:rPr>
            </w:pPr>
            <w:r>
              <w:rPr>
                <w:rFonts w:hint="eastAsia" w:ascii="黑体" w:hAnsi="宋体" w:eastAsia="黑体" w:cs="黑体"/>
                <w:color w:val="333333"/>
                <w:sz w:val="20"/>
                <w:szCs w:val="20"/>
                <w:lang w:val="en-US" w:eastAsia="zh-CN"/>
              </w:rPr>
              <w:t>1</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lang w:val="en-US" w:eastAsia="zh-CN"/>
              </w:rPr>
              <w:t>1</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rPr>
                <w:rFonts w:hint="eastAsia" w:eastAsia="黑体"/>
                <w:lang w:val="en-US" w:eastAsia="zh-CN"/>
              </w:rPr>
            </w:pPr>
            <w:r>
              <w:rPr>
                <w:rFonts w:hint="eastAsia" w:ascii="黑体" w:hAnsi="宋体" w:eastAsia="黑体" w:cs="黑体"/>
                <w:color w:val="333333"/>
                <w:sz w:val="20"/>
                <w:szCs w:val="20"/>
                <w:lang w:val="en-US" w:eastAsia="zh-CN"/>
              </w:rPr>
              <w:t>5</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rPr>
                <w:rFonts w:hint="eastAsia" w:eastAsia="黑体"/>
                <w:lang w:val="en-US" w:eastAsia="zh-CN"/>
              </w:rPr>
            </w:pPr>
            <w:r>
              <w:rPr>
                <w:rFonts w:hint="eastAsia" w:ascii="黑体" w:hAnsi="宋体" w:eastAsia="黑体" w:cs="黑体"/>
                <w:color w:val="333333"/>
                <w:sz w:val="20"/>
                <w:szCs w:val="20"/>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rPr>
                <w:rFonts w:hint="eastAsia" w:eastAsia="黑体"/>
                <w:lang w:val="en-US" w:eastAsia="zh-CN"/>
              </w:rPr>
            </w:pPr>
            <w:r>
              <w:rPr>
                <w:rFonts w:hint="eastAsia" w:ascii="黑体" w:hAnsi="宋体" w:eastAsia="黑体" w:cs="黑体"/>
                <w:color w:val="333333"/>
                <w:sz w:val="20"/>
                <w:szCs w:val="20"/>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rPr>
                <w:rFonts w:hint="eastAsia" w:eastAsia="黑体"/>
                <w:lang w:val="en-US" w:eastAsia="zh-CN"/>
              </w:rPr>
            </w:pPr>
            <w:r>
              <w:rPr>
                <w:rFonts w:hint="eastAsia" w:ascii="黑体" w:hAnsi="宋体" w:eastAsia="黑体" w:cs="黑体"/>
                <w:color w:val="333333"/>
                <w:sz w:val="20"/>
                <w:szCs w:val="20"/>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pPr>
            <w:r>
              <w:rPr>
                <w:rFonts w:hint="eastAsia" w:ascii="黑体" w:hAnsi="宋体" w:eastAsia="黑体" w:cs="黑体"/>
                <w:color w:val="333333"/>
                <w:sz w:val="20"/>
                <w:szCs w:val="20"/>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 w:lineRule="atLeast"/>
              <w:jc w:val="center"/>
              <w:rPr>
                <w:rFonts w:hint="eastAsia" w:eastAsia="黑体"/>
                <w:lang w:val="en-US" w:eastAsia="zh-CN"/>
              </w:rPr>
            </w:pPr>
            <w:r>
              <w:rPr>
                <w:rFonts w:hint="eastAsia" w:ascii="黑体" w:hAnsi="宋体" w:eastAsia="黑体" w:cs="黑体"/>
                <w:color w:val="333333"/>
                <w:sz w:val="20"/>
                <w:szCs w:val="20"/>
                <w:lang w:val="en-US" w:eastAsia="zh-CN"/>
              </w:rPr>
              <w:t>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333333"/>
                <w:szCs w:val="21"/>
                <w:lang w:val="en-US" w:eastAsia="zh-CN"/>
              </w:rPr>
            </w:pPr>
            <w:r>
              <w:rPr>
                <w:rFonts w:hint="eastAsia" w:ascii="宋体" w:hAnsi="宋体" w:eastAsia="宋体" w:cs="宋体"/>
                <w:color w:val="333333"/>
                <w:szCs w:val="21"/>
                <w:lang w:val="en-US" w:eastAsia="zh-CN"/>
              </w:rPr>
              <w:t>0</w:t>
            </w:r>
          </w:p>
        </w:tc>
      </w:tr>
    </w:tbl>
    <w:p>
      <w:pPr>
        <w:widowControl/>
        <w:jc w:val="left"/>
      </w:pP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五、存在的主要问题及改进情况</w:t>
      </w:r>
    </w:p>
    <w:p>
      <w:pPr>
        <w:pStyle w:val="4"/>
        <w:widowControl/>
        <w:spacing w:line="360" w:lineRule="auto"/>
        <w:ind w:firstLine="640" w:firstLineChars="200"/>
        <w:rPr>
          <w:rFonts w:hint="eastAsia" w:ascii="仿宋_GB2312" w:hAnsi="宋体" w:eastAsia="仿宋_GB2312" w:cs="宋体"/>
          <w:kern w:val="0"/>
          <w:sz w:val="32"/>
          <w:szCs w:val="32"/>
          <w:highlight w:val="none"/>
          <w:lang w:val="en-US" w:eastAsia="zh-CN" w:bidi="ar-SA"/>
        </w:rPr>
      </w:pPr>
      <w:r>
        <w:rPr>
          <w:rFonts w:hint="eastAsia" w:ascii="仿宋_GB2312" w:hAnsi="仿宋" w:eastAsia="仿宋_GB2312" w:cs="仿宋"/>
          <w:sz w:val="32"/>
          <w:szCs w:val="32"/>
          <w:lang w:val="en-US" w:eastAsia="zh-CN"/>
        </w:rPr>
        <w:t>2025年，</w:t>
      </w:r>
      <w:r>
        <w:rPr>
          <w:rFonts w:hint="eastAsia" w:ascii="仿宋_GB2312" w:hAnsi="仿宋" w:eastAsia="仿宋_GB2312" w:cs="仿宋"/>
          <w:kern w:val="2"/>
          <w:sz w:val="32"/>
          <w:szCs w:val="32"/>
          <w:lang w:val="en-US" w:eastAsia="zh-CN" w:bidi="ar-SA"/>
        </w:rPr>
        <w:t>针对上一年度政府信息公开工作存在的问题，国家税务总局武汉市蔡甸区税务局不断提高</w:t>
      </w:r>
      <w:r>
        <w:rPr>
          <w:rFonts w:hint="eastAsia" w:ascii="仿宋_GB2312" w:hAnsi="宋体" w:eastAsia="仿宋_GB2312" w:cs="宋体"/>
          <w:kern w:val="0"/>
          <w:sz w:val="32"/>
          <w:szCs w:val="32"/>
          <w:highlight w:val="none"/>
          <w:lang w:val="en-US" w:eastAsia="zh-CN" w:bidi="ar-SA"/>
        </w:rPr>
        <w:t>信息公开工作人员的专业能力，</w:t>
      </w:r>
      <w:r>
        <w:rPr>
          <w:rFonts w:hint="eastAsia" w:ascii="仿宋_GB2312" w:hAnsi="仿宋" w:eastAsia="仿宋_GB2312" w:cs="仿宋"/>
          <w:kern w:val="2"/>
          <w:sz w:val="32"/>
          <w:szCs w:val="32"/>
          <w:lang w:val="en-US" w:eastAsia="zh-CN" w:bidi="ar-SA"/>
        </w:rPr>
        <w:t>持续</w:t>
      </w:r>
      <w:r>
        <w:rPr>
          <w:rFonts w:hint="eastAsia" w:ascii="仿宋_GB2312" w:hAnsi="宋体" w:eastAsia="仿宋_GB2312" w:cs="宋体"/>
          <w:kern w:val="0"/>
          <w:sz w:val="32"/>
          <w:szCs w:val="32"/>
          <w:highlight w:val="none"/>
          <w:lang w:val="en-US" w:eastAsia="zh-CN" w:bidi="ar-SA"/>
        </w:rPr>
        <w:t>提高政务公开时效性和完整性，取得了一定成效。但在办理</w:t>
      </w:r>
      <w:r>
        <w:rPr>
          <w:rFonts w:hint="eastAsia" w:ascii="仿宋_GB2312" w:hAnsi="仿宋" w:eastAsia="仿宋_GB2312" w:cs="仿宋"/>
          <w:color w:val="auto"/>
          <w:sz w:val="32"/>
          <w:szCs w:val="32"/>
          <w:lang w:eastAsia="zh-CN"/>
        </w:rPr>
        <w:t>依申请公开办件过程中，对申请人区分</w:t>
      </w:r>
      <w:r>
        <w:rPr>
          <w:rFonts w:hint="eastAsia" w:ascii="仿宋_GB2312" w:hAnsi="宋体" w:eastAsia="仿宋_GB2312" w:cs="宋体"/>
          <w:kern w:val="0"/>
          <w:sz w:val="32"/>
          <w:szCs w:val="32"/>
          <w:highlight w:val="none"/>
          <w:lang w:val="en-US" w:eastAsia="zh-CN" w:bidi="ar-SA"/>
        </w:rPr>
        <w:t>政府信息公开和涉税咨询的引导阐释工作仍有欠缺。2026年，国家税务总局武汉市蔡甸区税务局将从两个方面加强工作：一是强化分类指引，在受理环节主动向申请人说明办理渠道与流程差异，精准引导诉求对接。二是提升人员能力，开展专项培训与实操演练，确保解答清晰规范，提升服务精准度。</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六、其他需要报告的事项</w:t>
      </w:r>
    </w:p>
    <w:p>
      <w:pPr>
        <w:pStyle w:val="4"/>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无</w:t>
      </w:r>
    </w:p>
    <w:p>
      <w:pPr>
        <w:pStyle w:val="4"/>
        <w:widowControl/>
        <w:spacing w:line="360" w:lineRule="auto"/>
        <w:ind w:firstLine="640" w:firstLineChars="200"/>
        <w:jc w:val="both"/>
        <w:rPr>
          <w:rFonts w:hint="eastAsia" w:ascii="仿宋_GB2312" w:hAnsi="宋体" w:eastAsia="仿宋_GB2312" w:cs="宋体"/>
          <w:kern w:val="0"/>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9AA3E9-28ED-447B-B4E0-6F9FC9C4DC4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83513E6-30C7-44F4-8932-E28D3F043470}"/>
  </w:font>
  <w:font w:name="方正小标宋简体">
    <w:panose1 w:val="03000509000000000000"/>
    <w:charset w:val="86"/>
    <w:family w:val="auto"/>
    <w:pitch w:val="default"/>
    <w:sig w:usb0="00000001" w:usb1="080E0000" w:usb2="00000000" w:usb3="00000000" w:csb0="00040000" w:csb1="00000000"/>
    <w:embedRegular r:id="rId3" w:fontKey="{59DF2E3C-EFA1-4FA2-B6BA-ADBFA89081D9}"/>
  </w:font>
  <w:font w:name="仿宋_GB2312">
    <w:panose1 w:val="02010609030101010101"/>
    <w:charset w:val="86"/>
    <w:family w:val="modern"/>
    <w:pitch w:val="default"/>
    <w:sig w:usb0="00000001" w:usb1="080E0000" w:usb2="00000000" w:usb3="00000000" w:csb0="00040000" w:csb1="00000000"/>
    <w:embedRegular r:id="rId4" w:fontKey="{1FE948C9-DB71-492D-B408-7D88A42CD1E9}"/>
  </w:font>
  <w:font w:name="仿宋">
    <w:panose1 w:val="02010609060101010101"/>
    <w:charset w:val="86"/>
    <w:family w:val="auto"/>
    <w:pitch w:val="default"/>
    <w:sig w:usb0="800002BF" w:usb1="38CF7CFA" w:usb2="00000016" w:usb3="00000000" w:csb0="00040001" w:csb1="00000000"/>
    <w:embedRegular r:id="rId5" w:fontKey="{BB98B376-10CE-48A1-A8BF-AF080552CF33}"/>
  </w:font>
  <w:font w:name="楷体_GB2312">
    <w:panose1 w:val="02010609030101010101"/>
    <w:charset w:val="86"/>
    <w:family w:val="modern"/>
    <w:pitch w:val="default"/>
    <w:sig w:usb0="00000001" w:usb1="080E0000" w:usb2="00000000" w:usb3="00000000" w:csb0="00040000" w:csb1="00000000"/>
    <w:embedRegular r:id="rId6" w:fontKey="{7E094DCC-6480-4872-A996-0EBAF165D0A1}"/>
  </w:font>
  <w:font w:name="楷体">
    <w:panose1 w:val="02010609060101010101"/>
    <w:charset w:val="86"/>
    <w:family w:val="auto"/>
    <w:pitch w:val="default"/>
    <w:sig w:usb0="800002BF" w:usb1="38CF7CFA" w:usb2="00000016" w:usb3="00000000" w:csb0="00040001" w:csb1="00000000"/>
    <w:embedRegular r:id="rId7" w:fontKey="{6DDCF090-1444-4F7B-9B03-D9FD357B2AE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68B6A"/>
    <w:multiLevelType w:val="singleLevel"/>
    <w:tmpl w:val="DC268B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38B1E27"/>
    <w:rsid w:val="00056493"/>
    <w:rsid w:val="001852A0"/>
    <w:rsid w:val="001F73C2"/>
    <w:rsid w:val="002C5648"/>
    <w:rsid w:val="00336B41"/>
    <w:rsid w:val="003D795F"/>
    <w:rsid w:val="00432393"/>
    <w:rsid w:val="004F2201"/>
    <w:rsid w:val="0076095D"/>
    <w:rsid w:val="00852E0F"/>
    <w:rsid w:val="00904AFE"/>
    <w:rsid w:val="009C3651"/>
    <w:rsid w:val="00CE16E5"/>
    <w:rsid w:val="00D51D98"/>
    <w:rsid w:val="00EC518F"/>
    <w:rsid w:val="00ED577C"/>
    <w:rsid w:val="01424FC1"/>
    <w:rsid w:val="118648B3"/>
    <w:rsid w:val="13EA14F8"/>
    <w:rsid w:val="15C403CF"/>
    <w:rsid w:val="16195A89"/>
    <w:rsid w:val="1A70005D"/>
    <w:rsid w:val="23285C62"/>
    <w:rsid w:val="238B1E27"/>
    <w:rsid w:val="23CC4AD4"/>
    <w:rsid w:val="246E2621"/>
    <w:rsid w:val="28783765"/>
    <w:rsid w:val="32A711A7"/>
    <w:rsid w:val="380214FF"/>
    <w:rsid w:val="397119C0"/>
    <w:rsid w:val="397E3AD1"/>
    <w:rsid w:val="403D212B"/>
    <w:rsid w:val="460B0EC3"/>
    <w:rsid w:val="48864970"/>
    <w:rsid w:val="4F0B3D45"/>
    <w:rsid w:val="53F77BA3"/>
    <w:rsid w:val="558A78DB"/>
    <w:rsid w:val="59E94171"/>
    <w:rsid w:val="6B533E46"/>
    <w:rsid w:val="6E793977"/>
    <w:rsid w:val="6F5F4E9B"/>
    <w:rsid w:val="71914508"/>
    <w:rsid w:val="79514BAB"/>
    <w:rsid w:val="79FB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Delph7.com</Company>
  <Pages>3</Pages>
  <Words>248</Words>
  <Characters>1418</Characters>
  <Lines>11</Lines>
  <Paragraphs>3</Paragraphs>
  <TotalTime>11</TotalTime>
  <ScaleCrop>false</ScaleCrop>
  <LinksUpToDate>false</LinksUpToDate>
  <CharactersWithSpaces>1663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2021-12-21T15:19:00Z</dcterms:created>
  <dc:creator>WPS_1624785580</dc:creator>
  <cp:lastModifiedBy>谢学勤</cp:lastModifiedBy>
  <cp:lastPrinted>2022-01-05T02:30:00Z</cp:lastPrinted>
  <dcterms:modified xsi:type="dcterms:W3CDTF">2026-01-19T03:50:02Z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777F53E91E564B3B96F5A1A435D08748</vt:lpwstr>
  </property>
</Properties>
</file>