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outlineLvl w:val="9"/>
        <w:rPr>
          <w:rFonts w:ascii="方正小标宋简体" w:hAnsi="宋体" w:eastAsia="方正小标宋简体" w:cs="宋体"/>
          <w:b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36"/>
          <w:szCs w:val="36"/>
        </w:rPr>
        <w:t>国家税务总局武汉市东湖生态旅游风景区税务局202</w:t>
      </w: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b/>
          <w:bCs/>
          <w:color w:val="auto"/>
          <w:kern w:val="0"/>
          <w:sz w:val="36"/>
          <w:szCs w:val="36"/>
        </w:rPr>
        <w:t>年政府信息公开工作年度报告</w:t>
      </w:r>
    </w:p>
    <w:p>
      <w:pPr>
        <w:pStyle w:val="5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国家税务总局武汉市东湖生态旅游风景区税务局（以下简称“东湖风景区税务局”）认真贯彻落实《中华人民共和国政府信息公开条例》和《2021年全省税务系统政务公开重点任务清单》，坚持“以公开为常态、不公开为例外”，</w:t>
      </w:r>
      <w:r>
        <w:rPr>
          <w:rFonts w:hint="eastAsia" w:ascii="仿宋_GB2312" w:eastAsia="仿宋_GB2312"/>
          <w:color w:val="auto"/>
          <w:sz w:val="32"/>
          <w:szCs w:val="32"/>
        </w:rPr>
        <w:t>自觉把政务公开要求贯穿于税收工作全过程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，保障公民、法人和其他组织依法获取政府信息，</w:t>
      </w:r>
      <w:r>
        <w:rPr>
          <w:rFonts w:hint="eastAsia" w:ascii="仿宋_GB2312" w:eastAsia="仿宋_GB2312"/>
          <w:color w:val="auto"/>
          <w:sz w:val="32"/>
          <w:szCs w:val="32"/>
        </w:rPr>
        <w:t>全面提升信息公开工作质效。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现将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2021年工作情况报告如下。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olor w:val="auto"/>
          <w:spacing w:val="15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auto"/>
          <w:lang w:bidi="ar"/>
        </w:rPr>
        <w:t>（一）主动公开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auto"/>
          <w:lang w:eastAsia="zh-CN" w:bidi="ar"/>
        </w:rPr>
        <w:t>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一是开办“云课堂”。面向辖区企业，开展企业所得税预缴享受研发费用政策直播培训，让企业更加直观地了解新政减税效应,全力打通政策落实的“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最后一公里”。二是升级“云客服”。贴合纳税人实际需求，进一步提高咨询热线服务质效。升级纳税人咨询热线，开展专业化精准化辅导。运用楚税通APP、湖北省电子税务局等多元化办税方式，不断拓展“非接触式”办税范围。三是落实“码上办”。启动“三台联动”办税服务新模式，将信息报告类、发票类、跨区域涉税事项等8大类67项业务纳入帮办服务范围，为纳税人、缴费人提供了更加高效便捷的纳税服务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是推出“掌上帮”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。定制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辅导手册，帮助企业了解掌握涉税事项办理流程与涉及税费种信息，并通过“首席联络员”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15"/>
          <w:sz w:val="32"/>
          <w:szCs w:val="32"/>
          <w:shd w:val="clear" w:fill="FFFFFF"/>
        </w:rPr>
        <w:t>等服务远程线上辅导企业办理涉税业务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15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(二)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auto"/>
          <w:lang w:bidi="ar"/>
        </w:rPr>
        <w:t>平台建设情况。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围绕建设“无风险不打扰、有违法要追究、全过程强智控”税务执法新体系，依托行政执法公示平台加强事前、事中、事后公开。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东湖风景区税务局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bidi="ar"/>
        </w:rPr>
        <w:t>及时完善执法信息公示平台建设，通过建立执法公示平台月度通报机制，督促局内各采集部门做好公示事项平台信息的及时更新，同时不定期开展公示平台公示数据的自查，通过自查自纠促进公示数据及时规范。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 w:bidi="ar"/>
        </w:rPr>
        <w:t>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）依申请公开情况。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东湖风景区税务局全年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未收到政府信息公开申请。没有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收到涉及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政府信息公开行政复议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提起行政诉讼情况。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 w:bidi="ar"/>
        </w:rPr>
        <w:t>四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 w:bidi="ar"/>
        </w:rPr>
        <w:t>政府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信息管理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东湖风景区税务局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高度重视</w:t>
      </w:r>
      <w:r>
        <w:rPr>
          <w:rFonts w:hint="eastAsia" w:ascii="仿宋_GB2312" w:eastAsia="仿宋_GB2312"/>
          <w:color w:val="auto"/>
          <w:sz w:val="32"/>
          <w:szCs w:val="32"/>
        </w:rPr>
        <w:t>依法保护纳税人缴费人等行政相对人信息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多次开展保密工作检查，严格执行涉税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涉费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信息对外提供手续。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 w:bidi="ar"/>
        </w:rPr>
        <w:t>（五）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工作保障情况。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一是完善组织体系，建立了税收协同共治机制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讲好风景税务故事。二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是规范网站建设，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及时更新完善内容。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通过武汉市税务局门户网站主动向社会公开领导简介、机构设置、主要职能、信息公开指南、个体工商户定额公示、信用等级A类纳税人名单等信息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。三是加强学习。组织干部参加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税务总局2021年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全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系统政务公开工作人员业务培训。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积极参加上级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机关政务公开工作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培训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，通过业务培训等形式提升政务公开工作人员业务能力。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二、主动公开政府信息情况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color w:val="auto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三、收到和处理政府信息公开申请情况</w:t>
      </w:r>
    </w:p>
    <w:tbl>
      <w:tblPr>
        <w:tblStyle w:val="6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1"/>
        <w:gridCol w:w="5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宋体" w:hAnsi="宋体" w:eastAsia="宋体" w:cs="宋体"/>
          <w:color w:val="auto"/>
          <w:sz w:val="2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四、政府信息公开行政复议、行政诉讼情况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6"/>
        <w:gridCol w:w="566"/>
        <w:gridCol w:w="574"/>
        <w:gridCol w:w="566"/>
        <w:gridCol w:w="566"/>
        <w:gridCol w:w="567"/>
        <w:gridCol w:w="567"/>
        <w:gridCol w:w="573"/>
        <w:gridCol w:w="567"/>
        <w:gridCol w:w="567"/>
        <w:gridCol w:w="567"/>
        <w:gridCol w:w="568"/>
        <w:gridCol w:w="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3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color w:val="auto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（一）2020年东湖风景区税务局政务公开工作问题及改进情况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2020年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东湖风景区税务局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政务公开工作存在的主要问题：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是政务公开队伍建设有待加强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是统筹推进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保密和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工作仍需加强；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三是信息公开具体实践中还存在工作不细致等问题。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2021年里，已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通过强化培训、完善依申请公开工作规范流程、加强主动公开工作力度等手段，对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以上问题进行了整改。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 w:bidi="ar"/>
        </w:rPr>
        <w:t>（二）2021年东湖风景区税务局政务公开工作问题及改进措施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2021年，东湖风景区税务局政府信息公开工作扎实推进，取得了一定的成效，但也存在因人员岗位调整等原因导致的主动公开信息力度不够、部分政府信息公开工作人员业务素质有待进一步提高等问题。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，东湖风景区税务局将强化措施，持续推进政府信息公开工作。一是增强信息公开工作实效。根据《中华人民共和国政府信息公开条例》，及时更新职责内政务公开内容，重点公开社会公众普遍关心、涉及人民群众切身利益的税收政策信息，做到依法公开、及时公开、准确公开和有效公开。二是强化信息公开工作统筹。结合落实中共中央办公厅、国务院办公厅印发《关于进一步深化税收征管改革的意见》和全面依法行政等工作，依托信息公开平台，加强信息公开审核把关和保密管理，助力推进精细服务、精确执法、精准监管、精诚共治。三是加强信息公开考评监督。结合税务部门工作实际，优化完善政务公开绩效考评指标，组织全员学习《中华人民共和国政府信息公开条例》，不断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东湖风景区税务局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信息公开工作水平。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其他需要报告的事项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D459C1-AF63-4ECB-8865-217DA61646B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F6D14B7-4CFA-4075-BE96-43940F7BA79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24CA475-C2EA-428A-B479-3BB6CC22DE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6ECE17C-2E2F-4B2A-8646-FE41340AA16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C2FA841-286A-4EFB-8950-3210314C8F4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64130A7-A4F9-44F5-BDC1-AD0D8F5E98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21C4E2E8-F351-4BD1-B563-9BF3A4C622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00056493"/>
    <w:rsid w:val="001852A0"/>
    <w:rsid w:val="001F73C2"/>
    <w:rsid w:val="002C5648"/>
    <w:rsid w:val="00336B41"/>
    <w:rsid w:val="003D795F"/>
    <w:rsid w:val="00432393"/>
    <w:rsid w:val="004F2201"/>
    <w:rsid w:val="0076095D"/>
    <w:rsid w:val="00852E0F"/>
    <w:rsid w:val="00904AFE"/>
    <w:rsid w:val="009C3651"/>
    <w:rsid w:val="00CE16E5"/>
    <w:rsid w:val="00D51D98"/>
    <w:rsid w:val="00EC518F"/>
    <w:rsid w:val="02F433AD"/>
    <w:rsid w:val="03112040"/>
    <w:rsid w:val="10DA464D"/>
    <w:rsid w:val="238B1E27"/>
    <w:rsid w:val="246E2621"/>
    <w:rsid w:val="2864376A"/>
    <w:rsid w:val="2EEF7C26"/>
    <w:rsid w:val="380214FF"/>
    <w:rsid w:val="397119C0"/>
    <w:rsid w:val="3EC038E5"/>
    <w:rsid w:val="3F390636"/>
    <w:rsid w:val="454A2975"/>
    <w:rsid w:val="456D0411"/>
    <w:rsid w:val="460B0EC3"/>
    <w:rsid w:val="47EC4EEA"/>
    <w:rsid w:val="52CA65C3"/>
    <w:rsid w:val="5ACC50F9"/>
    <w:rsid w:val="6A0A786C"/>
    <w:rsid w:val="6BC10EFD"/>
    <w:rsid w:val="6C2F36FB"/>
    <w:rsid w:val="79FB1236"/>
    <w:rsid w:val="7FED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Delph7.com</Company>
  <Pages>3</Pages>
  <Words>248</Words>
  <Characters>1418</Characters>
  <Lines>11</Lines>
  <Paragraphs>3</Paragraphs>
  <TotalTime>0</TotalTime>
  <ScaleCrop>false</ScaleCrop>
  <LinksUpToDate>false</LinksUpToDate>
  <CharactersWithSpaces>1663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嵇  甜</cp:lastModifiedBy>
  <cp:lastPrinted>2022-01-05T02:30:00Z</cp:lastPrinted>
  <dcterms:modified xsi:type="dcterms:W3CDTF">2025-12-24T07:47:33Z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777F53E91E564B3B96F5A1A435D08748</vt:lpwstr>
  </property>
</Properties>
</file>