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numPr>
          <w:ilvl w:val="0"/>
          <w:numId w:val="0"/>
        </w:numPr>
        <w:jc w:val="both"/>
        <w:rPr>
          <w:rFonts w:hint="eastAsia" w:ascii="仿宋_GB2312" w:hAnsi="仿宋_GB2312" w:eastAsia="仿宋_GB2312" w:cs="仿宋_GB2312"/>
          <w:color w:val="auto"/>
          <w:kern w:val="2"/>
          <w:sz w:val="32"/>
          <w:szCs w:val="40"/>
          <w:lang w:val="en-US" w:eastAsia="zh-CN" w:bidi="ar-SA"/>
        </w:rPr>
      </w:pPr>
      <w:bookmarkStart w:id="36" w:name="_GoBack"/>
      <w:bookmarkEnd w:id="36"/>
      <w:r>
        <w:rPr>
          <w:rFonts w:hint="eastAsia" w:ascii="仿宋_GB2312" w:hAnsi="仿宋_GB2312" w:eastAsia="仿宋_GB2312" w:cs="仿宋_GB2312"/>
          <w:color w:val="auto"/>
          <w:kern w:val="2"/>
          <w:sz w:val="32"/>
          <w:szCs w:val="40"/>
          <w:lang w:val="en-US" w:eastAsia="zh-CN" w:bidi="ar-SA"/>
        </w:rPr>
        <w:t>附件：</w:t>
      </w:r>
    </w:p>
    <w:p>
      <w:pPr>
        <w:widowControl w:val="0"/>
        <w:topLinePunct/>
        <w:autoSpaceDE w:val="0"/>
        <w:autoSpaceDN w:val="0"/>
        <w:spacing w:before="0" w:after="0" w:line="360" w:lineRule="auto"/>
        <w:jc w:val="center"/>
        <w:rPr>
          <w:rFonts w:hint="eastAsia" w:ascii="宋体" w:hAnsi="宋体" w:eastAsia="宋体" w:cs="宋体"/>
          <w:b/>
          <w:color w:val="auto"/>
          <w:sz w:val="96"/>
          <w:szCs w:val="96"/>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color w:val="auto"/>
          <w:sz w:val="96"/>
          <w:szCs w:val="96"/>
          <w:highlight w:val="none"/>
          <w:lang w:eastAsia="zh-CN"/>
        </w:rPr>
      </w:pPr>
      <w:r>
        <w:rPr>
          <w:rFonts w:hint="eastAsia" w:ascii="宋体" w:hAnsi="宋体" w:eastAsia="宋体" w:cs="宋体"/>
          <w:b/>
          <w:color w:val="auto"/>
          <w:sz w:val="96"/>
          <w:szCs w:val="96"/>
          <w:highlight w:val="none"/>
          <w:lang w:eastAsia="zh-CN"/>
        </w:rPr>
        <w:t>采 购 需 求</w:t>
      </w:r>
    </w:p>
    <w:p>
      <w:pPr>
        <w:widowControl w:val="0"/>
        <w:topLinePunct/>
        <w:autoSpaceDE w:val="0"/>
        <w:autoSpaceDN w:val="0"/>
        <w:spacing w:before="0" w:after="0" w:line="360" w:lineRule="auto"/>
        <w:jc w:val="center"/>
        <w:rPr>
          <w:rFonts w:hint="eastAsia" w:ascii="宋体" w:hAnsi="宋体" w:eastAsia="宋体" w:cs="宋体"/>
          <w:b/>
          <w:color w:val="auto"/>
          <w:sz w:val="80"/>
          <w:szCs w:val="80"/>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color w:val="auto"/>
          <w:sz w:val="80"/>
          <w:szCs w:val="80"/>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color w:val="auto"/>
          <w:sz w:val="80"/>
          <w:szCs w:val="80"/>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项目名称：国家税务总局武汉东湖新技术开发区税务局</w:t>
      </w:r>
    </w:p>
    <w:p>
      <w:pPr>
        <w:widowControl w:val="0"/>
        <w:topLinePunct/>
        <w:autoSpaceDE w:val="0"/>
        <w:autoSpaceDN w:val="0"/>
        <w:spacing w:before="0" w:after="0" w:line="360" w:lineRule="auto"/>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eastAsia="zh-CN"/>
        </w:rPr>
        <w:t>2025年度税务协助服务项目</w:t>
      </w:r>
    </w:p>
    <w:p>
      <w:pPr>
        <w:widowControl w:val="0"/>
        <w:spacing w:before="0" w:after="0" w:line="360" w:lineRule="auto"/>
        <w:jc w:val="both"/>
        <w:rPr>
          <w:rFonts w:hint="eastAsia" w:ascii="宋体" w:hAnsi="宋体" w:eastAsia="宋体" w:cs="宋体"/>
          <w:color w:val="auto"/>
          <w:kern w:val="2"/>
          <w:sz w:val="32"/>
          <w:szCs w:val="32"/>
          <w:highlight w:val="none"/>
          <w:lang w:eastAsia="zh-CN"/>
        </w:rPr>
      </w:pPr>
    </w:p>
    <w:p>
      <w:pPr>
        <w:widowControl w:val="0"/>
        <w:spacing w:before="0" w:after="0" w:line="360" w:lineRule="auto"/>
        <w:jc w:val="both"/>
        <w:rPr>
          <w:rFonts w:ascii="宋体" w:hAnsi="宋体" w:eastAsia="宋体" w:cs="宋体"/>
          <w:color w:val="auto"/>
          <w:kern w:val="2"/>
          <w:sz w:val="32"/>
          <w:szCs w:val="32"/>
          <w:highlight w:val="none"/>
          <w:lang w:eastAsia="zh-CN"/>
        </w:rPr>
      </w:pPr>
    </w:p>
    <w:p>
      <w:pPr>
        <w:widowControl w:val="0"/>
        <w:spacing w:before="0" w:after="0" w:line="360" w:lineRule="auto"/>
        <w:jc w:val="both"/>
        <w:rPr>
          <w:rFonts w:hint="eastAsia" w:ascii="宋体" w:hAnsi="宋体" w:eastAsia="宋体" w:cs="宋体"/>
          <w:color w:val="auto"/>
          <w:kern w:val="2"/>
          <w:sz w:val="32"/>
          <w:szCs w:val="32"/>
          <w:highlight w:val="none"/>
          <w:lang w:eastAsia="zh-CN"/>
        </w:rPr>
      </w:pPr>
    </w:p>
    <w:p>
      <w:pPr>
        <w:widowControl w:val="0"/>
        <w:topLinePunct/>
        <w:autoSpaceDE w:val="0"/>
        <w:autoSpaceDN w:val="0"/>
        <w:spacing w:before="0" w:after="0" w:line="360" w:lineRule="auto"/>
        <w:jc w:val="both"/>
        <w:rPr>
          <w:rFonts w:hint="eastAsia" w:ascii="宋体" w:hAnsi="宋体" w:eastAsia="宋体" w:cs="宋体"/>
          <w:color w:val="auto"/>
          <w:sz w:val="32"/>
          <w:szCs w:val="32"/>
          <w:highlight w:val="none"/>
          <w:lang w:eastAsia="zh-CN"/>
        </w:rPr>
      </w:pPr>
    </w:p>
    <w:p>
      <w:pPr>
        <w:spacing w:before="0" w:after="0" w:line="360" w:lineRule="auto"/>
        <w:jc w:val="center"/>
        <w:rPr>
          <w:rFonts w:eastAsia="宋体"/>
          <w:color w:val="auto"/>
          <w:highlight w:val="none"/>
          <w:u w:val="none"/>
        </w:rPr>
      </w:pPr>
      <w:bookmarkStart w:id="0" w:name="生成日期_currentDateTime_ym"/>
      <w:r>
        <w:rPr>
          <w:rFonts w:hint="eastAsia" w:ascii="宋体" w:hAnsi="宋体" w:eastAsia="宋体" w:cs="宋体"/>
          <w:color w:val="auto"/>
          <w:sz w:val="36"/>
          <w:szCs w:val="36"/>
          <w:highlight w:val="none"/>
          <w:u w:val="none"/>
          <w:lang w:val="en-US" w:eastAsia="zh-CN"/>
        </w:rPr>
        <w:t>2025</w:t>
      </w:r>
      <w:r>
        <w:rPr>
          <w:rFonts w:hint="eastAsia" w:ascii="宋体" w:hAnsi="宋体" w:eastAsia="宋体" w:cs="宋体"/>
          <w:color w:val="auto"/>
          <w:sz w:val="36"/>
          <w:szCs w:val="36"/>
          <w:highlight w:val="none"/>
          <w:u w:val="none"/>
          <w:lang w:eastAsia="zh-CN"/>
        </w:rPr>
        <w:t>年</w:t>
      </w:r>
      <w:r>
        <w:rPr>
          <w:rFonts w:hint="eastAsia" w:ascii="宋体" w:hAnsi="宋体" w:eastAsia="宋体" w:cs="宋体"/>
          <w:color w:val="auto"/>
          <w:sz w:val="36"/>
          <w:szCs w:val="36"/>
          <w:highlight w:val="none"/>
          <w:u w:val="none"/>
          <w:lang w:val="en-US" w:eastAsia="zh-CN"/>
        </w:rPr>
        <w:t>4</w:t>
      </w:r>
      <w:r>
        <w:rPr>
          <w:rFonts w:hint="eastAsia" w:ascii="宋体" w:hAnsi="宋体" w:eastAsia="宋体" w:cs="宋体"/>
          <w:color w:val="auto"/>
          <w:sz w:val="36"/>
          <w:szCs w:val="36"/>
          <w:highlight w:val="none"/>
          <w:u w:val="none"/>
          <w:lang w:eastAsia="zh-CN"/>
        </w:rPr>
        <w:t>月</w:t>
      </w:r>
      <w:bookmarkEnd w:id="0"/>
    </w:p>
    <w:p>
      <w:pPr>
        <w:spacing w:before="0" w:after="0" w:line="360" w:lineRule="auto"/>
        <w:jc w:val="left"/>
        <w:rPr>
          <w:color w:val="auto"/>
          <w:highlight w:val="none"/>
        </w:rPr>
      </w:pPr>
      <w:r>
        <w:rPr>
          <w:color w:val="auto"/>
          <w:highlight w:val="none"/>
        </w:rPr>
        <w:br w:type="page"/>
      </w:r>
    </w:p>
    <w:p>
      <w:pPr>
        <w:pStyle w:val="2"/>
        <w:keepNext w:val="0"/>
        <w:spacing w:before="0" w:after="0" w:line="360" w:lineRule="auto"/>
        <w:jc w:val="center"/>
        <w:rPr>
          <w:rFonts w:ascii="仿宋_GB2312" w:hAnsi="仿宋_GB2312" w:eastAsia="仿宋_GB2312" w:cs="仿宋_GB2312"/>
          <w:b/>
          <w:bCs/>
          <w:color w:val="auto"/>
          <w:sz w:val="32"/>
          <w:szCs w:val="32"/>
          <w:highlight w:val="none"/>
        </w:rPr>
      </w:pPr>
      <w:bookmarkStart w:id="1" w:name="_Toc256000000"/>
      <w:r>
        <w:rPr>
          <w:rFonts w:ascii="仿宋_GB2312" w:hAnsi="仿宋_GB2312" w:eastAsia="仿宋_GB2312" w:cs="仿宋_GB2312"/>
          <w:color w:val="auto"/>
          <w:kern w:val="36"/>
          <w:highlight w:val="none"/>
        </w:rPr>
        <w:t>1项目概述</w:t>
      </w:r>
      <w:bookmarkEnd w:id="1"/>
    </w:p>
    <w:p>
      <w:pPr>
        <w:pStyle w:val="3"/>
        <w:keepNext w:val="0"/>
        <w:spacing w:before="0" w:after="0" w:line="360" w:lineRule="auto"/>
        <w:rPr>
          <w:rFonts w:ascii="仿宋_GB2312" w:hAnsi="仿宋_GB2312" w:eastAsia="仿宋_GB2312" w:cs="仿宋_GB2312"/>
          <w:b/>
          <w:bCs/>
          <w:color w:val="auto"/>
          <w:sz w:val="28"/>
          <w:szCs w:val="28"/>
          <w:highlight w:val="none"/>
        </w:rPr>
      </w:pPr>
      <w:bookmarkStart w:id="2" w:name="_Toc256000001"/>
      <w:r>
        <w:rPr>
          <w:rFonts w:ascii="仿宋_GB2312" w:hAnsi="仿宋_GB2312" w:eastAsia="仿宋_GB2312" w:cs="仿宋_GB2312"/>
          <w:i w:val="0"/>
          <w:iCs w:val="0"/>
          <w:color w:val="auto"/>
          <w:highlight w:val="none"/>
        </w:rPr>
        <w:t>1.1项目背景</w:t>
      </w:r>
      <w:bookmarkEnd w:id="2"/>
    </w:p>
    <w:p>
      <w:pPr>
        <w:pStyle w:val="4"/>
        <w:keepNext w:val="0"/>
        <w:spacing w:before="0" w:after="0" w:line="360" w:lineRule="auto"/>
        <w:rPr>
          <w:rFonts w:ascii="仿宋_GB2312" w:hAnsi="仿宋_GB2312" w:eastAsia="仿宋_GB2312" w:cs="仿宋_GB2312"/>
          <w:b/>
          <w:bCs/>
          <w:color w:val="auto"/>
          <w:sz w:val="28"/>
          <w:szCs w:val="28"/>
          <w:highlight w:val="none"/>
        </w:rPr>
      </w:pPr>
      <w:bookmarkStart w:id="3" w:name="_Toc256000002"/>
      <w:r>
        <w:rPr>
          <w:rFonts w:ascii="仿宋_GB2312" w:hAnsi="仿宋_GB2312" w:eastAsia="仿宋_GB2312" w:cs="仿宋_GB2312"/>
          <w:color w:val="auto"/>
          <w:sz w:val="28"/>
          <w:szCs w:val="28"/>
          <w:highlight w:val="none"/>
        </w:rPr>
        <w:t>1.1.1项目目的、意义及背景</w:t>
      </w:r>
      <w:bookmarkEnd w:id="3"/>
    </w:p>
    <w:p>
      <w:pPr>
        <w:spacing w:beforeLines="0" w:afterLines="0"/>
        <w:ind w:firstLine="640" w:firstLineChars="200"/>
        <w:jc w:val="left"/>
        <w:rPr>
          <w:rFonts w:hint="default" w:ascii="仿宋_GB2312" w:hAnsi="仿宋_GB2312" w:eastAsia="仿宋_GB2312" w:cs="仿宋_GB2312"/>
          <w:color w:val="auto"/>
          <w:sz w:val="32"/>
          <w:szCs w:val="40"/>
          <w:lang w:val="en-US" w:eastAsia="zh-CN"/>
        </w:rPr>
      </w:pPr>
      <w:bookmarkStart w:id="4" w:name="_Toc256000003"/>
      <w:r>
        <w:rPr>
          <w:rFonts w:hint="eastAsia" w:ascii="仿宋_GB2312" w:hAnsi="仿宋_GB2312" w:eastAsia="仿宋_GB2312" w:cs="仿宋_GB2312"/>
          <w:color w:val="auto"/>
          <w:sz w:val="32"/>
          <w:szCs w:val="40"/>
        </w:rPr>
        <w:t>为</w:t>
      </w:r>
      <w:r>
        <w:rPr>
          <w:rFonts w:hint="eastAsia" w:ascii="仿宋_GB2312" w:hAnsi="仿宋_GB2312" w:eastAsia="仿宋_GB2312" w:cs="仿宋_GB2312"/>
          <w:color w:val="auto"/>
          <w:sz w:val="32"/>
          <w:szCs w:val="40"/>
          <w:lang w:eastAsia="zh-CN"/>
        </w:rPr>
        <w:t>更好地为</w:t>
      </w:r>
      <w:r>
        <w:rPr>
          <w:rFonts w:hint="eastAsia" w:ascii="仿宋_GB2312" w:hAnsi="仿宋_GB2312" w:eastAsia="仿宋_GB2312" w:cs="仿宋_GB2312"/>
          <w:color w:val="auto"/>
          <w:sz w:val="32"/>
          <w:szCs w:val="40"/>
        </w:rPr>
        <w:t>纳税人</w:t>
      </w:r>
      <w:r>
        <w:rPr>
          <w:rFonts w:hint="eastAsia" w:ascii="仿宋_GB2312" w:hAnsi="仿宋_GB2312" w:eastAsia="仿宋_GB2312" w:cs="仿宋_GB2312"/>
          <w:color w:val="auto"/>
          <w:sz w:val="32"/>
          <w:szCs w:val="40"/>
          <w:lang w:eastAsia="zh-CN"/>
        </w:rPr>
        <w:t>、缴费人提供</w:t>
      </w:r>
      <w:r>
        <w:rPr>
          <w:rFonts w:hint="eastAsia" w:ascii="仿宋_GB2312" w:hAnsi="仿宋_GB2312" w:eastAsia="仿宋_GB2312" w:cs="仿宋_GB2312"/>
          <w:color w:val="auto"/>
          <w:sz w:val="32"/>
          <w:szCs w:val="40"/>
        </w:rPr>
        <w:t>多元化、个性化、快捷化的涉税咨询</w:t>
      </w:r>
      <w:r>
        <w:rPr>
          <w:rFonts w:hint="eastAsia" w:ascii="仿宋_GB2312" w:hAnsi="仿宋_GB2312" w:eastAsia="仿宋_GB2312" w:cs="仿宋_GB2312"/>
          <w:color w:val="auto"/>
          <w:sz w:val="32"/>
          <w:szCs w:val="40"/>
          <w:lang w:eastAsia="zh-CN"/>
        </w:rPr>
        <w:t>和线上办理服务</w:t>
      </w:r>
      <w:r>
        <w:rPr>
          <w:rFonts w:hint="eastAsia" w:ascii="仿宋_GB2312" w:hAnsi="仿宋_GB2312" w:eastAsia="仿宋_GB2312" w:cs="仿宋_GB2312"/>
          <w:color w:val="auto"/>
          <w:sz w:val="32"/>
          <w:szCs w:val="40"/>
        </w:rPr>
        <w:t>，东湖区局于2017 年组建成立了“87512366”纳税服务特服号，提供集约化的税收政策及征管流程咨询、网上办税运维及纳税服务类投诉的电话受理服务</w:t>
      </w:r>
      <w:r>
        <w:rPr>
          <w:rFonts w:hint="eastAsia" w:ascii="仿宋_GB2312" w:hAnsi="仿宋_GB2312" w:eastAsia="仿宋_GB2312" w:cs="仿宋_GB2312"/>
          <w:color w:val="auto"/>
          <w:sz w:val="32"/>
          <w:szCs w:val="40"/>
          <w:lang w:eastAsia="zh-CN"/>
        </w:rPr>
        <w:t>；于</w:t>
      </w:r>
      <w:r>
        <w:rPr>
          <w:rFonts w:hint="eastAsia" w:ascii="仿宋_GB2312" w:hAnsi="仿宋_GB2312" w:eastAsia="仿宋_GB2312" w:cs="仿宋_GB2312"/>
          <w:color w:val="auto"/>
          <w:sz w:val="32"/>
          <w:szCs w:val="40"/>
          <w:lang w:val="en-US" w:eastAsia="zh-CN"/>
        </w:rPr>
        <w:t>2023年按照统一要求设立了征纳互动服务运营中心，提供全程互动的税费业务辅导、快速业务办理等服务。2024</w:t>
      </w:r>
      <w:r>
        <w:rPr>
          <w:rFonts w:hint="eastAsia" w:ascii="仿宋_GB2312" w:hAnsi="仿宋_GB2312" w:eastAsia="仿宋_GB2312" w:cs="仿宋_GB2312"/>
          <w:color w:val="auto"/>
          <w:sz w:val="32"/>
          <w:szCs w:val="40"/>
        </w:rPr>
        <w:t>年度全年共受理来电近</w:t>
      </w:r>
      <w:r>
        <w:rPr>
          <w:rFonts w:hint="eastAsia" w:ascii="仿宋_GB2312" w:hAnsi="仿宋_GB2312" w:eastAsia="仿宋_GB2312" w:cs="仿宋_GB2312"/>
          <w:color w:val="auto"/>
          <w:sz w:val="32"/>
          <w:szCs w:val="40"/>
          <w:lang w:val="en-US" w:eastAsia="zh-CN"/>
        </w:rPr>
        <w:t>35万条</w:t>
      </w:r>
      <w:r>
        <w:rPr>
          <w:rFonts w:hint="eastAsia" w:ascii="仿宋_GB2312" w:hAnsi="仿宋_GB2312" w:eastAsia="仿宋_GB2312" w:cs="仿宋_GB2312"/>
          <w:color w:val="auto"/>
          <w:sz w:val="32"/>
          <w:szCs w:val="40"/>
          <w:lang w:eastAsia="zh-CN"/>
        </w:rPr>
        <w:t>、人工在线互动逾</w:t>
      </w:r>
      <w:r>
        <w:rPr>
          <w:rFonts w:hint="eastAsia" w:ascii="仿宋_GB2312" w:hAnsi="仿宋_GB2312" w:eastAsia="仿宋_GB2312" w:cs="仿宋_GB2312"/>
          <w:color w:val="auto"/>
          <w:sz w:val="32"/>
          <w:szCs w:val="40"/>
          <w:lang w:val="en-US" w:eastAsia="zh-CN"/>
        </w:rPr>
        <w:t>16万户次。</w:t>
      </w:r>
    </w:p>
    <w:p>
      <w:pPr>
        <w:pStyle w:val="3"/>
        <w:keepNext w:val="0"/>
        <w:spacing w:before="0" w:after="0" w:line="360" w:lineRule="auto"/>
        <w:rPr>
          <w:rFonts w:ascii="仿宋_GB2312" w:hAnsi="仿宋_GB2312" w:eastAsia="仿宋_GB2312" w:cs="仿宋_GB2312"/>
          <w:b/>
          <w:bCs/>
          <w:color w:val="auto"/>
          <w:sz w:val="28"/>
          <w:szCs w:val="28"/>
          <w:highlight w:val="none"/>
        </w:rPr>
      </w:pPr>
      <w:r>
        <w:rPr>
          <w:rFonts w:ascii="仿宋_GB2312" w:hAnsi="仿宋_GB2312" w:eastAsia="仿宋_GB2312" w:cs="仿宋_GB2312"/>
          <w:i w:val="0"/>
          <w:iCs w:val="0"/>
          <w:color w:val="auto"/>
          <w:highlight w:val="none"/>
        </w:rPr>
        <w:t>1.2项目内容</w:t>
      </w:r>
      <w:bookmarkEnd w:id="4"/>
    </w:p>
    <w:p>
      <w:pPr>
        <w:pStyle w:val="4"/>
        <w:keepNext w:val="0"/>
        <w:spacing w:before="0" w:after="0" w:line="360" w:lineRule="auto"/>
        <w:rPr>
          <w:rFonts w:ascii="仿宋_GB2312" w:hAnsi="仿宋_GB2312" w:eastAsia="仿宋_GB2312" w:cs="仿宋_GB2312"/>
          <w:b/>
          <w:bCs/>
          <w:color w:val="auto"/>
          <w:sz w:val="28"/>
          <w:szCs w:val="28"/>
          <w:highlight w:val="none"/>
        </w:rPr>
      </w:pPr>
      <w:bookmarkStart w:id="5" w:name="_Toc256000004"/>
      <w:r>
        <w:rPr>
          <w:rFonts w:ascii="仿宋_GB2312" w:hAnsi="仿宋_GB2312" w:eastAsia="仿宋_GB2312" w:cs="仿宋_GB2312"/>
          <w:color w:val="auto"/>
          <w:sz w:val="28"/>
          <w:szCs w:val="28"/>
          <w:highlight w:val="none"/>
        </w:rPr>
        <w:t>1.2.1项目建设思路</w:t>
      </w:r>
      <w:bookmarkEnd w:id="5"/>
    </w:p>
    <w:p>
      <w:pPr>
        <w:spacing w:before="0" w:after="0" w:line="360" w:lineRule="auto"/>
        <w:rPr>
          <w:rFonts w:ascii="FangSong_GB2312" w:hAnsi="FangSong_GB2312" w:eastAsia="FangSong_GB2312" w:cs="FangSong_GB2312"/>
          <w:color w:val="auto"/>
          <w:sz w:val="28"/>
          <w:szCs w:val="28"/>
          <w:highlight w:val="none"/>
        </w:rPr>
      </w:pPr>
      <w:r>
        <w:rPr>
          <w:rFonts w:hint="eastAsia" w:ascii="FangSong_GB2312" w:hAnsi="FangSong_GB2312" w:eastAsia="FangSong_GB2312" w:cs="FangSong_GB2312"/>
          <w:color w:val="auto"/>
          <w:sz w:val="28"/>
          <w:szCs w:val="28"/>
          <w:highlight w:val="none"/>
          <w:lang w:eastAsia="zh-CN"/>
        </w:rPr>
        <w:t>选</w:t>
      </w:r>
      <w:r>
        <w:rPr>
          <w:rFonts w:ascii="FangSong_GB2312" w:hAnsi="FangSong_GB2312" w:eastAsia="FangSong_GB2312" w:cs="FangSong_GB2312"/>
          <w:color w:val="auto"/>
          <w:sz w:val="28"/>
          <w:szCs w:val="28"/>
          <w:highlight w:val="none"/>
        </w:rPr>
        <w:t>填</w:t>
      </w:r>
    </w:p>
    <w:p>
      <w:pPr>
        <w:pStyle w:val="4"/>
        <w:keepNext w:val="0"/>
        <w:spacing w:before="0" w:after="0" w:line="360" w:lineRule="auto"/>
        <w:rPr>
          <w:rFonts w:ascii="仿宋_GB2312" w:hAnsi="仿宋_GB2312" w:eastAsia="仿宋_GB2312" w:cs="仿宋_GB2312"/>
          <w:b/>
          <w:bCs/>
          <w:color w:val="auto"/>
          <w:sz w:val="28"/>
          <w:szCs w:val="28"/>
          <w:highlight w:val="none"/>
        </w:rPr>
      </w:pPr>
      <w:bookmarkStart w:id="6" w:name="_Toc256000005"/>
      <w:r>
        <w:rPr>
          <w:rFonts w:ascii="仿宋_GB2312" w:hAnsi="仿宋_GB2312" w:eastAsia="仿宋_GB2312" w:cs="仿宋_GB2312"/>
          <w:color w:val="auto"/>
          <w:sz w:val="28"/>
          <w:szCs w:val="28"/>
          <w:highlight w:val="none"/>
        </w:rPr>
        <w:t>1.2.2采购内容</w:t>
      </w:r>
      <w:bookmarkEnd w:id="6"/>
    </w:p>
    <w:p>
      <w:pPr>
        <w:ind w:firstLine="640" w:firstLineChars="200"/>
        <w:textAlignment w:val="center"/>
        <w:rPr>
          <w:rFonts w:hint="eastAsia" w:ascii="仿宋_GB2312" w:hAnsi="仿宋_GB2312" w:eastAsia="仿宋_GB2312" w:cs="仿宋_GB2312"/>
          <w:color w:val="auto"/>
          <w:sz w:val="32"/>
          <w:szCs w:val="40"/>
          <w:lang w:val="en-US" w:eastAsia="zh-CN"/>
        </w:rPr>
      </w:pPr>
      <w:bookmarkStart w:id="7" w:name="_Toc256000006"/>
      <w:r>
        <w:rPr>
          <w:rFonts w:hint="eastAsia" w:ascii="仿宋_GB2312" w:hAnsi="仿宋_GB2312" w:eastAsia="仿宋_GB2312" w:cs="仿宋_GB2312"/>
          <w:color w:val="auto"/>
          <w:sz w:val="32"/>
          <w:szCs w:val="40"/>
          <w:lang w:val="en-US" w:eastAsia="zh-CN"/>
        </w:rPr>
        <w:t>为国家税务总局武汉东湖新技术开发区税务局办税服务厅提供税务协助服务，利用87512366纳税服务热线和征纳互动服务通过语音、网络等多种形式，向纳税人、缴费人提供各类税费种政策咨询、缴费咨询、办税服务、涉税查询、投诉受理、涉税调查、税法宣传等涉税服务。</w:t>
      </w:r>
    </w:p>
    <w:p>
      <w:pPr>
        <w:pStyle w:val="4"/>
        <w:keepNext w:val="0"/>
        <w:spacing w:before="0" w:after="0" w:line="360" w:lineRule="auto"/>
        <w:rPr>
          <w:rFonts w:ascii="仿宋_GB2312" w:hAnsi="仿宋_GB2312" w:eastAsia="仿宋_GB2312" w:cs="仿宋_GB2312"/>
          <w:b/>
          <w:bCs/>
          <w:color w:val="auto"/>
          <w:sz w:val="28"/>
          <w:szCs w:val="28"/>
          <w:highlight w:val="none"/>
        </w:rPr>
      </w:pPr>
      <w:r>
        <w:rPr>
          <w:rFonts w:ascii="仿宋_GB2312" w:hAnsi="仿宋_GB2312" w:eastAsia="仿宋_GB2312" w:cs="仿宋_GB2312"/>
          <w:color w:val="auto"/>
          <w:sz w:val="28"/>
          <w:szCs w:val="28"/>
          <w:highlight w:val="none"/>
        </w:rPr>
        <w:t>1.2.3项目实施要求</w:t>
      </w:r>
      <w:bookmarkEnd w:id="7"/>
    </w:p>
    <w:p>
      <w:pPr>
        <w:pStyle w:val="5"/>
        <w:keepNext w:val="0"/>
        <w:spacing w:before="0" w:after="0" w:line="360" w:lineRule="auto"/>
        <w:rPr>
          <w:rFonts w:ascii="仿宋_GB2312" w:hAnsi="仿宋_GB2312" w:eastAsia="仿宋_GB2312" w:cs="仿宋_GB2312"/>
          <w:b/>
          <w:bCs/>
          <w:color w:val="auto"/>
          <w:sz w:val="28"/>
          <w:szCs w:val="28"/>
          <w:highlight w:val="none"/>
        </w:rPr>
      </w:pPr>
      <w:r>
        <w:rPr>
          <w:rFonts w:ascii="仿宋_GB2312" w:hAnsi="仿宋_GB2312" w:eastAsia="仿宋_GB2312" w:cs="仿宋_GB2312"/>
          <w:color w:val="auto"/>
          <w:highlight w:val="none"/>
        </w:rPr>
        <w:t>1.2.3.1实施范围要求</w:t>
      </w:r>
    </w:p>
    <w:p>
      <w:pPr>
        <w:spacing w:beforeLines="0" w:afterLines="0"/>
        <w:ind w:firstLine="640" w:firstLineChars="200"/>
        <w:jc w:val="left"/>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国家税务总局武汉东湖新技术开发区税务局税务协助服务主要包括利用87512366纳税服务热线和征纳互动服务通过语音、网络等多种形式，向纳税人、缴费人提供各类税费种政策咨询、缴费咨询、办税服务、涉税查询、投诉受理、涉税调查、税法宣传等涉税服务。</w:t>
      </w:r>
    </w:p>
    <w:p>
      <w:pPr>
        <w:pStyle w:val="5"/>
        <w:keepNext w:val="0"/>
        <w:spacing w:before="0" w:after="0" w:line="360" w:lineRule="auto"/>
        <w:rPr>
          <w:rFonts w:hint="eastAsia" w:ascii="仿宋_GB2312" w:hAnsi="仿宋_GB2312" w:eastAsia="仿宋_GB2312" w:cs="仿宋_GB2312"/>
          <w:strike/>
          <w:dstrike w:val="0"/>
          <w:color w:val="auto"/>
          <w:sz w:val="32"/>
          <w:szCs w:val="40"/>
          <w:lang w:val="en-US" w:eastAsia="zh-CN"/>
        </w:rPr>
      </w:pPr>
      <w:r>
        <w:rPr>
          <w:rFonts w:ascii="仿宋_GB2312" w:hAnsi="仿宋_GB2312" w:eastAsia="仿宋_GB2312" w:cs="仿宋_GB2312"/>
          <w:color w:val="auto"/>
          <w:highlight w:val="none"/>
        </w:rPr>
        <w:t>1.2.3.2实施时间要求</w:t>
      </w:r>
    </w:p>
    <w:p>
      <w:pPr>
        <w:spacing w:beforeLines="0" w:afterLines="0"/>
        <w:ind w:firstLine="640" w:firstLineChars="200"/>
        <w:jc w:val="left"/>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第一次合同期限2025年7月5日至2026年7月4日，服务期满后，采购人可视情况与中标单位签订下一年度的服务合同，续签年限最多不超过两年。</w:t>
      </w:r>
    </w:p>
    <w:p>
      <w:pPr>
        <w:pStyle w:val="5"/>
        <w:keepNext w:val="0"/>
        <w:spacing w:before="0" w:after="0" w:line="360" w:lineRule="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ascii="仿宋_GB2312" w:hAnsi="仿宋_GB2312" w:eastAsia="仿宋_GB2312" w:cs="仿宋_GB2312"/>
          <w:color w:val="auto"/>
          <w:highlight w:val="none"/>
        </w:rPr>
        <w:t>1.2.3.3实施地点要求</w:t>
      </w:r>
    </w:p>
    <w:p>
      <w:pPr>
        <w:pStyle w:val="3"/>
        <w:keepNext w:val="0"/>
        <w:spacing w:before="0" w:after="0" w:line="360" w:lineRule="auto"/>
        <w:rPr>
          <w:rFonts w:hint="eastAsia" w:ascii="仿宋_GB2312" w:hAnsi="仿宋_GB2312" w:eastAsia="仿宋_GB2312" w:cs="仿宋_GB2312"/>
          <w:b w:val="0"/>
          <w:bCs w:val="0"/>
          <w:i w:val="0"/>
          <w:iCs w:val="0"/>
          <w:color w:val="auto"/>
          <w:sz w:val="32"/>
          <w:szCs w:val="40"/>
          <w:lang w:val="en-US" w:eastAsia="zh-CN"/>
        </w:rPr>
      </w:pPr>
      <w:bookmarkStart w:id="8" w:name="_Toc256000007"/>
      <w:r>
        <w:rPr>
          <w:rFonts w:hint="eastAsia" w:ascii="仿宋_GB2312" w:hAnsi="仿宋_GB2312" w:eastAsia="仿宋_GB2312" w:cs="仿宋_GB2312"/>
          <w:b w:val="0"/>
          <w:bCs w:val="0"/>
          <w:i w:val="0"/>
          <w:iCs w:val="0"/>
          <w:color w:val="auto"/>
          <w:sz w:val="32"/>
          <w:szCs w:val="40"/>
          <w:lang w:val="en-US" w:eastAsia="zh-CN"/>
        </w:rPr>
        <w:t>湖北省武汉市东湖高新区高新大道777号光谷政务服务中心1号楼。</w:t>
      </w:r>
    </w:p>
    <w:p>
      <w:pPr>
        <w:pStyle w:val="3"/>
        <w:keepNext w:val="0"/>
        <w:spacing w:before="0" w:after="0" w:line="360" w:lineRule="auto"/>
        <w:rPr>
          <w:rFonts w:hint="eastAsia" w:ascii="仿宋_GB2312" w:hAnsi="仿宋_GB2312" w:eastAsia="仿宋_GB2312" w:cs="仿宋_GB2312"/>
          <w:b/>
          <w:bCs/>
          <w:color w:val="auto"/>
          <w:sz w:val="28"/>
          <w:szCs w:val="28"/>
          <w:highlight w:val="none"/>
          <w:lang w:eastAsia="zh-CN"/>
        </w:rPr>
      </w:pPr>
      <w:r>
        <w:rPr>
          <w:rFonts w:ascii="仿宋_GB2312" w:hAnsi="仿宋_GB2312" w:eastAsia="仿宋_GB2312" w:cs="仿宋_GB2312"/>
          <w:i w:val="0"/>
          <w:iCs w:val="0"/>
          <w:color w:val="auto"/>
          <w:highlight w:val="none"/>
        </w:rPr>
        <w:t>1.3其他要求</w:t>
      </w:r>
      <w:bookmarkEnd w:id="8"/>
      <w:r>
        <w:rPr>
          <w:rFonts w:hint="eastAsia" w:ascii="仿宋_GB2312" w:hAnsi="仿宋_GB2312" w:eastAsia="仿宋_GB2312" w:cs="仿宋_GB2312"/>
          <w:i w:val="0"/>
          <w:iCs w:val="0"/>
          <w:color w:val="auto"/>
          <w:highlight w:val="none"/>
          <w:lang w:eastAsia="zh-CN"/>
        </w:rPr>
        <w:t>（选填）</w:t>
      </w:r>
    </w:p>
    <w:p>
      <w:pPr>
        <w:pStyle w:val="4"/>
        <w:keepNext w:val="0"/>
        <w:spacing w:before="0" w:after="0" w:line="360" w:lineRule="auto"/>
        <w:rPr>
          <w:rFonts w:hint="default" w:ascii="仿宋_GB2312" w:hAnsi="仿宋_GB2312" w:eastAsia="仿宋_GB2312" w:cs="仿宋_GB2312"/>
          <w:b/>
          <w:bCs/>
          <w:color w:val="auto"/>
          <w:sz w:val="28"/>
          <w:szCs w:val="28"/>
          <w:highlight w:val="none"/>
          <w:lang w:val="en-US" w:eastAsia="zh-CN"/>
        </w:rPr>
      </w:pPr>
      <w:bookmarkStart w:id="9" w:name="_Toc256000008"/>
      <w:r>
        <w:rPr>
          <w:rFonts w:ascii="仿宋_GB2312" w:hAnsi="仿宋_GB2312" w:eastAsia="仿宋_GB2312" w:cs="仿宋_GB2312"/>
          <w:color w:val="auto"/>
          <w:sz w:val="28"/>
          <w:szCs w:val="28"/>
          <w:highlight w:val="none"/>
        </w:rPr>
        <w:t>1.3.1采购标的需执行的相关标准规范</w:t>
      </w:r>
      <w:bookmarkEnd w:id="9"/>
      <w:r>
        <w:rPr>
          <w:rFonts w:hint="eastAsia" w:ascii="仿宋_GB2312" w:hAnsi="仿宋_GB2312" w:eastAsia="仿宋_GB2312" w:cs="仿宋_GB2312"/>
          <w:color w:val="auto"/>
          <w:sz w:val="28"/>
          <w:szCs w:val="28"/>
          <w:highlight w:val="none"/>
          <w:lang w:val="en-US" w:eastAsia="zh-CN"/>
        </w:rPr>
        <w:t xml:space="preserve"> </w:t>
      </w:r>
    </w:p>
    <w:p>
      <w:pPr>
        <w:spacing w:before="0" w:after="0"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选</w:t>
      </w:r>
      <w:r>
        <w:rPr>
          <w:rFonts w:ascii="仿宋_GB2312" w:hAnsi="仿宋_GB2312" w:eastAsia="仿宋_GB2312" w:cs="仿宋_GB2312"/>
          <w:color w:val="auto"/>
          <w:sz w:val="28"/>
          <w:szCs w:val="28"/>
          <w:highlight w:val="none"/>
        </w:rPr>
        <w:t>填</w:t>
      </w:r>
    </w:p>
    <w:p>
      <w:pPr>
        <w:pStyle w:val="2"/>
        <w:keepNext w:val="0"/>
        <w:spacing w:before="0" w:after="0" w:line="360" w:lineRule="auto"/>
        <w:jc w:val="center"/>
        <w:rPr>
          <w:rFonts w:ascii="仿宋_GB2312" w:hAnsi="仿宋_GB2312" w:eastAsia="仿宋_GB2312" w:cs="仿宋_GB2312"/>
          <w:b/>
          <w:bCs/>
          <w:color w:val="auto"/>
          <w:sz w:val="32"/>
          <w:szCs w:val="32"/>
          <w:highlight w:val="none"/>
        </w:rPr>
      </w:pPr>
      <w:bookmarkStart w:id="10" w:name="_Toc256000009"/>
      <w:r>
        <w:rPr>
          <w:rFonts w:ascii="仿宋_GB2312" w:hAnsi="仿宋_GB2312" w:eastAsia="仿宋_GB2312" w:cs="仿宋_GB2312"/>
          <w:color w:val="auto"/>
          <w:kern w:val="36"/>
          <w:highlight w:val="none"/>
        </w:rPr>
        <w:t>2投标/响应要求</w:t>
      </w:r>
      <w:bookmarkEnd w:id="10"/>
    </w:p>
    <w:p>
      <w:pPr>
        <w:pStyle w:val="3"/>
        <w:keepNext w:val="0"/>
        <w:spacing w:before="0" w:after="0" w:line="360" w:lineRule="auto"/>
        <w:rPr>
          <w:rFonts w:ascii="仿宋_GB2312" w:hAnsi="仿宋_GB2312" w:eastAsia="仿宋_GB2312" w:cs="仿宋_GB2312"/>
          <w:b/>
          <w:bCs/>
          <w:color w:val="auto"/>
          <w:sz w:val="28"/>
          <w:szCs w:val="28"/>
          <w:highlight w:val="none"/>
        </w:rPr>
      </w:pPr>
      <w:bookmarkStart w:id="11" w:name="_Toc256000010"/>
      <w:r>
        <w:rPr>
          <w:rFonts w:ascii="仿宋_GB2312" w:hAnsi="仿宋_GB2312" w:eastAsia="仿宋_GB2312" w:cs="仿宋_GB2312"/>
          <w:i w:val="0"/>
          <w:iCs w:val="0"/>
          <w:color w:val="auto"/>
          <w:highlight w:val="none"/>
        </w:rPr>
        <w:t>2.1对供应商的要求</w:t>
      </w:r>
      <w:bookmarkEnd w:id="11"/>
    </w:p>
    <w:p>
      <w:pPr>
        <w:pStyle w:val="4"/>
        <w:keepNext w:val="0"/>
        <w:spacing w:before="0" w:after="0" w:line="360" w:lineRule="auto"/>
        <w:rPr>
          <w:color w:val="auto"/>
        </w:rPr>
      </w:pPr>
      <w:bookmarkStart w:id="12" w:name="_Toc256000011"/>
      <w:r>
        <w:rPr>
          <w:rFonts w:ascii="仿宋_GB2312" w:hAnsi="仿宋_GB2312" w:eastAsia="仿宋_GB2312" w:cs="仿宋_GB2312"/>
          <w:color w:val="auto"/>
          <w:sz w:val="28"/>
          <w:szCs w:val="28"/>
          <w:highlight w:val="none"/>
        </w:rPr>
        <w:t>2.1.1必备资质</w:t>
      </w:r>
      <w:bookmarkEnd w:id="12"/>
    </w:p>
    <w:p>
      <w:pPr>
        <w:pStyle w:val="5"/>
        <w:keepNext w:val="0"/>
        <w:spacing w:before="0" w:after="0" w:line="360" w:lineRule="auto"/>
        <w:rPr>
          <w:rFonts w:ascii="仿宋_GB2312" w:hAnsi="仿宋_GB2312" w:eastAsia="仿宋_GB2312" w:cs="仿宋_GB2312"/>
          <w:b/>
          <w:bCs/>
          <w:color w:val="auto"/>
          <w:sz w:val="28"/>
          <w:szCs w:val="28"/>
          <w:highlight w:val="none"/>
        </w:rPr>
      </w:pPr>
      <w:r>
        <w:rPr>
          <w:rFonts w:ascii="仿宋_GB2312" w:hAnsi="仿宋_GB2312" w:eastAsia="仿宋_GB2312" w:cs="仿宋_GB2312"/>
          <w:color w:val="auto"/>
          <w:highlight w:val="none"/>
        </w:rPr>
        <w:t>2.1.1.1投标人应遵守有关国家法律、法规和条例,具备《中华人民共和国政府采购法》第二十二条的规定和本文件中规定的条件。</w:t>
      </w:r>
    </w:p>
    <w:p>
      <w:pPr>
        <w:pStyle w:val="5"/>
        <w:keepNext w:val="0"/>
        <w:spacing w:before="0" w:after="0" w:line="360" w:lineRule="auto"/>
        <w:rPr>
          <w:rFonts w:hint="eastAsia" w:ascii="仿宋_GB2312" w:hAnsi="仿宋_GB2312" w:eastAsia="仿宋_GB2312" w:cs="仿宋_GB2312"/>
          <w:b/>
          <w:bCs/>
          <w:color w:val="auto"/>
          <w:sz w:val="28"/>
          <w:szCs w:val="28"/>
          <w:highlight w:val="none"/>
          <w:lang w:eastAsia="zh-CN"/>
        </w:rPr>
      </w:pPr>
      <w:r>
        <w:rPr>
          <w:rFonts w:ascii="仿宋_GB2312" w:hAnsi="仿宋_GB2312" w:eastAsia="仿宋_GB2312" w:cs="仿宋_GB2312"/>
          <w:color w:val="auto"/>
          <w:highlight w:val="none"/>
        </w:rPr>
        <w:t>2.1.1.2本项目的特定资格要求</w:t>
      </w:r>
      <w:r>
        <w:rPr>
          <w:rFonts w:hint="eastAsia" w:ascii="仿宋_GB2312" w:hAnsi="仿宋_GB2312" w:eastAsia="仿宋_GB2312" w:cs="仿宋_GB2312"/>
          <w:color w:val="auto"/>
          <w:highlight w:val="none"/>
          <w:lang w:eastAsia="zh-CN"/>
        </w:rPr>
        <w:t>（选填）</w:t>
      </w:r>
    </w:p>
    <w:p>
      <w:pPr>
        <w:spacing w:before="0" w:after="0" w:line="360" w:lineRule="auto"/>
        <w:rPr>
          <w:rFonts w:ascii="仿宋_GB2312" w:hAnsi="仿宋_GB2312" w:eastAsia="仿宋_GB2312" w:cs="仿宋_GB2312"/>
          <w:color w:val="auto"/>
          <w:sz w:val="28"/>
          <w:szCs w:val="28"/>
          <w:highlight w:val="none"/>
        </w:rPr>
      </w:pPr>
      <w:r>
        <w:rPr>
          <w:rFonts w:ascii="FangSong_GB2312" w:hAnsi="FangSong_GB2312" w:eastAsia="FangSong_GB2312" w:cs="FangSong_GB2312"/>
          <w:color w:val="auto"/>
          <w:sz w:val="28"/>
          <w:szCs w:val="28"/>
          <w:highlight w:val="none"/>
        </w:rPr>
        <w:t>如项目接受联合体投标，对联合体应提出相关资格要求；如属于特定行业项目,供应商应当具备特定行业法定准入要求。</w:t>
      </w:r>
    </w:p>
    <w:p>
      <w:pPr>
        <w:pStyle w:val="4"/>
        <w:keepNext w:val="0"/>
        <w:spacing w:before="0" w:after="0" w:line="360" w:lineRule="auto"/>
        <w:rPr>
          <w:rFonts w:hint="eastAsia" w:ascii="仿宋_GB2312" w:hAnsi="仿宋_GB2312" w:eastAsia="仿宋_GB2312" w:cs="仿宋_GB2312"/>
          <w:b/>
          <w:bCs/>
          <w:color w:val="auto"/>
          <w:sz w:val="28"/>
          <w:szCs w:val="28"/>
          <w:highlight w:val="none"/>
          <w:lang w:val="en-US" w:eastAsia="zh-CN"/>
        </w:rPr>
      </w:pPr>
      <w:bookmarkStart w:id="13" w:name="_Toc256000012"/>
      <w:r>
        <w:rPr>
          <w:rFonts w:ascii="仿宋_GB2312" w:hAnsi="仿宋_GB2312" w:eastAsia="仿宋_GB2312" w:cs="仿宋_GB2312"/>
          <w:color w:val="auto"/>
          <w:sz w:val="28"/>
          <w:szCs w:val="28"/>
          <w:highlight w:val="none"/>
        </w:rPr>
        <w:t>2.1.2优选资质/优选指标</w:t>
      </w:r>
      <w:bookmarkEnd w:id="13"/>
      <w:r>
        <w:rPr>
          <w:rFonts w:hint="eastAsia" w:ascii="仿宋_GB2312" w:hAnsi="仿宋_GB2312" w:eastAsia="仿宋_GB2312" w:cs="仿宋_GB2312"/>
          <w:color w:val="auto"/>
          <w:sz w:val="28"/>
          <w:szCs w:val="28"/>
          <w:highlight w:val="none"/>
          <w:lang w:eastAsia="zh-CN"/>
        </w:rPr>
        <w:t>（选填）</w:t>
      </w:r>
    </w:p>
    <w:p>
      <w:pPr>
        <w:pStyle w:val="5"/>
        <w:keepNext w:val="0"/>
        <w:spacing w:before="0" w:after="0" w:line="360" w:lineRule="auto"/>
        <w:rPr>
          <w:rFonts w:ascii="仿宋_GB2312" w:hAnsi="仿宋_GB2312" w:eastAsia="仿宋_GB2312" w:cs="仿宋_GB2312"/>
          <w:b/>
          <w:bCs/>
          <w:color w:val="auto"/>
          <w:sz w:val="28"/>
          <w:szCs w:val="28"/>
          <w:highlight w:val="none"/>
        </w:rPr>
      </w:pPr>
      <w:r>
        <w:rPr>
          <w:rFonts w:ascii="仿宋_GB2312" w:hAnsi="仿宋_GB2312" w:eastAsia="仿宋_GB2312" w:cs="仿宋_GB2312"/>
          <w:color w:val="auto"/>
          <w:highlight w:val="none"/>
        </w:rPr>
        <w:t>2.1.2.1相关证书</w:t>
      </w:r>
      <w:r>
        <w:rPr>
          <w:rFonts w:hint="eastAsia" w:ascii="仿宋_GB2312" w:hAnsi="仿宋_GB2312" w:eastAsia="仿宋_GB2312" w:cs="仿宋_GB2312"/>
          <w:color w:val="auto"/>
          <w:sz w:val="28"/>
          <w:szCs w:val="28"/>
          <w:highlight w:val="none"/>
          <w:lang w:eastAsia="zh-CN"/>
        </w:rPr>
        <w:t>（选填）</w:t>
      </w:r>
    </w:p>
    <w:p>
      <w:pPr>
        <w:pStyle w:val="5"/>
        <w:keepNext w:val="0"/>
        <w:spacing w:before="0" w:after="0" w:line="360" w:lineRule="auto"/>
        <w:rPr>
          <w:rFonts w:ascii="仿宋_GB2312" w:hAnsi="仿宋_GB2312" w:eastAsia="仿宋_GB2312" w:cs="仿宋_GB2312"/>
          <w:b/>
          <w:bCs/>
          <w:color w:val="auto"/>
          <w:sz w:val="28"/>
          <w:szCs w:val="28"/>
          <w:highlight w:val="none"/>
        </w:rPr>
      </w:pPr>
      <w:r>
        <w:rPr>
          <w:rFonts w:ascii="仿宋_GB2312" w:hAnsi="仿宋_GB2312" w:eastAsia="仿宋_GB2312" w:cs="仿宋_GB2312"/>
          <w:color w:val="auto"/>
          <w:highlight w:val="none"/>
        </w:rPr>
        <w:t>2.1.2.2成功案例</w:t>
      </w:r>
      <w:r>
        <w:rPr>
          <w:rFonts w:hint="eastAsia" w:ascii="仿宋_GB2312" w:hAnsi="仿宋_GB2312" w:eastAsia="仿宋_GB2312" w:cs="仿宋_GB2312"/>
          <w:color w:val="auto"/>
          <w:sz w:val="28"/>
          <w:szCs w:val="28"/>
          <w:highlight w:val="none"/>
          <w:lang w:eastAsia="zh-CN"/>
        </w:rPr>
        <w:t>（选填）</w:t>
      </w:r>
    </w:p>
    <w:p>
      <w:pPr>
        <w:spacing w:before="0" w:after="0" w:line="360" w:lineRule="auto"/>
        <w:rPr>
          <w:rFonts w:ascii="仿宋_GB2312" w:hAnsi="仿宋_GB2312" w:eastAsia="仿宋_GB2312" w:cs="仿宋_GB2312"/>
          <w:color w:val="auto"/>
          <w:sz w:val="28"/>
          <w:szCs w:val="28"/>
          <w:highlight w:val="none"/>
        </w:rPr>
      </w:pPr>
      <w:r>
        <w:rPr>
          <w:rFonts w:ascii="FangSong_GB2312" w:hAnsi="FangSong_GB2312" w:eastAsia="FangSong_GB2312" w:cs="FangSong_GB2312"/>
          <w:color w:val="auto"/>
          <w:sz w:val="28"/>
          <w:szCs w:val="28"/>
          <w:highlight w:val="none"/>
        </w:rPr>
        <w:t>有效案例为XX年XX月XX日以来（以合同签订日期为准）,供应商独立承担的XX项目案例。</w:t>
      </w:r>
    </w:p>
    <w:p>
      <w:pPr>
        <w:pStyle w:val="4"/>
        <w:keepNext w:val="0"/>
        <w:spacing w:before="0" w:after="0" w:line="360" w:lineRule="auto"/>
        <w:rPr>
          <w:rFonts w:ascii="仿宋_GB2312" w:hAnsi="仿宋_GB2312" w:eastAsia="仿宋_GB2312" w:cs="仿宋_GB2312"/>
          <w:b/>
          <w:bCs/>
          <w:color w:val="auto"/>
          <w:sz w:val="28"/>
          <w:szCs w:val="28"/>
          <w:highlight w:val="none"/>
        </w:rPr>
      </w:pPr>
      <w:bookmarkStart w:id="14" w:name="_Toc256000013"/>
      <w:r>
        <w:rPr>
          <w:rFonts w:ascii="仿宋_GB2312" w:hAnsi="仿宋_GB2312" w:eastAsia="仿宋_GB2312" w:cs="仿宋_GB2312"/>
          <w:color w:val="auto"/>
          <w:sz w:val="28"/>
          <w:szCs w:val="28"/>
          <w:highlight w:val="none"/>
        </w:rPr>
        <w:t>2.1.3是否允许联合体</w:t>
      </w:r>
      <w:bookmarkEnd w:id="14"/>
    </w:p>
    <w:p>
      <w:pPr>
        <w:spacing w:before="0" w:after="0" w:line="360" w:lineRule="auto"/>
        <w:ind w:firstLine="561"/>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否</w:t>
      </w:r>
    </w:p>
    <w:p>
      <w:pPr>
        <w:pStyle w:val="4"/>
        <w:keepNext w:val="0"/>
        <w:spacing w:before="0" w:after="0" w:line="360" w:lineRule="auto"/>
        <w:rPr>
          <w:rFonts w:ascii="仿宋_GB2312" w:hAnsi="仿宋_GB2312" w:eastAsia="仿宋_GB2312" w:cs="仿宋_GB2312"/>
          <w:b/>
          <w:bCs/>
          <w:color w:val="auto"/>
          <w:sz w:val="28"/>
          <w:szCs w:val="28"/>
          <w:highlight w:val="none"/>
        </w:rPr>
      </w:pPr>
      <w:bookmarkStart w:id="15" w:name="_Toc256000014"/>
      <w:r>
        <w:rPr>
          <w:rFonts w:ascii="仿宋_GB2312" w:hAnsi="仿宋_GB2312" w:eastAsia="仿宋_GB2312" w:cs="仿宋_GB2312"/>
          <w:color w:val="auto"/>
          <w:sz w:val="28"/>
          <w:szCs w:val="28"/>
          <w:highlight w:val="none"/>
        </w:rPr>
        <w:t>2.1.4是否专门面向中小企业</w:t>
      </w:r>
      <w:bookmarkEnd w:id="15"/>
    </w:p>
    <w:p>
      <w:pPr>
        <w:spacing w:before="0" w:after="0" w:line="360" w:lineRule="auto"/>
        <w:ind w:firstLine="561"/>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本项目专门面向中小企业采购</w:t>
      </w:r>
    </w:p>
    <w:p>
      <w:pPr>
        <w:pStyle w:val="4"/>
        <w:keepNext w:val="0"/>
        <w:spacing w:before="0" w:after="0" w:line="360" w:lineRule="auto"/>
        <w:rPr>
          <w:rFonts w:hint="eastAsia" w:ascii="仿宋_GB2312" w:hAnsi="仿宋_GB2312" w:eastAsia="仿宋_GB2312" w:cs="仿宋_GB2312"/>
          <w:color w:val="auto"/>
          <w:sz w:val="28"/>
          <w:szCs w:val="28"/>
          <w:highlight w:val="none"/>
          <w:lang w:eastAsia="zh-CN"/>
        </w:rPr>
      </w:pPr>
      <w:bookmarkStart w:id="16" w:name="_Toc256000015"/>
      <w:r>
        <w:rPr>
          <w:rFonts w:ascii="仿宋_GB2312" w:hAnsi="仿宋_GB2312" w:eastAsia="仿宋_GB2312" w:cs="仿宋_GB2312"/>
          <w:color w:val="auto"/>
          <w:sz w:val="28"/>
          <w:szCs w:val="28"/>
          <w:highlight w:val="none"/>
        </w:rPr>
        <w:t>2.1.5其他要求</w:t>
      </w:r>
      <w:bookmarkEnd w:id="16"/>
      <w:r>
        <w:rPr>
          <w:rFonts w:hint="eastAsia" w:ascii="仿宋_GB2312" w:hAnsi="仿宋_GB2312" w:eastAsia="仿宋_GB2312" w:cs="仿宋_GB2312"/>
          <w:color w:val="auto"/>
          <w:sz w:val="28"/>
          <w:szCs w:val="28"/>
          <w:highlight w:val="none"/>
          <w:lang w:eastAsia="zh-CN"/>
        </w:rPr>
        <w:t>（选填）</w:t>
      </w:r>
    </w:p>
    <w:p>
      <w:pPr>
        <w:pStyle w:val="4"/>
        <w:keepNext w:val="0"/>
        <w:spacing w:before="0" w:after="0"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2.1.5.1 保险要求（标*为必须满足项）</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供应商须依照国家法律法规及行业规范提供相关福利及购买相关保险保障，严格遵守《劳动法》、《劳动合同法》等劳动管理的法律、法规，规范劳动用工管理；应与所管理的服务工作人员签订劳动聘用合同，依照现行国家法律法规及行业规范为项目全体员工购买社会保险及提供相关福利。</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2.供应商定期提供社保、福利缴纳及发放凭证供采购人审核，需提供社保缴纳证明。</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供应商负责服务人员的劳动合同、薪酬、保险等的管理，并按照国家、省、市的政策办理完备相关手续，如未按本条约定购买相关保险，发生任何意外或员工伤亡，供应商应承担相应的赔偿责任和法律责任。采购人对供应商员工发生的任何意外和伤亡事故不承担任何赔偿责任。</w:t>
      </w:r>
    </w:p>
    <w:p>
      <w:pPr>
        <w:pStyle w:val="7"/>
        <w:numPr>
          <w:ilvl w:val="0"/>
          <w:numId w:val="0"/>
        </w:numPr>
        <w:rPr>
          <w:rFonts w:hint="eastAsia"/>
          <w:color w:val="auto"/>
          <w:lang w:val="en-US" w:eastAsia="zh-CN"/>
        </w:rPr>
      </w:pPr>
    </w:p>
    <w:p>
      <w:pPr>
        <w:pStyle w:val="4"/>
        <w:keepNext w:val="0"/>
        <w:spacing w:before="0" w:after="0"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2.1.5.2</w:t>
      </w:r>
      <w:r>
        <w:rPr>
          <w:rFonts w:hint="eastAsia" w:ascii="仿宋_GB2312" w:hAnsi="仿宋_GB2312" w:eastAsia="仿宋_GB2312" w:cs="仿宋_GB2312"/>
          <w:color w:val="auto"/>
          <w:sz w:val="28"/>
          <w:szCs w:val="28"/>
          <w:highlight w:val="none"/>
        </w:rPr>
        <w:t>人员要求（标*为必须满足项）</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1.人力配置要求</w:t>
      </w:r>
    </w:p>
    <w:p>
      <w:pPr>
        <w:ind w:firstLine="640" w:firstLineChars="200"/>
        <w:rPr>
          <w:rFonts w:hint="default" w:ascii="仿宋_GB2312" w:hAnsi="仿宋_GB2312" w:eastAsia="仿宋_GB2312" w:cs="仿宋_GB2312"/>
          <w:color w:val="auto"/>
          <w:sz w:val="32"/>
          <w:szCs w:val="40"/>
          <w:highlight w:val="yellow"/>
          <w:lang w:val="en-US" w:eastAsia="zh-CN"/>
        </w:rPr>
      </w:pPr>
      <w:r>
        <w:rPr>
          <w:rFonts w:hint="eastAsia" w:ascii="仿宋_GB2312" w:hAnsi="仿宋_GB2312" w:eastAsia="仿宋_GB2312" w:cs="仿宋_GB2312"/>
          <w:color w:val="auto"/>
          <w:sz w:val="32"/>
          <w:szCs w:val="40"/>
          <w:lang w:val="en-US" w:eastAsia="zh-CN"/>
        </w:rPr>
        <w:t>供应商应基于对本项目全部服务需求及服务质量标准的充分理解，综合考虑运营过程的各方面的变化因素（含人员离职补充、节假日加班、各类休假替班、工伤事件、紧急事件应急支援等）及国家和当地劳动法规的要求提供人力配置方案；在实际运营中若出现人力配置不足以满足服务标准和要求的情况，供应商应主动增加人力配置，增加人力配置的费用由供应商自行承担。</w:t>
      </w:r>
      <w:r>
        <w:rPr>
          <w:rFonts w:hint="eastAsia" w:ascii="仿宋_GB2312" w:hAnsi="仿宋_GB2312" w:eastAsia="仿宋_GB2312" w:cs="仿宋_GB2312"/>
          <w:color w:val="auto"/>
          <w:sz w:val="32"/>
          <w:szCs w:val="40"/>
          <w:highlight w:val="none"/>
          <w:lang w:val="en-US" w:eastAsia="zh-CN"/>
        </w:rPr>
        <w:t>为保证日常工作平稳开展及业务培训效果的持续性，供应商应确保实际人员的工作稳定性，将在岗一年期以上人员比例稳定在80%以上。</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供应商在技术回复文件中需按照要求提供人力配置清单。在合同需求未发生变更的情况下，供应商应按清单配置人数，提供足额的人工工时服务。</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2.人员素质要求</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投标人为本项目配备的服务人员应具有良好的服务意识和交流沟通能力、专业能力、主动性。供应商在投标文件中应该明确各岗位的实际人员素质及工作经验要求，按照自行设计的人力配置方案，提供各业务各岗位工作职责、基本素质要求的描述。</w:t>
      </w:r>
    </w:p>
    <w:p>
      <w:pPr>
        <w:pStyle w:val="4"/>
        <w:keepNext w:val="0"/>
        <w:spacing w:before="0" w:after="0"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2.1.5.3</w:t>
      </w:r>
      <w:r>
        <w:rPr>
          <w:rFonts w:hint="eastAsia" w:ascii="仿宋_GB2312" w:hAnsi="仿宋_GB2312" w:eastAsia="仿宋_GB2312" w:cs="仿宋_GB2312"/>
          <w:color w:val="auto"/>
          <w:sz w:val="28"/>
          <w:szCs w:val="28"/>
          <w:highlight w:val="none"/>
        </w:rPr>
        <w:t>服务质量要求</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1.供应商切换并岗要求</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在正式接管前，供应商应需安排各业务人员到现场进行并岗学习和培训，此项费用由供应商报价时在成本测算中综合考虑，无需单独报价，采购人不再另行单独支付。</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2.供应商学习培训时限要求</w:t>
      </w:r>
    </w:p>
    <w:p>
      <w:pPr>
        <w:ind w:firstLine="640" w:firstLineChars="200"/>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供应商有完善的培训体系及培训师资，能保障服务人员的公共性服务知识及礼仪培训；管理岗位人员每年培训时间不应低于20小时，服务岗位员工不低于48小时/年。</w:t>
      </w:r>
    </w:p>
    <w:p>
      <w:pPr>
        <w:pStyle w:val="3"/>
        <w:keepNext w:val="0"/>
        <w:spacing w:before="0" w:after="0" w:line="360" w:lineRule="auto"/>
        <w:rPr>
          <w:rFonts w:ascii="仿宋_GB2312" w:hAnsi="仿宋_GB2312" w:eastAsia="仿宋_GB2312" w:cs="仿宋_GB2312"/>
          <w:b/>
          <w:bCs/>
          <w:color w:val="auto"/>
          <w:sz w:val="28"/>
          <w:szCs w:val="28"/>
          <w:highlight w:val="none"/>
        </w:rPr>
      </w:pPr>
      <w:bookmarkStart w:id="17" w:name="_Toc256000016"/>
      <w:r>
        <w:rPr>
          <w:rFonts w:ascii="仿宋_GB2312" w:hAnsi="仿宋_GB2312" w:eastAsia="仿宋_GB2312" w:cs="仿宋_GB2312"/>
          <w:i w:val="0"/>
          <w:iCs w:val="0"/>
          <w:color w:val="auto"/>
          <w:highlight w:val="none"/>
        </w:rPr>
        <w:t>2.2技术部分投标/响应内容</w:t>
      </w:r>
      <w:bookmarkEnd w:id="17"/>
    </w:p>
    <w:p>
      <w:pPr>
        <w:pStyle w:val="4"/>
        <w:keepNext w:val="0"/>
        <w:spacing w:before="0" w:after="0" w:line="360" w:lineRule="auto"/>
        <w:rPr>
          <w:rFonts w:ascii="仿宋_GB2312" w:hAnsi="仿宋_GB2312" w:eastAsia="仿宋_GB2312" w:cs="仿宋_GB2312"/>
          <w:b/>
          <w:bCs/>
          <w:color w:val="auto"/>
          <w:sz w:val="28"/>
          <w:szCs w:val="28"/>
          <w:highlight w:val="none"/>
        </w:rPr>
      </w:pPr>
      <w:bookmarkStart w:id="18" w:name="_Toc256000017"/>
      <w:r>
        <w:rPr>
          <w:rFonts w:ascii="仿宋_GB2312" w:hAnsi="仿宋_GB2312" w:eastAsia="仿宋_GB2312" w:cs="仿宋_GB2312"/>
          <w:color w:val="auto"/>
          <w:sz w:val="28"/>
          <w:szCs w:val="28"/>
          <w:highlight w:val="none"/>
        </w:rPr>
        <w:t>2.2.1技术投标/响应总要求</w:t>
      </w:r>
      <w:bookmarkEnd w:id="18"/>
    </w:p>
    <w:p>
      <w:pPr>
        <w:spacing w:before="0" w:after="0" w:line="360" w:lineRule="auto"/>
        <w:rPr>
          <w:rFonts w:hint="eastAsia" w:ascii="仿宋_GB2312" w:hAnsi="仿宋_GB2312" w:eastAsia="仿宋_GB2312" w:cs="仿宋_GB2312"/>
          <w:color w:val="auto"/>
          <w:sz w:val="28"/>
          <w:szCs w:val="28"/>
          <w:highlight w:val="none"/>
          <w:lang w:eastAsia="zh-CN"/>
        </w:rPr>
      </w:pPr>
      <w:bookmarkStart w:id="19" w:name="_Toc256000018"/>
      <w:r>
        <w:rPr>
          <w:rFonts w:hint="eastAsia" w:ascii="仿宋_GB2312" w:hAnsi="仿宋_GB2312" w:eastAsia="仿宋_GB2312" w:cs="仿宋_GB2312"/>
          <w:color w:val="auto"/>
          <w:sz w:val="28"/>
          <w:szCs w:val="28"/>
          <w:highlight w:val="none"/>
          <w:lang w:eastAsia="zh-CN"/>
        </w:rPr>
        <w:t>选填</w:t>
      </w:r>
    </w:p>
    <w:p>
      <w:pPr>
        <w:pStyle w:val="4"/>
        <w:keepNext w:val="0"/>
        <w:spacing w:before="0" w:after="0" w:line="360" w:lineRule="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2.2.2投标/响应方案要求</w:t>
      </w:r>
      <w:bookmarkEnd w:id="19"/>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供应商应在投标书中依据需求提供以下方面的方案及内容：</w:t>
      </w:r>
    </w:p>
    <w:p>
      <w:pPr>
        <w:ind w:firstLine="640" w:firstLineChars="200"/>
        <w:rPr>
          <w:rFonts w:hint="eastAsia" w:ascii="仿宋_GB2312" w:hAnsi="仿宋_GB2312" w:eastAsia="仿宋_GB2312" w:cs="仿宋_GB2312"/>
          <w:color w:val="auto"/>
          <w:sz w:val="32"/>
          <w:szCs w:val="40"/>
          <w:lang w:val="en-US" w:eastAsia="zh-CN"/>
        </w:rPr>
      </w:pPr>
      <w:bookmarkStart w:id="20" w:name="_Toc256000019"/>
      <w:r>
        <w:rPr>
          <w:rFonts w:hint="eastAsia" w:ascii="仿宋_GB2312" w:hAnsi="仿宋_GB2312" w:eastAsia="仿宋_GB2312" w:cs="仿宋_GB2312"/>
          <w:color w:val="auto"/>
          <w:sz w:val="32"/>
          <w:szCs w:val="40"/>
          <w:lang w:val="en-US" w:eastAsia="zh-CN"/>
        </w:rPr>
        <w:t>1.项目需求理解：投标人对本项目需求的响应程度，包括但不限于87512366 纳税缴费服务热线及征纳互动服务工作性质、工作内容、工作方式、工作标准。</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40"/>
          <w:lang w:val="en-US" w:eastAsia="zh-CN"/>
        </w:rPr>
        <w:t>2.人员配置保障方案：需提供包括但不限于本项目需求书“项目人员要求”及“坐席人员准备及培训要求”相关保障方案。</w:t>
      </w:r>
      <w:r>
        <w:rPr>
          <w:rFonts w:hint="eastAsia" w:ascii="仿宋_GB2312" w:hAnsi="仿宋_GB2312" w:eastAsia="仿宋_GB2312" w:cs="仿宋_GB2312"/>
          <w:color w:val="auto"/>
          <w:sz w:val="32"/>
          <w:szCs w:val="32"/>
        </w:rPr>
        <w:t>投标人应保证人员岗位的稳定，如有特殊原因人员需要变动的，需提前一周向采购人汇报并说明原因，提供相应的应急措施。采购人提出用人需求或退回服务人员后，在3 个工作日内投标人应将人员补充到位。服务人员出现下列情况的，采购人将服务人员退回：</w:t>
      </w:r>
    </w:p>
    <w:p>
      <w:pPr>
        <w:spacing w:beforeLines="0" w:afterLine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（1）到达法定退休年龄或合同规定年龄的，两者时间不一致的，以较早时间为准；</w:t>
      </w:r>
    </w:p>
    <w:p>
      <w:pPr>
        <w:spacing w:beforeLines="0" w:afterLine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（2）在虚开增值税专用发票、骗取出口退税、骗取税费优惠等案件中内外勾结、以税谋私的；</w:t>
      </w:r>
    </w:p>
    <w:p>
      <w:pPr>
        <w:spacing w:beforeLines="0" w:afterLine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（3）经公安机关认定具有醉驾、赌博等违法行为的；</w:t>
      </w:r>
    </w:p>
    <w:p>
      <w:pPr>
        <w:spacing w:beforeLines="0" w:afterLine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（4）经商办企业、在企业兼职（任职）领取报酬的；</w:t>
      </w:r>
    </w:p>
    <w:p>
      <w:pPr>
        <w:spacing w:beforeLines="0" w:afterLine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（5）违反保密纪律、非法获取保密信息、泄露工作秘密、不如实或不及时提供个人信息，情节严重的；</w:t>
      </w:r>
    </w:p>
    <w:p>
      <w:pPr>
        <w:spacing w:beforeLines="0" w:afterLines="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（6）有违法犯罪行为的及其他严重违规、违纪、违法行为或损害税务部门形象的</w:t>
      </w:r>
      <w:r>
        <w:rPr>
          <w:rFonts w:hint="eastAsia" w:ascii="仿宋_GB2312" w:hAnsi="仿宋_GB2312" w:eastAsia="仿宋_GB2312" w:cs="仿宋_GB2312"/>
          <w:color w:val="auto"/>
          <w:sz w:val="32"/>
          <w:szCs w:val="32"/>
          <w:lang w:eastAsia="zh-CN"/>
        </w:rPr>
        <w:t>；</w:t>
      </w:r>
    </w:p>
    <w:p>
      <w:pPr>
        <w:spacing w:beforeLines="0" w:afterLines="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存在违反工作纪律的情况：一个月内服务人员旷工一次的；一个月内迟到或早退5次（含）以上的；不在岗时间五个工作日（含）以上的（公休假除外）；发生交通事故造成经济损失的；有投诉记录，且因服务态度，服务质量等问题被投诉超过三次（含）的</w:t>
      </w:r>
      <w:r>
        <w:rPr>
          <w:rFonts w:hint="eastAsia" w:ascii="仿宋_GB2312" w:hAnsi="仿宋_GB2312" w:eastAsia="仿宋_GB2312" w:cs="仿宋_GB2312"/>
          <w:color w:val="auto"/>
          <w:sz w:val="32"/>
          <w:szCs w:val="32"/>
          <w:lang w:eastAsia="zh-CN"/>
        </w:rPr>
        <w:t>。</w:t>
      </w:r>
    </w:p>
    <w:p>
      <w:pPr>
        <w:spacing w:beforeLines="0" w:afterLine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（8）其他不能胜任本岗位工作的情况。</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3.服务质量保证措施：针对本项目，提出科学详细的服务质量保证措施方案。</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4.信息安全保障方案：投标人为本项目制定的信息安全保障方案，包括但不限于需求书中“信息安全要求”的相关要求。</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5.应急保障及人才储备方案：根据投标人针对本项目的要求提出的各种可能出现的突发状况，所指定的应急保障和人才储备方案进行评审，包括但不限于用户需求书“突发应急保障要求”相关要求。</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6.平滑过渡保障方案：为确保本项目在交接期间运营管理有序、对用户的服务不间断，不受影响，投标人提供的平滑过渡保障方案，包括但不限于人员、业务、培训、招聘等内容，提供保障方案及承诺函。</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7.预算编制：项目预算编制完整、合理，符合人岗位合理安排；编制科学、合理可行，符合行业成本测算标准。</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8.特色服务及承诺：针对本项目的服务要求，提出的创新特色服务，及为采购人提供的其他特色服务方案。</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9.投标人的投标报价包括且不限于：人工费用（工薪、五险一金、员工福利等）、餐费补助、招聘费用、管理费用、应缴税费、中标服务费、财务费用、公司收益等，采购人不再为此增加任何费用。投标人必须保证员工的基本工资，社保（五险），劳保福利，加班费等不得低于政府规定的最低标准。法定退休年龄以内的员工薪资标准不得低于武汉市最低工资标准与社保（五险）最低标准之和。</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10.支付安排：采购人根据考核情况按月支付服务费用。</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11.投标人要有优秀的管理团队，项目经理常驻现场，对相关岗位的服务人员进行日常管理。</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投标人要制定符合</w:t>
      </w:r>
      <w:r>
        <w:rPr>
          <w:rFonts w:hint="eastAsia" w:ascii="仿宋_GB2312" w:hAnsi="仿宋_GB2312" w:eastAsia="仿宋_GB2312" w:cs="仿宋_GB2312"/>
          <w:strike w:val="0"/>
          <w:dstrike w:val="0"/>
          <w:color w:val="auto"/>
          <w:sz w:val="32"/>
          <w:szCs w:val="32"/>
          <w:lang w:eastAsia="zh-CN"/>
        </w:rPr>
        <w:t>服务</w:t>
      </w:r>
      <w:r>
        <w:rPr>
          <w:rFonts w:hint="eastAsia" w:ascii="仿宋_GB2312" w:hAnsi="仿宋_GB2312" w:eastAsia="仿宋_GB2312" w:cs="仿宋_GB2312"/>
          <w:color w:val="auto"/>
          <w:sz w:val="32"/>
          <w:szCs w:val="32"/>
        </w:rPr>
        <w:t>岗位工作要求的管理制度和绩效考核办法，并有配套的应急措施。</w:t>
      </w:r>
    </w:p>
    <w:p>
      <w:pPr>
        <w:spacing w:beforeLines="0" w:afterLines="0"/>
        <w:ind w:firstLine="640" w:firstLineChars="200"/>
        <w:jc w:val="left"/>
        <w:rPr>
          <w:rFonts w:hint="eastAsia"/>
          <w:color w:val="auto"/>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严格遵守《劳动法》《劳动合同法》等劳动管理的法律、法规，规范劳动用工管理；应与所管理的</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服务工作人员签订劳动聘用合同。</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服务人员在服务期间发生任何违法违规行为以及安全问题，采购人不承担任何责任。因工作错误产生的一切损失均由投标人全部承担。因服务人员未按时按量完成安排工作而造成的所有相关费用均由投标人全部承担。</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投标人可针对采购人的特点书面提出合理、可行的特色服务条款。</w:t>
      </w:r>
    </w:p>
    <w:p>
      <w:pPr>
        <w:spacing w:before="0" w:after="0" w:line="360" w:lineRule="auto"/>
        <w:ind w:firstLine="640" w:firstLineChars="200"/>
        <w:jc w:val="left"/>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招标文件描述未尽内容，由双方在签订合同时补充完善。</w:t>
      </w:r>
    </w:p>
    <w:p>
      <w:pPr>
        <w:pStyle w:val="7"/>
        <w:numPr>
          <w:ilvl w:val="0"/>
          <w:numId w:val="0"/>
        </w:numPr>
        <w:rPr>
          <w:rFonts w:hint="eastAsia"/>
          <w:color w:val="auto"/>
          <w:lang w:val="en-US" w:eastAsia="zh-CN"/>
        </w:rPr>
      </w:pPr>
    </w:p>
    <w:p>
      <w:pPr>
        <w:pStyle w:val="2"/>
        <w:keepNext w:val="0"/>
        <w:spacing w:before="0" w:after="0" w:line="360" w:lineRule="auto"/>
        <w:jc w:val="both"/>
        <w:rPr>
          <w:rFonts w:ascii="仿宋_GB2312" w:hAnsi="仿宋_GB2312" w:eastAsia="仿宋_GB2312" w:cs="仿宋_GB2312"/>
          <w:b/>
          <w:bCs/>
          <w:color w:val="auto"/>
          <w:sz w:val="32"/>
          <w:szCs w:val="32"/>
          <w:highlight w:val="none"/>
        </w:rPr>
      </w:pPr>
      <w:r>
        <w:rPr>
          <w:rFonts w:ascii="仿宋_GB2312" w:hAnsi="仿宋_GB2312" w:eastAsia="仿宋_GB2312" w:cs="仿宋_GB2312"/>
          <w:color w:val="auto"/>
          <w:kern w:val="36"/>
          <w:highlight w:val="none"/>
        </w:rPr>
        <w:t>3项目需求</w:t>
      </w:r>
      <w:bookmarkEnd w:id="20"/>
    </w:p>
    <w:p>
      <w:pPr>
        <w:pStyle w:val="4"/>
        <w:keepNext w:val="0"/>
        <w:spacing w:before="0" w:after="0" w:line="360" w:lineRule="auto"/>
        <w:rPr>
          <w:rFonts w:hint="eastAsia" w:ascii="仿宋_GB2312" w:hAnsi="仿宋_GB2312" w:eastAsia="仿宋_GB2312" w:cs="仿宋_GB2312"/>
          <w:color w:val="auto"/>
          <w:sz w:val="28"/>
          <w:szCs w:val="28"/>
          <w:highlight w:val="none"/>
          <w:lang w:val="en-US" w:eastAsia="zh-CN"/>
        </w:rPr>
      </w:pPr>
      <w:bookmarkStart w:id="21" w:name="_Toc256000020"/>
      <w:r>
        <w:rPr>
          <w:rFonts w:hint="eastAsia" w:ascii="仿宋_GB2312" w:hAnsi="仿宋_GB2312" w:eastAsia="仿宋_GB2312" w:cs="仿宋_GB2312"/>
          <w:color w:val="auto"/>
          <w:sz w:val="28"/>
          <w:szCs w:val="28"/>
          <w:highlight w:val="none"/>
          <w:lang w:val="en-US" w:eastAsia="zh-CN"/>
        </w:rPr>
        <w:t>3.1总体要求</w:t>
      </w:r>
      <w:bookmarkEnd w:id="21"/>
    </w:p>
    <w:p>
      <w:pPr>
        <w:ind w:firstLine="640" w:firstLineChars="200"/>
        <w:rPr>
          <w:rFonts w:hint="eastAsia" w:ascii="仿宋_GB2312" w:hAnsi="仿宋_GB2312" w:eastAsia="仿宋_GB2312" w:cs="仿宋_GB2312"/>
          <w:color w:val="auto"/>
          <w:sz w:val="32"/>
          <w:szCs w:val="40"/>
          <w:lang w:val="en-US" w:eastAsia="zh-CN"/>
        </w:rPr>
      </w:pPr>
      <w:bookmarkStart w:id="22" w:name="_Toc256000021"/>
      <w:r>
        <w:rPr>
          <w:rFonts w:hint="eastAsia" w:ascii="仿宋_GB2312" w:hAnsi="仿宋_GB2312" w:eastAsia="仿宋_GB2312" w:cs="仿宋_GB2312"/>
          <w:color w:val="auto"/>
          <w:sz w:val="32"/>
          <w:szCs w:val="40"/>
          <w:lang w:val="en-US" w:eastAsia="zh-CN"/>
        </w:rPr>
        <w:t>1.承接87512366 和征纳互动服务的全部业务功能，保证纳税人、缴费人通过电话、网络等各种渠道的请求服务能够快速响应。必须熟练掌握各类办税系统（包括但不限于电子税务局、自然人电子税务局、个人所得税APP、湖北省政务服务网、政务助手APP等）的操作使用及疑难解决。立足于为纳税人、缴费人提供高效、便捷、规范的专业化服务，对系统操作、税收政策、社保非税业务、办税流程的咨询应准确及时解答；为纳税人提供人工互动、互动办理、互动查询等服务；通知公告、涉税提醒、税法宣传须快速准确传递；投诉举报、意见建议要规范受理传递；回访、调查等业务须规范有序开展。如遇可能影响热线通信或征纳互动服务运行的情况，应第一时间通知东湖新技术开发区税务局。</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2.87512366 热线人工接通率不得低于95%，语音质检分数平均得分不得低于95 分（总分为100 分，其中：答复准确40 分，服务规范30 分，来电记录15 分，热点问题5 分，满意度/投诉10 分）。征纳互动服务人工在线互动接通率不得低于武汉市税务局统一要求。</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3.按照东湖新技术开发区税务局的要求开展工作。不得利用87512366热线以及征纳互动服务从事超出业务范围的活动。</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4.根据东湖新技术开发区税务局要求的工作时间开展人工服务。</w:t>
      </w:r>
    </w:p>
    <w:p>
      <w:pPr>
        <w:pStyle w:val="4"/>
        <w:keepNext w:val="0"/>
        <w:spacing w:before="0" w:after="0"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3.2具体要求</w:t>
      </w:r>
      <w:bookmarkEnd w:id="22"/>
    </w:p>
    <w:p>
      <w:pPr>
        <w:spacing w:beforeLines="0" w:afterLines="0"/>
        <w:ind w:firstLine="640" w:firstLineChars="200"/>
        <w:jc w:val="left"/>
        <w:rPr>
          <w:rFonts w:hint="eastAsia" w:ascii="仿宋_GB2312" w:hAnsi="仿宋_GB2312" w:eastAsia="仿宋_GB2312" w:cs="仿宋_GB2312"/>
          <w:color w:val="auto"/>
          <w:sz w:val="32"/>
          <w:szCs w:val="40"/>
          <w:lang w:val="en-US" w:eastAsia="zh-CN"/>
        </w:rPr>
      </w:pPr>
      <w:bookmarkStart w:id="23" w:name="_Toc256000022"/>
      <w:r>
        <w:rPr>
          <w:rFonts w:hint="eastAsia" w:ascii="仿宋_GB2312" w:hAnsi="仿宋_GB2312" w:eastAsia="仿宋_GB2312" w:cs="仿宋_GB2312"/>
          <w:color w:val="auto"/>
          <w:sz w:val="32"/>
          <w:szCs w:val="40"/>
          <w:lang w:val="en-US" w:eastAsia="zh-CN"/>
        </w:rPr>
        <w:t>1.利用87512366 纳税服务热线通过语音、网络等多种形式，提供专业化服务，包括但不限于：</w:t>
      </w:r>
    </w:p>
    <w:p>
      <w:pPr>
        <w:spacing w:beforeLines="0" w:afterLines="0"/>
        <w:ind w:firstLine="640" w:firstLineChars="200"/>
        <w:jc w:val="left"/>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（1）纳税咨询：解答纳税人、缴费人及社会公众提出的税收法律法规、征管规定、办税流程、涉税系统操作等各类税收业务咨询。</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（2）缴费咨询：教育费附加、地方教育费附加、残保金、社保等非税缴费咨询。</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（3）税费服务：为纳税人及社会公众办理税务登记、申报纳税等涉税事项提供指导服务，为缴费人提供缴费渠道、缴费人程序等指导服务。</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（4）税费查询：为纳税人、缴费人及社会公众提供税收法律法规、发票信息、缴费情况等各类税费信息查询。</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（5）投诉受理：受理纳税人、缴费人对税务机关服务质量的投诉。</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（6）涉税调查：开展问需询访、意见征集等活动，通过电话回访等方式了解工作开展质效。</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（7）税法宣传：通过平台接线情况，开展税收政策热点问题收集，为税法宣传提供参考依据。</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（8）需求收集：在为纳税人、缴费人提供各类服务过程中，收集纳税人、缴费人需求，并按规定归集、分析、传递。</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2.利用征纳互动服务人工在线互动功能为纳税人、缴费人提供电子税务局系统操作指导、税费政策咨询、业务流程咨询、业务事项受理或办理等服务。</w:t>
      </w:r>
    </w:p>
    <w:p>
      <w:pPr>
        <w:ind w:firstLine="640" w:firstLineChars="200"/>
        <w:rPr>
          <w:color w:val="auto"/>
        </w:rPr>
      </w:pPr>
      <w:r>
        <w:rPr>
          <w:rFonts w:hint="eastAsia" w:ascii="仿宋_GB2312" w:hAnsi="仿宋_GB2312" w:eastAsia="仿宋_GB2312" w:cs="仿宋_GB2312"/>
          <w:color w:val="auto"/>
          <w:sz w:val="32"/>
          <w:szCs w:val="40"/>
          <w:lang w:val="en-US" w:eastAsia="zh-CN"/>
        </w:rPr>
        <w:t>3.完成国家税务总局武汉东湖新技术开发区税务局交办的其他服务事项。</w:t>
      </w:r>
    </w:p>
    <w:p>
      <w:pPr>
        <w:rPr>
          <w:color w:val="auto"/>
        </w:rPr>
      </w:pPr>
    </w:p>
    <w:p>
      <w:pPr>
        <w:pStyle w:val="2"/>
        <w:keepNext w:val="0"/>
        <w:spacing w:before="0" w:after="0" w:line="360" w:lineRule="auto"/>
        <w:jc w:val="center"/>
        <w:rPr>
          <w:rFonts w:ascii="仿宋_GB2312" w:hAnsi="仿宋_GB2312" w:eastAsia="仿宋_GB2312" w:cs="仿宋_GB2312"/>
          <w:b/>
          <w:bCs/>
          <w:color w:val="auto"/>
          <w:sz w:val="32"/>
          <w:szCs w:val="32"/>
          <w:highlight w:val="none"/>
        </w:rPr>
      </w:pPr>
      <w:r>
        <w:rPr>
          <w:rFonts w:ascii="仿宋_GB2312" w:hAnsi="仿宋_GB2312" w:eastAsia="仿宋_GB2312" w:cs="仿宋_GB2312"/>
          <w:color w:val="auto"/>
          <w:kern w:val="36"/>
          <w:highlight w:val="none"/>
        </w:rPr>
        <w:t>4人员要求</w:t>
      </w:r>
      <w:bookmarkEnd w:id="23"/>
    </w:p>
    <w:p>
      <w:pPr>
        <w:pStyle w:val="3"/>
        <w:keepNext w:val="0"/>
        <w:spacing w:before="0" w:after="0" w:line="360" w:lineRule="auto"/>
        <w:rPr>
          <w:rFonts w:ascii="仿宋_GB2312" w:hAnsi="仿宋_GB2312" w:eastAsia="仿宋_GB2312" w:cs="仿宋_GB2312"/>
          <w:b/>
          <w:bCs/>
          <w:color w:val="auto"/>
          <w:sz w:val="28"/>
          <w:szCs w:val="28"/>
          <w:highlight w:val="none"/>
        </w:rPr>
      </w:pPr>
      <w:bookmarkStart w:id="24" w:name="_Toc256000023"/>
      <w:r>
        <w:rPr>
          <w:rFonts w:ascii="仿宋_GB2312" w:hAnsi="仿宋_GB2312" w:eastAsia="仿宋_GB2312" w:cs="仿宋_GB2312"/>
          <w:i w:val="0"/>
          <w:iCs w:val="0"/>
          <w:color w:val="auto"/>
          <w:highlight w:val="none"/>
        </w:rPr>
        <w:t>4.1团队要求</w:t>
      </w:r>
      <w:bookmarkEnd w:id="24"/>
    </w:p>
    <w:p>
      <w:pPr>
        <w:pStyle w:val="4"/>
        <w:keepNext w:val="0"/>
        <w:spacing w:before="0" w:after="0" w:line="360" w:lineRule="auto"/>
        <w:rPr>
          <w:rFonts w:ascii="仿宋_GB2312" w:hAnsi="仿宋_GB2312" w:eastAsia="仿宋_GB2312" w:cs="仿宋_GB2312"/>
          <w:color w:val="auto"/>
          <w:sz w:val="28"/>
          <w:szCs w:val="28"/>
          <w:highlight w:val="none"/>
        </w:rPr>
      </w:pPr>
      <w:bookmarkStart w:id="25" w:name="_Toc256000024"/>
      <w:r>
        <w:rPr>
          <w:rFonts w:ascii="仿宋_GB2312" w:hAnsi="仿宋_GB2312" w:eastAsia="仿宋_GB2312" w:cs="仿宋_GB2312"/>
          <w:color w:val="auto"/>
          <w:sz w:val="28"/>
          <w:szCs w:val="28"/>
          <w:highlight w:val="none"/>
        </w:rPr>
        <w:t>4.1.1基本要求</w:t>
      </w:r>
      <w:bookmarkEnd w:id="25"/>
    </w:p>
    <w:p>
      <w:pPr>
        <w:pStyle w:val="4"/>
        <w:keepNext w:val="0"/>
        <w:spacing w:before="0" w:after="0" w:line="360" w:lineRule="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4.1.1.1基本团队要求</w:t>
      </w:r>
    </w:p>
    <w:p>
      <w:pPr>
        <w:ind w:firstLine="640" w:firstLineChars="200"/>
        <w:rPr>
          <w:rFonts w:hint="eastAsia" w:ascii="仿宋_GB2312" w:hAnsi="仿宋_GB2312" w:eastAsia="仿宋_GB2312" w:cs="仿宋_GB2312"/>
          <w:color w:val="auto"/>
          <w:sz w:val="32"/>
          <w:szCs w:val="40"/>
          <w:lang w:val="en-US" w:eastAsia="zh-CN"/>
        </w:rPr>
      </w:pPr>
      <w:bookmarkStart w:id="26" w:name="_Toc256000025"/>
      <w:r>
        <w:rPr>
          <w:rFonts w:hint="eastAsia" w:ascii="仿宋_GB2312" w:hAnsi="仿宋_GB2312" w:eastAsia="仿宋_GB2312" w:cs="仿宋_GB2312"/>
          <w:color w:val="auto"/>
          <w:sz w:val="32"/>
          <w:szCs w:val="40"/>
          <w:lang w:val="en-US" w:eastAsia="zh-CN"/>
        </w:rPr>
        <w:t>1.现场管理岗</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负责对团队日常运行、人员安排、业务培训、质量监督、业务分析等开展统筹管理，同时负责突发情况的应急处置；负责与东湖新技术开发区税务局具体对接各项工作事宜。</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2.接线坐席岗</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负责87512366和征纳互动服务向纳税人、缴费人提供政策咨询、操作辅导、涉税查询、办税服务、投诉受理等涉税服务和纳税人、缴费人的回访工作。确保服务质效的前提下，完成每日工作量。</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3.质量监督岗</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负责对87512366坐席岗服务质效开展质检，每月按固定比例抽选坐席接线录音进行回听，按照答复准确、服务规范、来电记录、热点问题、满意度/投诉等方面进行赋分评价。</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4.工单流转岗</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负责统筹市局12366 热线、区局87512366 呼叫中心及征纳互动服务各类工单的登记、流转、回复等工作。</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5.综合业务岗</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负责对接日常交办的其他综合性工作。</w:t>
      </w:r>
    </w:p>
    <w:p>
      <w:pPr>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接线坐席岗必须具备以下基本条件：</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（1）</w:t>
      </w:r>
      <w:r>
        <w:rPr>
          <w:rFonts w:hint="eastAsia" w:ascii="仿宋_GB2312" w:hAnsi="仿宋_GB2312" w:eastAsia="仿宋_GB2312" w:cs="仿宋_GB2312"/>
          <w:color w:val="auto"/>
          <w:sz w:val="32"/>
          <w:szCs w:val="40"/>
        </w:rPr>
        <w:t>具有良好品行，大专及以上学历；</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rPr>
        <w:t>具有具有良好的税收基本业务知识；</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rPr>
        <w:t>普通话发音基本标准，语调自然，表达流畅；</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40"/>
        </w:rPr>
        <w:t>具备较强的服务意识和良好的语言表达能力、沟通能力、学习能力和心理承受能力；</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（5）</w:t>
      </w:r>
      <w:r>
        <w:rPr>
          <w:rFonts w:hint="eastAsia" w:ascii="仿宋_GB2312" w:hAnsi="仿宋_GB2312" w:eastAsia="仿宋_GB2312" w:cs="仿宋_GB2312"/>
          <w:color w:val="auto"/>
          <w:sz w:val="32"/>
          <w:szCs w:val="40"/>
        </w:rPr>
        <w:t>能熟练运用电脑办公软件及汉字录入速度不低于60 字/分钟；</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（6）</w:t>
      </w:r>
      <w:r>
        <w:rPr>
          <w:rFonts w:hint="eastAsia" w:ascii="仿宋_GB2312" w:hAnsi="仿宋_GB2312" w:eastAsia="仿宋_GB2312" w:cs="仿宋_GB2312"/>
          <w:color w:val="auto"/>
          <w:sz w:val="32"/>
          <w:szCs w:val="40"/>
        </w:rPr>
        <w:t>身体健康，无犯罪记录；</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（7）</w:t>
      </w:r>
      <w:r>
        <w:rPr>
          <w:rFonts w:hint="eastAsia" w:ascii="仿宋_GB2312" w:hAnsi="仿宋_GB2312" w:eastAsia="仿宋_GB2312" w:cs="仿宋_GB2312"/>
          <w:color w:val="auto"/>
          <w:sz w:val="32"/>
          <w:szCs w:val="40"/>
        </w:rPr>
        <w:t>未出现下列情形之一的：在虚开增值税专用发票、骗取出口退税、骗取税费优惠等案件中内外勾结、以税谋私的；经公安机关认定具有醉驾、赌博等违法行为的；经商办企业、在企业兼职（任职）领取报酬的；违反保密纪律、非法获取保密信息、泄露工作秘密、不如实或不及时提供个人信息，情节严重的；其他严重违规违纪违法行为或损害税务部门形象的。</w:t>
      </w:r>
    </w:p>
    <w:p>
      <w:pPr>
        <w:pStyle w:val="4"/>
        <w:keepNext w:val="0"/>
        <w:spacing w:before="0" w:after="0"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4.1.2人员培训及保障要求</w:t>
      </w:r>
    </w:p>
    <w:p>
      <w:pPr>
        <w:pStyle w:val="4"/>
        <w:keepNext w:val="0"/>
        <w:spacing w:before="0" w:after="0"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4.1.2.1 坐席人员准备及培训要求</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1.</w:t>
      </w:r>
      <w:r>
        <w:rPr>
          <w:rFonts w:hint="eastAsia" w:ascii="仿宋_GB2312" w:hAnsi="仿宋_GB2312" w:eastAsia="仿宋_GB2312" w:cs="仿宋_GB2312"/>
          <w:color w:val="auto"/>
          <w:sz w:val="32"/>
          <w:szCs w:val="40"/>
        </w:rPr>
        <w:t>工作人员准备。供应商于采购合同签订后7 日内完成工作人员的准备工作。</w:t>
      </w:r>
    </w:p>
    <w:p>
      <w:pPr>
        <w:spacing w:beforeLines="0" w:afterLines="0"/>
        <w:ind w:firstLine="640" w:firstLineChars="200"/>
        <w:jc w:val="left"/>
        <w:rPr>
          <w:rFonts w:hint="eastAsia" w:ascii="仿宋_GB2312" w:hAnsi="仿宋_GB2312" w:eastAsia="仿宋_GB2312" w:cs="仿宋_GB2312"/>
          <w:b w:val="0"/>
          <w:bCs w:val="0"/>
          <w:color w:val="auto"/>
          <w:sz w:val="32"/>
          <w:szCs w:val="40"/>
        </w:rPr>
      </w:pP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rPr>
        <w:t>岗前培训。对工作人员的岗前培训应在合同签订后7 日内由供应商完成。培训费由供应商承担。培训完毕后，经国家税务总局武汉</w:t>
      </w:r>
      <w:r>
        <w:rPr>
          <w:rFonts w:hint="eastAsia" w:ascii="仿宋_GB2312" w:hAnsi="仿宋_GB2312" w:eastAsia="仿宋_GB2312" w:cs="仿宋_GB2312"/>
          <w:color w:val="auto"/>
          <w:sz w:val="32"/>
          <w:szCs w:val="40"/>
          <w:lang w:eastAsia="zh-CN"/>
        </w:rPr>
        <w:t>东湖新技术开发区</w:t>
      </w:r>
      <w:r>
        <w:rPr>
          <w:rFonts w:hint="eastAsia" w:ascii="仿宋_GB2312" w:hAnsi="仿宋_GB2312" w:eastAsia="仿宋_GB2312" w:cs="仿宋_GB2312"/>
          <w:color w:val="auto"/>
          <w:sz w:val="32"/>
          <w:szCs w:val="40"/>
        </w:rPr>
        <w:t>税务</w:t>
      </w:r>
      <w:r>
        <w:rPr>
          <w:rFonts w:hint="eastAsia" w:ascii="仿宋_GB2312" w:hAnsi="仿宋_GB2312" w:eastAsia="仿宋_GB2312" w:cs="仿宋_GB2312"/>
          <w:b w:val="0"/>
          <w:bCs w:val="0"/>
          <w:color w:val="auto"/>
          <w:sz w:val="32"/>
          <w:szCs w:val="40"/>
        </w:rPr>
        <w:t>局测试考核符合要求后方能提供坐席服务。</w:t>
      </w:r>
    </w:p>
    <w:p>
      <w:pPr>
        <w:spacing w:beforeLines="0" w:afterLines="0"/>
        <w:ind w:firstLine="640" w:firstLineChars="200"/>
        <w:jc w:val="left"/>
        <w:rPr>
          <w:rFonts w:hint="eastAsia" w:ascii="仿宋_GB2312" w:hAnsi="仿宋_GB2312" w:eastAsia="仿宋_GB2312" w:cs="仿宋_GB2312"/>
          <w:b w:val="0"/>
          <w:bCs w:val="0"/>
          <w:color w:val="auto"/>
          <w:sz w:val="32"/>
          <w:szCs w:val="40"/>
        </w:rPr>
      </w:pPr>
      <w:r>
        <w:rPr>
          <w:rFonts w:hint="eastAsia" w:ascii="仿宋_GB2312" w:hAnsi="仿宋_GB2312" w:eastAsia="仿宋_GB2312" w:cs="仿宋_GB2312"/>
          <w:b w:val="0"/>
          <w:bCs w:val="0"/>
          <w:color w:val="auto"/>
          <w:sz w:val="32"/>
          <w:szCs w:val="40"/>
          <w:lang w:val="en-US" w:eastAsia="zh-CN"/>
        </w:rPr>
        <w:t>3.</w:t>
      </w:r>
      <w:r>
        <w:rPr>
          <w:rFonts w:hint="eastAsia" w:ascii="仿宋_GB2312" w:hAnsi="仿宋_GB2312" w:eastAsia="仿宋_GB2312" w:cs="仿宋_GB2312"/>
          <w:b w:val="0"/>
          <w:bCs w:val="0"/>
          <w:color w:val="auto"/>
          <w:sz w:val="32"/>
          <w:szCs w:val="40"/>
        </w:rPr>
        <w:t>在职培训。中标人应建立完善的日常培训体系，每月不少于4 次的专业知识培训，为更好地留住并培养高素质人才，需依据坐席人员的在职时间及能力发展分阶段分层级进行培养和能力强化。</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b w:val="0"/>
          <w:bCs w:val="0"/>
          <w:color w:val="auto"/>
          <w:sz w:val="32"/>
          <w:szCs w:val="40"/>
          <w:lang w:val="en-US" w:eastAsia="zh-CN"/>
        </w:rPr>
        <w:t>4.</w:t>
      </w:r>
      <w:r>
        <w:rPr>
          <w:rFonts w:hint="eastAsia" w:ascii="仿宋_GB2312" w:hAnsi="仿宋_GB2312" w:eastAsia="仿宋_GB2312" w:cs="仿宋_GB2312"/>
          <w:b w:val="0"/>
          <w:bCs w:val="0"/>
          <w:color w:val="auto"/>
          <w:sz w:val="32"/>
          <w:szCs w:val="40"/>
        </w:rPr>
        <w:t>培训效果验收。采购人对中标人的培训效果进行验收，对不</w:t>
      </w:r>
      <w:r>
        <w:rPr>
          <w:rFonts w:hint="eastAsia" w:ascii="仿宋_GB2312" w:hAnsi="仿宋_GB2312" w:eastAsia="仿宋_GB2312" w:cs="仿宋_GB2312"/>
          <w:color w:val="auto"/>
          <w:sz w:val="32"/>
          <w:szCs w:val="40"/>
        </w:rPr>
        <w:t>合格人员，采购人可要求中标人替换人员。</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5.</w:t>
      </w:r>
      <w:r>
        <w:rPr>
          <w:rFonts w:hint="eastAsia" w:ascii="仿宋_GB2312" w:hAnsi="仿宋_GB2312" w:eastAsia="仿宋_GB2312" w:cs="仿宋_GB2312"/>
          <w:color w:val="auto"/>
          <w:sz w:val="32"/>
          <w:szCs w:val="40"/>
        </w:rPr>
        <w:t>培训费用</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本项目总费用已含在职人员培训费用，员工入职前所产生的培训费用由中标人承担。</w:t>
      </w:r>
    </w:p>
    <w:p>
      <w:pPr>
        <w:pStyle w:val="4"/>
        <w:keepNext w:val="0"/>
        <w:spacing w:before="0" w:after="0"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4.1.2.2 人员业务衔接保障要求</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本项目对坐席人员的业务能力和技巧要求较高，为确保本项目在交接期间运营管理有序，服务不断档，要求过渡期间的人员需具备快速响应的能力。中标人签订合同后7 天内提供不少于日均话务量80%的，具备一年及以上业务服务经验（包括纳税费咨询、缴费咨询、税费服务、税费查询、投诉受理、涉税调查、税法宣传、需求收集等），可直接上岗提供咨询服务的坐席人员。</w:t>
      </w:r>
    </w:p>
    <w:p>
      <w:pPr>
        <w:spacing w:beforeLines="0" w:afterLines="0"/>
        <w:ind w:firstLine="640" w:firstLineChars="200"/>
        <w:jc w:val="lef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现有坐席人员已具备业务能力，中标人在同等条件下，应优先录用愿意留任的坐席人员。</w:t>
      </w:r>
    </w:p>
    <w:p>
      <w:pPr>
        <w:spacing w:beforeLines="0" w:afterLines="0"/>
        <w:ind w:firstLine="640" w:firstLineChars="200"/>
        <w:jc w:val="left"/>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rPr>
        <w:t>投标人应制定人才储备计划，根据当前在线坐席人数的</w:t>
      </w:r>
      <w:r>
        <w:rPr>
          <w:rFonts w:hint="eastAsia" w:ascii="仿宋_GB2312" w:hAnsi="仿宋_GB2312" w:eastAsia="仿宋_GB2312" w:cs="仿宋_GB2312"/>
          <w:color w:val="auto"/>
          <w:sz w:val="32"/>
          <w:szCs w:val="40"/>
          <w:lang w:val="en-US" w:eastAsia="zh-CN"/>
        </w:rPr>
        <w:t>10</w:t>
      </w:r>
      <w:r>
        <w:rPr>
          <w:rFonts w:hint="eastAsia" w:ascii="仿宋_GB2312" w:hAnsi="仿宋_GB2312" w:eastAsia="仿宋_GB2312" w:cs="仿宋_GB2312"/>
          <w:color w:val="auto"/>
          <w:sz w:val="32"/>
          <w:szCs w:val="40"/>
        </w:rPr>
        <w:t>%储备后补人员，建立人才储备库，制定储备人员培训制度及规范。</w:t>
      </w:r>
    </w:p>
    <w:p>
      <w:pPr>
        <w:spacing w:beforeLines="0" w:afterLines="0"/>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4.1.</w:t>
      </w:r>
      <w:r>
        <w:rPr>
          <w:rFonts w:hint="eastAsia" w:ascii="仿宋_GB2312" w:hAnsi="仿宋_GB2312" w:eastAsia="仿宋_GB2312" w:cs="仿宋_GB2312"/>
          <w:color w:val="auto"/>
          <w:sz w:val="28"/>
          <w:szCs w:val="28"/>
          <w:highlight w:val="none"/>
          <w:lang w:val="en-US" w:eastAsia="zh-CN"/>
        </w:rPr>
        <w:t>3</w:t>
      </w:r>
      <w:r>
        <w:rPr>
          <w:rFonts w:ascii="仿宋_GB2312" w:hAnsi="仿宋_GB2312" w:eastAsia="仿宋_GB2312" w:cs="仿宋_GB2312"/>
          <w:color w:val="auto"/>
          <w:sz w:val="28"/>
          <w:szCs w:val="28"/>
          <w:highlight w:val="none"/>
        </w:rPr>
        <w:t>优选资质/优选指标</w:t>
      </w:r>
      <w:bookmarkEnd w:id="26"/>
    </w:p>
    <w:p>
      <w:pPr>
        <w:spacing w:before="0" w:after="0" w:line="360" w:lineRule="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选填</w:t>
      </w:r>
    </w:p>
    <w:p>
      <w:pPr>
        <w:pStyle w:val="2"/>
        <w:keepNext w:val="0"/>
        <w:spacing w:before="0" w:after="0" w:line="360" w:lineRule="auto"/>
        <w:jc w:val="center"/>
        <w:rPr>
          <w:rFonts w:ascii="仿宋_GB2312" w:hAnsi="仿宋_GB2312" w:eastAsia="仿宋_GB2312" w:cs="仿宋_GB2312"/>
          <w:b/>
          <w:bCs/>
          <w:color w:val="auto"/>
          <w:sz w:val="32"/>
          <w:szCs w:val="32"/>
          <w:highlight w:val="none"/>
        </w:rPr>
      </w:pPr>
      <w:bookmarkStart w:id="27" w:name="_Toc256000026"/>
      <w:r>
        <w:rPr>
          <w:rFonts w:ascii="仿宋_GB2312" w:hAnsi="仿宋_GB2312" w:eastAsia="仿宋_GB2312" w:cs="仿宋_GB2312"/>
          <w:color w:val="auto"/>
          <w:kern w:val="36"/>
          <w:highlight w:val="none"/>
        </w:rPr>
        <w:t>5管理实施要求</w:t>
      </w:r>
      <w:bookmarkEnd w:id="27"/>
    </w:p>
    <w:p>
      <w:pPr>
        <w:pStyle w:val="4"/>
        <w:keepNext w:val="0"/>
        <w:spacing w:before="0" w:after="0" w:line="360" w:lineRule="auto"/>
        <w:rPr>
          <w:rFonts w:hint="eastAsia" w:ascii="仿宋_GB2312" w:hAnsi="仿宋_GB2312" w:eastAsia="仿宋_GB2312" w:cs="仿宋_GB2312"/>
          <w:color w:val="auto"/>
          <w:sz w:val="28"/>
          <w:szCs w:val="28"/>
          <w:highlight w:val="none"/>
          <w:lang w:val="en-US" w:eastAsia="zh-CN"/>
        </w:rPr>
      </w:pPr>
      <w:bookmarkStart w:id="28" w:name="_Toc256000027"/>
      <w:r>
        <w:rPr>
          <w:rFonts w:hint="eastAsia" w:ascii="仿宋_GB2312" w:hAnsi="仿宋_GB2312" w:eastAsia="仿宋_GB2312" w:cs="仿宋_GB2312"/>
          <w:color w:val="auto"/>
          <w:sz w:val="28"/>
          <w:szCs w:val="28"/>
          <w:highlight w:val="none"/>
          <w:lang w:val="en-US" w:eastAsia="zh-CN"/>
        </w:rPr>
        <w:t>5.1 服务运行报告要求</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1.中标人应密切监控服务情况，做好质量跟踪、绩效反馈、数据分析、质量提升、沟通协调等工作。</w:t>
      </w:r>
    </w:p>
    <w:p>
      <w:pPr>
        <w:spacing w:beforeLines="0" w:afterLines="0"/>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2.根据采购人需要配合提供本项目相关数据，服务工作结束后需提交总结报告，由采购人进</w:t>
      </w:r>
      <w:r>
        <w:rPr>
          <w:rFonts w:hint="eastAsia" w:ascii="仿宋_GB2312" w:hAnsi="仿宋_GB2312" w:eastAsia="仿宋_GB2312" w:cs="仿宋_GB2312"/>
          <w:b w:val="0"/>
          <w:bCs w:val="0"/>
          <w:color w:val="auto"/>
          <w:sz w:val="32"/>
          <w:szCs w:val="32"/>
        </w:rPr>
        <w:t>行评估验收。</w:t>
      </w:r>
    </w:p>
    <w:p>
      <w:pPr>
        <w:pStyle w:val="4"/>
        <w:keepNext w:val="0"/>
        <w:spacing w:before="0" w:after="0"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5.2 服务质量考核要求</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1.87512366热线</w:t>
      </w:r>
      <w:r>
        <w:rPr>
          <w:rFonts w:hint="eastAsia" w:ascii="仿宋_GB2312" w:hAnsi="仿宋_GB2312" w:eastAsia="仿宋_GB2312" w:cs="仿宋_GB2312"/>
          <w:color w:val="auto"/>
          <w:sz w:val="32"/>
          <w:szCs w:val="32"/>
        </w:rPr>
        <w:t>考核标准参照《87512366 服务质量运行标准和考评标准》。该指标总共</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个考评项总计100 分，</w:t>
      </w:r>
      <w:r>
        <w:rPr>
          <w:rFonts w:hint="eastAsia" w:ascii="仿宋_GB2312" w:hAnsi="仿宋_GB2312" w:eastAsia="仿宋_GB2312" w:cs="仿宋_GB2312"/>
          <w:b w:val="0"/>
          <w:bCs w:val="0"/>
          <w:color w:val="auto"/>
          <w:sz w:val="32"/>
          <w:szCs w:val="32"/>
        </w:rPr>
        <w:t>每月进行考评</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对中标方每一项考评指标进行量化打分，汇总计算出累计分值。考核标准详见《87512366 服务质量运行标准和考评标准》。</w:t>
      </w:r>
    </w:p>
    <w:p>
      <w:pPr>
        <w:spacing w:beforeLines="0" w:afterLines="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2.奖惩制度</w:t>
      </w:r>
    </w:p>
    <w:p>
      <w:pPr>
        <w:spacing w:beforeLines="0" w:afterLines="0"/>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（1）奖励制度。按照《87512366服务质量运行标准和考评标准》，中标方该月考评总分达95分以上的（含95分），中标方应将该月结款金额的1%作为</w:t>
      </w:r>
      <w:r>
        <w:rPr>
          <w:rFonts w:hint="eastAsia" w:ascii="仿宋_GB2312" w:hAnsi="仿宋_GB2312" w:eastAsia="仿宋_GB2312" w:cs="仿宋_GB2312"/>
          <w:b w:val="0"/>
          <w:bCs w:val="0"/>
          <w:color w:val="auto"/>
          <w:sz w:val="32"/>
          <w:szCs w:val="32"/>
          <w:lang w:val="en-US" w:eastAsia="zh-CN"/>
        </w:rPr>
        <w:t>员工团建奖励（此费用不得挪为他用）。</w:t>
      </w:r>
    </w:p>
    <w:p>
      <w:pPr>
        <w:spacing w:beforeLines="0" w:afterLines="0"/>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（2）处罚制度。</w:t>
      </w:r>
      <w:r>
        <w:rPr>
          <w:rFonts w:hint="default" w:ascii="仿宋_GB2312" w:hAnsi="仿宋_GB2312" w:eastAsia="仿宋_GB2312" w:cs="仿宋_GB2312"/>
          <w:b w:val="0"/>
          <w:bCs w:val="0"/>
          <w:color w:val="auto"/>
          <w:sz w:val="32"/>
          <w:szCs w:val="32"/>
          <w:lang w:val="en-US" w:eastAsia="zh-CN"/>
        </w:rPr>
        <w:t>按照《</w:t>
      </w:r>
      <w:r>
        <w:rPr>
          <w:rFonts w:hint="eastAsia" w:ascii="仿宋_GB2312" w:hAnsi="仿宋_GB2312" w:eastAsia="仿宋_GB2312" w:cs="仿宋_GB2312"/>
          <w:b w:val="0"/>
          <w:bCs w:val="0"/>
          <w:color w:val="auto"/>
          <w:sz w:val="32"/>
          <w:szCs w:val="32"/>
          <w:lang w:val="en-US" w:eastAsia="zh-CN"/>
        </w:rPr>
        <w:t>875</w:t>
      </w:r>
      <w:r>
        <w:rPr>
          <w:rFonts w:hint="default" w:ascii="仿宋_GB2312" w:hAnsi="仿宋_GB2312" w:eastAsia="仿宋_GB2312" w:cs="仿宋_GB2312"/>
          <w:b w:val="0"/>
          <w:bCs w:val="0"/>
          <w:color w:val="auto"/>
          <w:sz w:val="32"/>
          <w:szCs w:val="32"/>
          <w:lang w:val="en-US" w:eastAsia="zh-CN"/>
        </w:rPr>
        <w:t>12366 服务质量运行标准和考评标准》，中标方该</w:t>
      </w:r>
      <w:r>
        <w:rPr>
          <w:rFonts w:hint="eastAsia" w:ascii="仿宋_GB2312" w:hAnsi="仿宋_GB2312" w:eastAsia="仿宋_GB2312" w:cs="仿宋_GB2312"/>
          <w:b w:val="0"/>
          <w:bCs w:val="0"/>
          <w:color w:val="auto"/>
          <w:sz w:val="32"/>
          <w:szCs w:val="32"/>
          <w:lang w:val="en-US" w:eastAsia="zh-CN"/>
        </w:rPr>
        <w:t>月</w:t>
      </w:r>
      <w:r>
        <w:rPr>
          <w:rFonts w:hint="default" w:ascii="仿宋_GB2312" w:hAnsi="仿宋_GB2312" w:eastAsia="仿宋_GB2312" w:cs="仿宋_GB2312"/>
          <w:b w:val="0"/>
          <w:bCs w:val="0"/>
          <w:color w:val="auto"/>
          <w:sz w:val="32"/>
          <w:szCs w:val="32"/>
          <w:lang w:val="en-US" w:eastAsia="zh-CN"/>
        </w:rPr>
        <w:t>考评总分达90 分以上的（含90分）为达标；中标方该季度考评总分90分以下的，每低5分扣除</w:t>
      </w:r>
      <w:r>
        <w:rPr>
          <w:rFonts w:hint="eastAsia" w:ascii="仿宋_GB2312" w:hAnsi="仿宋_GB2312" w:eastAsia="仿宋_GB2312" w:cs="仿宋_GB2312"/>
          <w:b w:val="0"/>
          <w:bCs w:val="0"/>
          <w:color w:val="auto"/>
          <w:sz w:val="32"/>
          <w:szCs w:val="32"/>
          <w:lang w:val="en-US" w:eastAsia="zh-CN"/>
        </w:rPr>
        <w:t>该月</w:t>
      </w:r>
      <w:r>
        <w:rPr>
          <w:rFonts w:hint="default" w:ascii="仿宋_GB2312" w:hAnsi="仿宋_GB2312" w:eastAsia="仿宋_GB2312" w:cs="仿宋_GB2312"/>
          <w:b w:val="0"/>
          <w:bCs w:val="0"/>
          <w:color w:val="auto"/>
          <w:sz w:val="32"/>
          <w:szCs w:val="32"/>
          <w:lang w:val="en-US" w:eastAsia="zh-CN"/>
        </w:rPr>
        <w:t>结款金额的3‰作为处罚金，依次累积。由于中标方的原因，</w:t>
      </w:r>
      <w:r>
        <w:rPr>
          <w:rFonts w:hint="eastAsia" w:ascii="仿宋_GB2312" w:hAnsi="仿宋_GB2312" w:eastAsia="仿宋_GB2312" w:cs="仿宋_GB2312"/>
          <w:b w:val="0"/>
          <w:bCs w:val="0"/>
          <w:color w:val="auto"/>
          <w:sz w:val="32"/>
          <w:szCs w:val="32"/>
          <w:lang w:val="en-US" w:eastAsia="zh-CN"/>
        </w:rPr>
        <w:t>导致区局热线满意</w:t>
      </w:r>
      <w:r>
        <w:rPr>
          <w:rFonts w:hint="eastAsia" w:ascii="仿宋_GB2312" w:hAnsi="仿宋_GB2312" w:eastAsia="仿宋_GB2312" w:cs="仿宋_GB2312"/>
          <w:color w:val="auto"/>
          <w:sz w:val="32"/>
          <w:szCs w:val="32"/>
          <w:lang w:val="en-US" w:eastAsia="zh-CN"/>
        </w:rPr>
        <w:t>度</w:t>
      </w:r>
      <w:r>
        <w:rPr>
          <w:rFonts w:hint="default" w:ascii="仿宋_GB2312" w:hAnsi="仿宋_GB2312" w:eastAsia="仿宋_GB2312" w:cs="仿宋_GB2312"/>
          <w:color w:val="auto"/>
          <w:sz w:val="32"/>
          <w:szCs w:val="32"/>
          <w:lang w:val="en-US" w:eastAsia="zh-CN"/>
        </w:rPr>
        <w:t>排名全市后</w:t>
      </w:r>
      <w:r>
        <w:rPr>
          <w:rFonts w:hint="eastAsia" w:ascii="仿宋_GB2312" w:hAnsi="仿宋_GB2312" w:eastAsia="仿宋_GB2312" w:cs="仿宋_GB2312"/>
          <w:color w:val="auto"/>
          <w:sz w:val="32"/>
          <w:szCs w:val="32"/>
          <w:lang w:val="en-US" w:eastAsia="zh-CN"/>
        </w:rPr>
        <w:t>八</w:t>
      </w:r>
      <w:r>
        <w:rPr>
          <w:rFonts w:hint="default" w:ascii="仿宋_GB2312" w:hAnsi="仿宋_GB2312" w:eastAsia="仿宋_GB2312" w:cs="仿宋_GB2312"/>
          <w:color w:val="auto"/>
          <w:sz w:val="32"/>
          <w:szCs w:val="32"/>
          <w:lang w:val="en-US" w:eastAsia="zh-CN"/>
        </w:rPr>
        <w:t>名（或者不达标）的，扣除该</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val="en-US" w:eastAsia="zh-CN"/>
        </w:rPr>
        <w:t>结款金额的1%作为处罚金。</w:t>
      </w:r>
    </w:p>
    <w:tbl>
      <w:tblPr>
        <w:tblStyle w:val="9"/>
        <w:tblW w:w="5737" w:type="pct"/>
        <w:tblInd w:w="-6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667"/>
        <w:gridCol w:w="1135"/>
        <w:gridCol w:w="1829"/>
        <w:gridCol w:w="5105"/>
        <w:gridCol w:w="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32"/>
                <w:szCs w:val="32"/>
                <w:u w:val="none"/>
                <w:lang w:val="en-US" w:eastAsia="zh-CN" w:bidi="ar"/>
              </w:rPr>
              <w:t>87512366服务质量运行标准和考评标准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项目</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指标分类</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指标定义</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扣分项</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w:t>
            </w:r>
          </w:p>
        </w:tc>
        <w:tc>
          <w:tcPr>
            <w:tcW w:w="9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纳税人评价</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引导评价</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抽检未引导的每条扣1分</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4"/>
                <w:szCs w:val="24"/>
                <w:u w:val="none"/>
              </w:rPr>
            </w:pPr>
          </w:p>
        </w:tc>
        <w:tc>
          <w:tcPr>
            <w:tcW w:w="9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4"/>
                <w:szCs w:val="24"/>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通话满意度评价</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评价不满意的每条扣1分，未发送评价的每条扣1分</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接通效率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人工接听率</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人工接听量/转接</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人工来电量</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1.月接通率。每月接通率不低于95%，得满分；接通率低于95%，每低一个百分点扣0.5分（每低0.1个百分点，扣0.1分）；接通率低于90%，得0分。</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2.日接通率。每日接通率低于95%，按次扣0.1分。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4"/>
                <w:szCs w:val="24"/>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来电即时答复率</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咨询类直接办结数量/咨询类总量</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未及时处理差评、未按时完成小结、无故缺席培训、无故缺考，单人单次扣0.5分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接线质量</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语音质量测评</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根据答复准确、服务规范、来电记录、热点问题、满意度/投诉情况综合测评</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以市局考核为准，扣分标准与《武汉市税务局办问协同热线日常管理考评办法（试行）》保持一致</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4"/>
                <w:szCs w:val="24"/>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工单转办规范</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记录投诉、咨询工单规范性和转办回复的及时性</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工单处理及时性。工单（包括区局自己受理的工单）受理、转办、处理、回访高效及时，能在规定时限内办结工单，得满分；工单转办岗未在当日（24小时内）及时转办，每单次扣0.5分；逾期办结工单，每单次扣0.5分；逾期未办结工单，每单次扣1分。</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工单处理规范性。包括区局自己受理的工单。工单记录要素不齐全、分类错误，每单次扣0.5分；工单流转各环节处理意见及回访意见要素不齐全，每单次扣0.5分；应回访而未及时回访的工单，每单次扣1分；工单错误或被退回，每单次扣1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四</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人员考勤</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人员出勤率</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坐席人员出勤次数/应出勤次数</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单日出勤率</w:t>
            </w:r>
            <w:r>
              <w:rPr>
                <w:rStyle w:val="11"/>
                <w:rFonts w:hint="eastAsia" w:ascii="仿宋_GB2312" w:hAnsi="仿宋_GB2312" w:eastAsia="仿宋_GB2312" w:cs="仿宋_GB2312"/>
                <w:color w:val="auto"/>
                <w:sz w:val="24"/>
                <w:szCs w:val="24"/>
                <w:lang w:val="en-US" w:eastAsia="zh-CN" w:bidi="ar"/>
              </w:rPr>
              <w:t>超过90%不扣分，85%-90%扣1分，80%-85%扣2分，低于80%不得分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五</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人员流动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人员保留率</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在岗总人数-半年新入职人数/在岗总人数</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初始以签约人员名单为基础，每半年（7月1日考核1-6月，1月1日考核7-12月）为考核期。人员保有率超过上次考核期人员名单80%的不扣分，80%以下每低于5%扣5分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六</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服务投诉量</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经调查确属事实的投诉数量</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以市局抽检考核为准。坐席原因导致的差评，单人单次扣1分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七</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总结分析</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月度小结及质检分析落实情况</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未做质检分析及小结的每次扣5分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9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合计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100</w:t>
            </w:r>
          </w:p>
        </w:tc>
      </w:tr>
    </w:tbl>
    <w:p>
      <w:pPr>
        <w:spacing w:beforeLines="0" w:afterLines="0"/>
        <w:jc w:val="left"/>
        <w:rPr>
          <w:rFonts w:hint="eastAsia" w:ascii="仿宋_GB2312" w:hAnsi="仿宋_GB2312" w:eastAsia="仿宋_GB2312" w:cs="仿宋_GB2312"/>
          <w:color w:val="auto"/>
          <w:sz w:val="32"/>
          <w:szCs w:val="32"/>
        </w:rPr>
      </w:pPr>
    </w:p>
    <w:p>
      <w:pPr>
        <w:pStyle w:val="2"/>
        <w:keepNext w:val="0"/>
        <w:spacing w:before="0" w:after="0" w:line="360" w:lineRule="auto"/>
        <w:jc w:val="center"/>
        <w:rPr>
          <w:rFonts w:ascii="仿宋_GB2312" w:hAnsi="仿宋_GB2312" w:eastAsia="仿宋_GB2312" w:cs="仿宋_GB2312"/>
          <w:color w:val="auto"/>
          <w:kern w:val="36"/>
          <w:highlight w:val="none"/>
        </w:rPr>
      </w:pPr>
      <w:r>
        <w:rPr>
          <w:rFonts w:ascii="仿宋_GB2312" w:hAnsi="仿宋_GB2312" w:eastAsia="仿宋_GB2312" w:cs="仿宋_GB2312"/>
          <w:color w:val="auto"/>
          <w:kern w:val="36"/>
          <w:highlight w:val="none"/>
        </w:rPr>
        <w:t>6风险管控要求</w:t>
      </w:r>
      <w:bookmarkEnd w:id="28"/>
    </w:p>
    <w:p>
      <w:pPr>
        <w:pStyle w:val="4"/>
        <w:keepNext w:val="0"/>
        <w:spacing w:before="0" w:after="0" w:line="360" w:lineRule="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6.1突发应急保障要求</w:t>
      </w:r>
    </w:p>
    <w:p>
      <w:pPr>
        <w:spacing w:beforeLines="0" w:afterLines="0"/>
        <w:ind w:firstLine="640" w:firstLineChars="200"/>
        <w:jc w:val="left"/>
        <w:rPr>
          <w:rFonts w:hint="eastAsia" w:ascii="仿宋_GB2312" w:hAnsi="仿宋_GB2312" w:eastAsia="仿宋_GB2312" w:cs="仿宋_GB2312"/>
          <w:color w:val="auto"/>
          <w:sz w:val="32"/>
          <w:szCs w:val="40"/>
        </w:rPr>
      </w:pPr>
      <w:bookmarkStart w:id="29" w:name="_Toc256000028"/>
      <w:r>
        <w:rPr>
          <w:rFonts w:hint="eastAsia" w:ascii="仿宋_GB2312" w:hAnsi="仿宋_GB2312" w:eastAsia="仿宋_GB2312" w:cs="仿宋_GB2312"/>
          <w:color w:val="auto"/>
          <w:sz w:val="32"/>
          <w:szCs w:val="40"/>
        </w:rPr>
        <w:t>为最大限度减少突发事件对</w:t>
      </w:r>
      <w:r>
        <w:rPr>
          <w:rFonts w:hint="eastAsia" w:ascii="仿宋_GB2312" w:hAnsi="仿宋_GB2312" w:eastAsia="仿宋_GB2312" w:cs="仿宋_GB2312"/>
          <w:color w:val="auto"/>
          <w:sz w:val="32"/>
          <w:szCs w:val="40"/>
          <w:lang w:val="en-US" w:eastAsia="zh-CN"/>
        </w:rPr>
        <w:t>875</w:t>
      </w:r>
      <w:r>
        <w:rPr>
          <w:rFonts w:hint="eastAsia" w:ascii="仿宋_GB2312" w:hAnsi="仿宋_GB2312" w:eastAsia="仿宋_GB2312" w:cs="仿宋_GB2312"/>
          <w:color w:val="auto"/>
          <w:sz w:val="32"/>
          <w:szCs w:val="40"/>
        </w:rPr>
        <w:t>12366 热线</w:t>
      </w:r>
      <w:r>
        <w:rPr>
          <w:rFonts w:hint="eastAsia" w:ascii="仿宋_GB2312" w:hAnsi="仿宋_GB2312" w:eastAsia="仿宋_GB2312" w:cs="仿宋_GB2312"/>
          <w:color w:val="auto"/>
          <w:sz w:val="32"/>
          <w:szCs w:val="40"/>
          <w:lang w:eastAsia="zh-CN"/>
        </w:rPr>
        <w:t>和征纳互动服务</w:t>
      </w:r>
      <w:r>
        <w:rPr>
          <w:rFonts w:hint="eastAsia" w:ascii="仿宋_GB2312" w:hAnsi="仿宋_GB2312" w:eastAsia="仿宋_GB2312" w:cs="仿宋_GB2312"/>
          <w:color w:val="auto"/>
          <w:sz w:val="32"/>
          <w:szCs w:val="40"/>
        </w:rPr>
        <w:t>正常咨询</w:t>
      </w:r>
      <w:r>
        <w:rPr>
          <w:rFonts w:hint="eastAsia" w:ascii="仿宋_GB2312" w:hAnsi="仿宋_GB2312" w:eastAsia="仿宋_GB2312" w:cs="仿宋_GB2312"/>
          <w:color w:val="auto"/>
          <w:sz w:val="32"/>
          <w:szCs w:val="40"/>
          <w:lang w:eastAsia="zh-CN"/>
        </w:rPr>
        <w:t>、办理等</w:t>
      </w:r>
      <w:r>
        <w:rPr>
          <w:rFonts w:hint="eastAsia" w:ascii="仿宋_GB2312" w:hAnsi="仿宋_GB2312" w:eastAsia="仿宋_GB2312" w:cs="仿宋_GB2312"/>
          <w:color w:val="auto"/>
          <w:sz w:val="32"/>
          <w:szCs w:val="40"/>
        </w:rPr>
        <w:t>服务秩序的影响，投标人需根据可能发生的各类影响服务的情况，制定应急方案和应对措施，确保突发事件应对及时有效，服务达到考核标准。</w:t>
      </w:r>
    </w:p>
    <w:p>
      <w:pPr>
        <w:pStyle w:val="2"/>
        <w:keepNext w:val="0"/>
        <w:spacing w:before="0" w:after="0" w:line="360" w:lineRule="auto"/>
        <w:jc w:val="center"/>
        <w:rPr>
          <w:rFonts w:ascii="仿宋_GB2312" w:hAnsi="仿宋_GB2312" w:eastAsia="仿宋_GB2312" w:cs="仿宋_GB2312"/>
          <w:b/>
          <w:bCs/>
          <w:color w:val="auto"/>
          <w:sz w:val="32"/>
          <w:szCs w:val="32"/>
          <w:highlight w:val="none"/>
        </w:rPr>
      </w:pPr>
      <w:r>
        <w:rPr>
          <w:rFonts w:ascii="仿宋_GB2312" w:hAnsi="仿宋_GB2312" w:eastAsia="仿宋_GB2312" w:cs="仿宋_GB2312"/>
          <w:color w:val="auto"/>
          <w:kern w:val="36"/>
          <w:highlight w:val="none"/>
        </w:rPr>
        <w:t>7履约验收要求</w:t>
      </w:r>
      <w:bookmarkEnd w:id="29"/>
    </w:p>
    <w:p>
      <w:pPr>
        <w:pStyle w:val="3"/>
        <w:keepNext w:val="0"/>
        <w:spacing w:before="0" w:after="0" w:line="360" w:lineRule="auto"/>
        <w:rPr>
          <w:rFonts w:ascii="仿宋_GB2312" w:hAnsi="仿宋_GB2312" w:eastAsia="仿宋_GB2312" w:cs="仿宋_GB2312"/>
          <w:b/>
          <w:bCs/>
          <w:color w:val="auto"/>
          <w:sz w:val="28"/>
          <w:szCs w:val="28"/>
          <w:highlight w:val="none"/>
        </w:rPr>
      </w:pPr>
      <w:bookmarkStart w:id="30" w:name="_Toc256000029"/>
      <w:r>
        <w:rPr>
          <w:rFonts w:ascii="仿宋_GB2312" w:hAnsi="仿宋_GB2312" w:eastAsia="仿宋_GB2312" w:cs="仿宋_GB2312"/>
          <w:i w:val="0"/>
          <w:iCs w:val="0"/>
          <w:color w:val="auto"/>
          <w:highlight w:val="none"/>
        </w:rPr>
        <w:t>7.1总体要求</w:t>
      </w:r>
      <w:bookmarkEnd w:id="30"/>
    </w:p>
    <w:tbl>
      <w:tblPr>
        <w:tblStyle w:val="9"/>
        <w:tblW w:w="5000" w:type="pct"/>
        <w:tblInd w:w="30" w:type="dxa"/>
        <w:tblLayout w:type="autofit"/>
        <w:tblCellMar>
          <w:top w:w="15" w:type="dxa"/>
          <w:left w:w="15" w:type="dxa"/>
          <w:bottom w:w="15" w:type="dxa"/>
          <w:right w:w="15" w:type="dxa"/>
        </w:tblCellMar>
      </w:tblPr>
      <w:tblGrid>
        <w:gridCol w:w="4175"/>
        <w:gridCol w:w="417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auto"/>
                <w:sz w:val="21"/>
                <w:szCs w:val="21"/>
                <w:highlight w:val="none"/>
              </w:rPr>
            </w:pPr>
            <w:r>
              <w:rPr>
                <w:rFonts w:ascii="仿宋_GB2312" w:hAnsi="仿宋_GB2312" w:eastAsia="仿宋_GB2312" w:cs="仿宋_GB2312"/>
                <w:b/>
                <w:bCs/>
                <w:i w:val="0"/>
                <w:iCs w:val="0"/>
                <w:smallCaps w:val="0"/>
                <w:color w:val="auto"/>
                <w:sz w:val="21"/>
                <w:szCs w:val="21"/>
                <w:highlight w:val="none"/>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auto"/>
                <w:sz w:val="21"/>
                <w:szCs w:val="21"/>
                <w:highlight w:val="none"/>
              </w:rPr>
            </w:pPr>
            <w:r>
              <w:rPr>
                <w:rFonts w:ascii="仿宋_GB2312" w:hAnsi="仿宋_GB2312" w:eastAsia="仿宋_GB2312" w:cs="仿宋_GB2312"/>
                <w:b/>
                <w:bCs/>
                <w:i w:val="0"/>
                <w:iCs w:val="0"/>
                <w:smallCaps w:val="0"/>
                <w:color w:val="auto"/>
                <w:sz w:val="21"/>
                <w:szCs w:val="21"/>
                <w:highlight w:val="none"/>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8"/>
                <w:szCs w:val="28"/>
                <w:highlight w:val="none"/>
                <w:lang w:eastAsia="zh-CN"/>
              </w:rPr>
              <w:t>按月</w:t>
            </w:r>
            <w:r>
              <w:rPr>
                <w:rFonts w:hint="eastAsia" w:ascii="仿宋_GB2312" w:hAnsi="仿宋_GB2312" w:eastAsia="仿宋_GB2312" w:cs="仿宋_GB2312"/>
                <w:b w:val="0"/>
                <w:bCs w:val="0"/>
                <w:i w:val="0"/>
                <w:iCs w:val="0"/>
                <w:smallCaps w:val="0"/>
                <w:color w:val="auto"/>
                <w:sz w:val="28"/>
                <w:szCs w:val="28"/>
                <w:highlight w:val="none"/>
                <w:lang w:val="en-US" w:eastAsia="zh-CN"/>
              </w:rPr>
              <w:t>度验收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auto"/>
                <w:sz w:val="21"/>
                <w:szCs w:val="21"/>
                <w:highlight w:val="none"/>
              </w:rPr>
            </w:pPr>
            <w:r>
              <w:rPr>
                <w:rFonts w:hint="eastAsia" w:ascii="仿宋_GB2312" w:hAnsi="仿宋_GB2312" w:eastAsia="仿宋_GB2312" w:cs="仿宋_GB2312"/>
                <w:b w:val="0"/>
                <w:bCs w:val="0"/>
                <w:i w:val="0"/>
                <w:iCs w:val="0"/>
                <w:smallCaps w:val="0"/>
                <w:color w:val="auto"/>
                <w:sz w:val="28"/>
                <w:szCs w:val="28"/>
                <w:highlight w:val="none"/>
                <w:lang w:eastAsia="zh-CN"/>
              </w:rPr>
              <w:t>根据跟项目采购需求的要求及投标人投标文件相关承诺，以合同约定的服务标准、数量、内容和基本要求以及合同中明确的其他要求事项为基准，收到结算明细清单后，由甲方对服务进行验收，验收合格后，作为付款依据。未通过验收的，甲方有权要求乙方及时重新改进并及时提交甲方验收。</w:t>
            </w:r>
          </w:p>
        </w:tc>
      </w:tr>
    </w:tbl>
    <w:p>
      <w:pPr>
        <w:pStyle w:val="3"/>
        <w:keepNext w:val="0"/>
        <w:spacing w:before="0" w:after="0" w:line="360" w:lineRule="auto"/>
        <w:rPr>
          <w:rFonts w:ascii="仿宋_GB2312" w:hAnsi="仿宋_GB2312" w:eastAsia="仿宋_GB2312" w:cs="仿宋_GB2312"/>
          <w:i w:val="0"/>
          <w:iCs w:val="0"/>
          <w:color w:val="auto"/>
          <w:highlight w:val="none"/>
        </w:rPr>
      </w:pPr>
      <w:bookmarkStart w:id="31" w:name="_Toc256000030"/>
      <w:r>
        <w:rPr>
          <w:rFonts w:ascii="仿宋_GB2312" w:hAnsi="仿宋_GB2312" w:eastAsia="仿宋_GB2312" w:cs="仿宋_GB2312"/>
          <w:i w:val="0"/>
          <w:iCs w:val="0"/>
          <w:color w:val="auto"/>
          <w:highlight w:val="none"/>
        </w:rPr>
        <w:t>7.2具体要求</w:t>
      </w:r>
      <w:bookmarkEnd w:id="31"/>
    </w:p>
    <w:p>
      <w:pPr>
        <w:rPr>
          <w:rFonts w:hint="eastAsia" w:eastAsia="仿宋_GB2312"/>
          <w:color w:val="auto"/>
          <w:highlight w:val="none"/>
          <w:lang w:eastAsia="zh-CN"/>
        </w:rPr>
      </w:pPr>
      <w:r>
        <w:rPr>
          <w:rFonts w:hint="eastAsia" w:eastAsia="仿宋_GB2312"/>
          <w:color w:val="auto"/>
          <w:highlight w:val="none"/>
          <w:lang w:eastAsia="zh-CN"/>
        </w:rPr>
        <w:t>选填</w:t>
      </w:r>
      <w:r>
        <w:rPr>
          <w:rFonts w:hint="eastAsia" w:eastAsia="仿宋_GB2312"/>
          <w:color w:val="auto"/>
          <w:highlight w:val="none"/>
          <w:lang w:val="en-US" w:eastAsia="zh-CN"/>
        </w:rPr>
        <w:t xml:space="preserve"> </w:t>
      </w:r>
    </w:p>
    <w:p>
      <w:pPr>
        <w:pStyle w:val="2"/>
        <w:keepNext w:val="0"/>
        <w:spacing w:before="0" w:after="0" w:line="360" w:lineRule="auto"/>
        <w:ind w:firstLine="4176" w:firstLineChars="1300"/>
        <w:jc w:val="both"/>
        <w:rPr>
          <w:rFonts w:ascii="仿宋_GB2312" w:hAnsi="仿宋_GB2312" w:eastAsia="仿宋_GB2312" w:cs="仿宋_GB2312"/>
          <w:b/>
          <w:bCs/>
          <w:color w:val="auto"/>
          <w:sz w:val="32"/>
          <w:szCs w:val="32"/>
          <w:highlight w:val="none"/>
        </w:rPr>
      </w:pPr>
      <w:bookmarkStart w:id="32" w:name="_Toc256000031"/>
      <w:r>
        <w:rPr>
          <w:rFonts w:ascii="仿宋_GB2312" w:hAnsi="仿宋_GB2312" w:eastAsia="仿宋_GB2312" w:cs="仿宋_GB2312"/>
          <w:color w:val="auto"/>
          <w:kern w:val="36"/>
          <w:highlight w:val="none"/>
        </w:rPr>
        <w:t>8其他要求</w:t>
      </w:r>
      <w:bookmarkEnd w:id="32"/>
    </w:p>
    <w:p>
      <w:pPr>
        <w:pStyle w:val="3"/>
        <w:keepNext w:val="0"/>
        <w:spacing w:before="0" w:after="0" w:line="360" w:lineRule="auto"/>
        <w:rPr>
          <w:rFonts w:ascii="仿宋_GB2312" w:hAnsi="仿宋_GB2312" w:eastAsia="仿宋_GB2312" w:cs="仿宋_GB2312"/>
          <w:b/>
          <w:bCs/>
          <w:color w:val="auto"/>
          <w:sz w:val="28"/>
          <w:szCs w:val="28"/>
          <w:highlight w:val="none"/>
        </w:rPr>
      </w:pPr>
      <w:bookmarkStart w:id="33" w:name="_Toc256000032"/>
      <w:r>
        <w:rPr>
          <w:rFonts w:ascii="仿宋_GB2312" w:hAnsi="仿宋_GB2312" w:eastAsia="仿宋_GB2312" w:cs="仿宋_GB2312"/>
          <w:i w:val="0"/>
          <w:iCs w:val="0"/>
          <w:color w:val="auto"/>
          <w:highlight w:val="none"/>
        </w:rPr>
        <w:t>8.1付款安排建议</w:t>
      </w:r>
      <w:bookmarkEnd w:id="33"/>
    </w:p>
    <w:tbl>
      <w:tblPr>
        <w:tblStyle w:val="9"/>
        <w:tblW w:w="5000" w:type="pct"/>
        <w:tblInd w:w="30" w:type="dxa"/>
        <w:tblLayout w:type="autofit"/>
        <w:tblCellMar>
          <w:top w:w="15" w:type="dxa"/>
          <w:left w:w="15" w:type="dxa"/>
          <w:bottom w:w="15" w:type="dxa"/>
          <w:right w:w="15" w:type="dxa"/>
        </w:tblCellMar>
      </w:tblPr>
      <w:tblGrid>
        <w:gridCol w:w="1670"/>
        <w:gridCol w:w="5010"/>
        <w:gridCol w:w="1670"/>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auto"/>
                <w:sz w:val="21"/>
                <w:szCs w:val="21"/>
                <w:highlight w:val="none"/>
              </w:rPr>
            </w:pPr>
            <w:r>
              <w:rPr>
                <w:rFonts w:ascii="仿宋_GB2312" w:hAnsi="仿宋_GB2312" w:eastAsia="仿宋_GB2312" w:cs="仿宋_GB2312"/>
                <w:b/>
                <w:bCs/>
                <w:i w:val="0"/>
                <w:iCs w:val="0"/>
                <w:smallCaps w:val="0"/>
                <w:color w:val="auto"/>
                <w:sz w:val="21"/>
                <w:szCs w:val="21"/>
                <w:highlight w:val="none"/>
              </w:rPr>
              <w:t>付款名称</w:t>
            </w:r>
          </w:p>
        </w:tc>
        <w:tc>
          <w:tcPr>
            <w:tcW w:w="2999"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auto"/>
                <w:sz w:val="21"/>
                <w:szCs w:val="21"/>
                <w:highlight w:val="none"/>
              </w:rPr>
            </w:pPr>
            <w:r>
              <w:rPr>
                <w:rFonts w:ascii="仿宋_GB2312" w:hAnsi="仿宋_GB2312" w:eastAsia="仿宋_GB2312" w:cs="仿宋_GB2312"/>
                <w:b/>
                <w:bCs/>
                <w:i w:val="0"/>
                <w:iCs w:val="0"/>
                <w:smallCaps w:val="0"/>
                <w:color w:val="auto"/>
                <w:sz w:val="21"/>
                <w:szCs w:val="21"/>
                <w:highlight w:val="none"/>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auto"/>
                <w:sz w:val="21"/>
                <w:szCs w:val="21"/>
                <w:highlight w:val="none"/>
              </w:rPr>
            </w:pPr>
            <w:r>
              <w:rPr>
                <w:rFonts w:ascii="仿宋_GB2312" w:hAnsi="仿宋_GB2312" w:eastAsia="仿宋_GB2312" w:cs="仿宋_GB2312"/>
                <w:b/>
                <w:bCs/>
                <w:i w:val="0"/>
                <w:iCs w:val="0"/>
                <w:smallCaps w:val="0"/>
                <w:color w:val="auto"/>
                <w:sz w:val="21"/>
                <w:szCs w:val="21"/>
                <w:highlight w:val="none"/>
              </w:rPr>
              <w:t>付款比例(%)</w:t>
            </w:r>
          </w:p>
        </w:tc>
      </w:tr>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auto"/>
                <w:sz w:val="21"/>
                <w:szCs w:val="21"/>
                <w:highlight w:val="none"/>
              </w:rPr>
            </w:pPr>
            <w:r>
              <w:rPr>
                <w:rFonts w:hint="eastAsia" w:ascii="仿宋_GB2312" w:hAnsi="仿宋_GB2312" w:eastAsia="仿宋_GB2312" w:cs="仿宋_GB2312"/>
                <w:b w:val="0"/>
                <w:bCs w:val="0"/>
                <w:i w:val="0"/>
                <w:iCs w:val="0"/>
                <w:smallCaps w:val="0"/>
                <w:color w:val="auto"/>
                <w:sz w:val="28"/>
                <w:szCs w:val="28"/>
                <w:highlight w:val="none"/>
                <w:lang w:eastAsia="zh-CN"/>
              </w:rPr>
              <w:t>按月</w:t>
            </w:r>
            <w:r>
              <w:rPr>
                <w:rFonts w:ascii="仿宋_GB2312" w:hAnsi="仿宋_GB2312" w:eastAsia="仿宋_GB2312" w:cs="仿宋_GB2312"/>
                <w:b w:val="0"/>
                <w:bCs w:val="0"/>
                <w:i w:val="0"/>
                <w:iCs w:val="0"/>
                <w:smallCaps w:val="0"/>
                <w:color w:val="auto"/>
                <w:sz w:val="28"/>
                <w:szCs w:val="28"/>
                <w:highlight w:val="none"/>
              </w:rPr>
              <w:t>付款</w:t>
            </w:r>
          </w:p>
        </w:tc>
        <w:tc>
          <w:tcPr>
            <w:tcW w:w="299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color w:val="auto"/>
                <w:lang w:eastAsia="zh-CN"/>
              </w:rPr>
            </w:pPr>
            <w:r>
              <w:rPr>
                <w:rFonts w:hint="eastAsia"/>
                <w:color w:val="auto"/>
                <w:lang w:val="en-US" w:eastAsia="zh-CN"/>
              </w:rPr>
              <w:t xml:space="preserve"> </w:t>
            </w:r>
            <w:r>
              <w:rPr>
                <w:rFonts w:hint="eastAsia" w:ascii="仿宋_GB2312" w:hAnsi="仿宋_GB2312" w:eastAsia="仿宋_GB2312" w:cs="仿宋_GB2312"/>
                <w:b w:val="0"/>
                <w:bCs w:val="0"/>
                <w:i w:val="0"/>
                <w:iCs w:val="0"/>
                <w:smallCaps w:val="0"/>
                <w:color w:val="auto"/>
                <w:sz w:val="28"/>
                <w:szCs w:val="28"/>
                <w:highlight w:val="none"/>
                <w:lang w:val="en-US" w:eastAsia="zh-CN"/>
              </w:rPr>
              <w:t>不支付预付款，服务完成后，通过验收，乙方开具发票，甲方通过对公转账的方式支付结清。</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4"/>
                <w:szCs w:val="24"/>
                <w:highlight w:val="none"/>
                <w:lang w:val="en-US" w:eastAsia="zh-CN"/>
              </w:rPr>
              <w:t>8.33%</w:t>
            </w:r>
          </w:p>
        </w:tc>
      </w:tr>
    </w:tbl>
    <w:p>
      <w:pPr>
        <w:pStyle w:val="4"/>
        <w:keepNext w:val="0"/>
        <w:spacing w:before="0" w:after="0" w:line="360" w:lineRule="auto"/>
        <w:rPr>
          <w:rFonts w:ascii="仿宋_GB2312" w:hAnsi="仿宋_GB2312" w:eastAsia="仿宋_GB2312" w:cs="仿宋_GB2312"/>
          <w:b/>
          <w:bCs/>
          <w:color w:val="auto"/>
          <w:sz w:val="28"/>
          <w:szCs w:val="28"/>
          <w:highlight w:val="none"/>
        </w:rPr>
      </w:pPr>
      <w:bookmarkStart w:id="34" w:name="_Toc256000034"/>
      <w:r>
        <w:rPr>
          <w:rFonts w:ascii="仿宋_GB2312" w:hAnsi="仿宋_GB2312" w:eastAsia="仿宋_GB2312" w:cs="仿宋_GB2312"/>
          <w:color w:val="auto"/>
          <w:sz w:val="28"/>
          <w:szCs w:val="28"/>
          <w:highlight w:val="none"/>
        </w:rPr>
        <w:t>8.2.1保密要求</w:t>
      </w:r>
      <w:bookmarkEnd w:id="34"/>
    </w:p>
    <w:p>
      <w:pPr>
        <w:spacing w:beforeLines="0" w:afterLines="0"/>
        <w:ind w:firstLine="640" w:firstLineChars="200"/>
        <w:jc w:val="left"/>
        <w:rPr>
          <w:rFonts w:hint="eastAsia" w:ascii="仿宋_GB2312" w:hAnsi="仿宋_GB2312" w:eastAsia="仿宋_GB2312" w:cs="仿宋_GB2312"/>
          <w:color w:val="auto"/>
          <w:sz w:val="32"/>
          <w:szCs w:val="32"/>
        </w:rPr>
      </w:pPr>
      <w:bookmarkStart w:id="35" w:name="_Toc256000035"/>
      <w:r>
        <w:rPr>
          <w:rFonts w:hint="eastAsia" w:ascii="仿宋_GB2312" w:hAnsi="仿宋_GB2312" w:eastAsia="仿宋_GB2312" w:cs="仿宋_GB2312"/>
          <w:color w:val="auto"/>
          <w:sz w:val="32"/>
          <w:szCs w:val="32"/>
        </w:rPr>
        <w:t>执行东湖新技术开发区税务局网络与信息安全标准，制定网络与信息安全保密制度，与员工签订保密协议，定期开展安全培训，确保不发生泄密事件。</w:t>
      </w:r>
    </w:p>
    <w:p>
      <w:pPr>
        <w:spacing w:beforeLines="0" w:afterLines="0"/>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计算机信息安全标准</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（1）严格遵守东湖新技术开发区税务局网络和信息安全各项制度和要求，遵守国家相关法律。</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（2）内外网要物理隔离，禁止移动存储介质未经处理在内、外网之间交叉使用。</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（3）工作电脑与东湖新技术开发区税务局内部网络通过安全区进行连接，确保信息安全。</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（4）工作电脑应安装正版杀毒软件和防火墙，并随时保持最新版本。</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（5）内网计算机应用于工作和学习。内网计算机不能直接连通互联网或通过其他网络访问互联网，禁止连接手机和无线传输设备。</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（6）内网计算机不得安装、运行、使用与工作无关的软件。不得自行卸载桌面管理系统、防病毒等安全防护软件。计算机在变更用途和维修时需信息技术部门监管。</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（7）重要信息要及时备份。</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（8）供应商对设备使用安全状况负责，东湖新技术开发区税务局提供相应的技术支持。</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（9）按照东湖新技术开发区税务局的要求配合开展其他信息安全工作。</w:t>
      </w:r>
    </w:p>
    <w:p>
      <w:pPr>
        <w:spacing w:beforeLines="0" w:afterLines="0"/>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纳税人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缴费人信息保密要求</w:t>
      </w:r>
    </w:p>
    <w:p>
      <w:pPr>
        <w:spacing w:beforeLines="0" w:afterLines="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（1）工作人员对使用东湖新技术开发区税务局各应用系统查询中知悉的任何纳税人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缴费人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信息不得泄露给第三方。</w:t>
      </w:r>
    </w:p>
    <w:p>
      <w:pPr>
        <w:pStyle w:val="4"/>
        <w:keepNext w:val="0"/>
        <w:numPr>
          <w:ilvl w:val="0"/>
          <w:numId w:val="0"/>
        </w:numPr>
        <w:spacing w:before="0" w:after="0" w:line="360" w:lineRule="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（2）</w:t>
      </w:r>
      <w:r>
        <w:rPr>
          <w:rFonts w:hint="eastAsia" w:ascii="仿宋_GB2312" w:hAnsi="仿宋_GB2312" w:eastAsia="仿宋_GB2312" w:cs="仿宋_GB2312"/>
          <w:b w:val="0"/>
          <w:bCs w:val="0"/>
          <w:color w:val="auto"/>
          <w:sz w:val="32"/>
          <w:szCs w:val="32"/>
        </w:rPr>
        <w:t>工作人员不得利用知悉的纳税人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缴费人信息从事违法违规行为。</w:t>
      </w:r>
    </w:p>
    <w:p>
      <w:pPr>
        <w:pStyle w:val="4"/>
        <w:keepNext w:val="0"/>
        <w:numPr>
          <w:ilvl w:val="0"/>
          <w:numId w:val="0"/>
        </w:numPr>
        <w:spacing w:before="0" w:after="0" w:line="360" w:lineRule="auto"/>
        <w:rPr>
          <w:rFonts w:ascii="仿宋_GB2312" w:hAnsi="仿宋_GB2312" w:eastAsia="仿宋_GB2312" w:cs="仿宋_GB2312"/>
          <w:b/>
          <w:bCs/>
          <w:color w:val="auto"/>
          <w:sz w:val="28"/>
          <w:szCs w:val="28"/>
          <w:highlight w:val="none"/>
        </w:rPr>
      </w:pPr>
      <w:r>
        <w:rPr>
          <w:rFonts w:ascii="仿宋_GB2312" w:hAnsi="仿宋_GB2312" w:eastAsia="仿宋_GB2312" w:cs="仿宋_GB2312"/>
          <w:color w:val="auto"/>
          <w:sz w:val="28"/>
          <w:szCs w:val="28"/>
          <w:highlight w:val="none"/>
        </w:rPr>
        <w:t>8.2.2知识产权要求</w:t>
      </w:r>
      <w:bookmarkEnd w:id="35"/>
    </w:p>
    <w:p>
      <w:pPr>
        <w:spacing w:before="0" w:after="0" w:line="360" w:lineRule="auto"/>
        <w:jc w:val="left"/>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sz w:val="28"/>
          <w:szCs w:val="28"/>
          <w:highlight w:val="none"/>
          <w:lang w:val="en-US" w:eastAsia="zh-CN"/>
        </w:rPr>
        <w:t>选填</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0B641"/>
    <w:multiLevelType w:val="singleLevel"/>
    <w:tmpl w:val="A3A0B641"/>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06099"/>
    <w:rsid w:val="2F10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Plain Text"/>
    <w:basedOn w:val="1"/>
    <w:next w:val="7"/>
    <w:qFormat/>
    <w:uiPriority w:val="99"/>
    <w:rPr>
      <w:rFonts w:ascii="宋体" w:hAnsi="Courier New" w:cs="Courier New"/>
      <w:szCs w:val="21"/>
    </w:rPr>
  </w:style>
  <w:style w:type="paragraph" w:styleId="7">
    <w:name w:val="List Number 5"/>
    <w:basedOn w:val="1"/>
    <w:uiPriority w:val="0"/>
    <w:pPr>
      <w:numPr>
        <w:ilvl w:val="0"/>
        <w:numId w:val="1"/>
      </w:numPr>
    </w:pPr>
  </w:style>
  <w:style w:type="paragraph" w:styleId="8">
    <w:name w:val="footer"/>
    <w:basedOn w:val="1"/>
    <w:next w:val="6"/>
    <w:qFormat/>
    <w:uiPriority w:val="99"/>
    <w:pPr>
      <w:tabs>
        <w:tab w:val="center" w:pos="4153"/>
        <w:tab w:val="right" w:pos="8306"/>
      </w:tabs>
      <w:snapToGrid w:val="0"/>
      <w:jc w:val="left"/>
    </w:pPr>
    <w:rPr>
      <w:sz w:val="18"/>
      <w:szCs w:val="18"/>
    </w:rPr>
  </w:style>
  <w:style w:type="character" w:customStyle="1" w:styleId="11">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武汉市税务局</Company>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2025-11-03T08:44:00Z</dcterms:created>
  <dc:creator>郑峤</dc:creator>
  <cp:lastModifiedBy>郑峤</cp:lastModifiedBy>
  <dcterms:modified xsi:type="dcterms:W3CDTF">2025-11-03T08:45:19Z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