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line="360" w:lineRule="auto"/>
        <w:jc w:val="center"/>
        <w:rPr>
          <w:rFonts w:hint="eastAsia" w:ascii="宋体" w:hAnsi="宋体" w:eastAsia="宋体" w:cs="宋体"/>
          <w:b/>
          <w:sz w:val="96"/>
          <w:szCs w:val="96"/>
          <w:lang w:eastAsia="zh-CN"/>
        </w:rPr>
      </w:pPr>
    </w:p>
    <w:p>
      <w:pPr>
        <w:widowControl w:val="0"/>
        <w:topLinePunct/>
        <w:autoSpaceDE w:val="0"/>
        <w:autoSpaceDN w:val="0"/>
        <w:spacing w:line="360" w:lineRule="auto"/>
        <w:jc w:val="center"/>
        <w:rPr>
          <w:rFonts w:hint="eastAsia" w:ascii="宋体" w:hAnsi="宋体" w:eastAsia="宋体" w:cs="宋体"/>
          <w:b/>
          <w:sz w:val="96"/>
          <w:szCs w:val="96"/>
          <w:lang w:eastAsia="zh-CN"/>
        </w:rPr>
      </w:pPr>
    </w:p>
    <w:p>
      <w:pPr>
        <w:widowControl w:val="0"/>
        <w:topLinePunct/>
        <w:autoSpaceDE w:val="0"/>
        <w:autoSpaceDN w:val="0"/>
        <w:spacing w:line="360" w:lineRule="auto"/>
        <w:jc w:val="center"/>
        <w:rPr>
          <w:rFonts w:hint="eastAsia" w:ascii="宋体" w:hAnsi="宋体" w:eastAsia="宋体" w:cs="宋体"/>
          <w:b/>
          <w:sz w:val="96"/>
          <w:szCs w:val="96"/>
          <w:lang w:eastAsia="zh-CN"/>
        </w:rPr>
      </w:pPr>
      <w:r>
        <w:rPr>
          <w:rFonts w:hint="eastAsia" w:ascii="宋体" w:hAnsi="宋体" w:eastAsia="宋体" w:cs="宋体"/>
          <w:b/>
          <w:sz w:val="96"/>
          <w:szCs w:val="96"/>
          <w:lang w:eastAsia="zh-CN"/>
        </w:rPr>
        <w:t>采 购 需 求</w:t>
      </w:r>
    </w:p>
    <w:p>
      <w:pPr>
        <w:pStyle w:val="2"/>
        <w:rPr>
          <w:rFonts w:hint="eastAsia" w:ascii="宋体" w:hAnsi="宋体" w:eastAsia="宋体" w:cs="宋体"/>
          <w:b/>
          <w:sz w:val="80"/>
          <w:szCs w:val="80"/>
          <w:lang w:eastAsia="zh-CN"/>
        </w:rPr>
      </w:pPr>
    </w:p>
    <w:p>
      <w:pPr>
        <w:pStyle w:val="3"/>
        <w:rPr>
          <w:rFonts w:hint="eastAsia"/>
          <w:lang w:eastAsia="zh-CN"/>
        </w:rPr>
      </w:pPr>
    </w:p>
    <w:p>
      <w:pPr>
        <w:widowControl w:val="0"/>
        <w:topLinePunct/>
        <w:autoSpaceDE w:val="0"/>
        <w:autoSpaceDN w:val="0"/>
        <w:spacing w:line="360" w:lineRule="auto"/>
        <w:jc w:val="center"/>
        <w:rPr>
          <w:rFonts w:hint="eastAsia" w:ascii="宋体" w:hAnsi="宋体" w:eastAsia="宋体" w:cs="宋体"/>
          <w:b/>
          <w:color w:val="auto"/>
          <w:sz w:val="80"/>
          <w:szCs w:val="80"/>
          <w:lang w:eastAsia="zh-CN"/>
        </w:rPr>
      </w:pPr>
    </w:p>
    <w:p>
      <w:pPr>
        <w:pStyle w:val="2"/>
        <w:rPr>
          <w:rFonts w:hint="eastAsia"/>
          <w:lang w:eastAsia="zh-CN"/>
        </w:rPr>
      </w:pPr>
    </w:p>
    <w:p>
      <w:pPr>
        <w:widowControl w:val="0"/>
        <w:topLinePunct/>
        <w:autoSpaceDE w:val="0"/>
        <w:autoSpaceDN w:val="0"/>
        <w:spacing w:line="360" w:lineRule="auto"/>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lang w:eastAsia="zh-CN"/>
        </w:rPr>
        <w:t>项目名称：</w:t>
      </w:r>
      <w:bookmarkStart w:id="0" w:name="项目名称_projectName"/>
      <w:r>
        <w:rPr>
          <w:rFonts w:hint="eastAsia" w:ascii="宋体" w:hAnsi="宋体" w:eastAsia="宋体" w:cs="宋体"/>
          <w:b/>
          <w:color w:val="auto"/>
          <w:sz w:val="30"/>
          <w:szCs w:val="30"/>
          <w:lang w:eastAsia="zh-CN"/>
        </w:rPr>
        <w:t>国家税务总局武汉市东西湖区税务局</w:t>
      </w:r>
      <w:r>
        <w:rPr>
          <w:rFonts w:hint="eastAsia" w:ascii="宋体" w:hAnsi="宋体" w:eastAsia="宋体" w:cs="宋体"/>
          <w:b/>
          <w:color w:val="auto"/>
          <w:sz w:val="30"/>
          <w:szCs w:val="30"/>
          <w:highlight w:val="none"/>
          <w:lang w:eastAsia="zh-CN"/>
        </w:rPr>
        <w:t>2025年</w:t>
      </w:r>
    </w:p>
    <w:bookmarkEnd w:id="0"/>
    <w:p>
      <w:pPr>
        <w:widowControl w:val="0"/>
        <w:topLinePunct/>
        <w:autoSpaceDE w:val="0"/>
        <w:autoSpaceDN w:val="0"/>
        <w:spacing w:line="360" w:lineRule="auto"/>
        <w:jc w:val="center"/>
        <w:rPr>
          <w:rFonts w:hint="eastAsia" w:ascii="宋体" w:hAnsi="宋体" w:eastAsia="宋体" w:cs="宋体"/>
          <w:b/>
          <w:color w:val="auto"/>
          <w:sz w:val="30"/>
          <w:szCs w:val="30"/>
          <w:lang w:eastAsia="zh-CN"/>
        </w:rPr>
      </w:pPr>
      <w:r>
        <w:rPr>
          <w:rFonts w:hint="eastAsia" w:ascii="宋体" w:hAnsi="宋体" w:cs="宋体"/>
          <w:b/>
          <w:color w:val="auto"/>
          <w:sz w:val="30"/>
          <w:szCs w:val="30"/>
          <w:lang w:eastAsia="zh-CN"/>
        </w:rPr>
        <w:t>纳税</w:t>
      </w:r>
      <w:r>
        <w:rPr>
          <w:rFonts w:hint="eastAsia" w:ascii="宋体" w:hAnsi="宋体" w:eastAsia="宋体" w:cs="宋体"/>
          <w:b/>
          <w:color w:val="auto"/>
          <w:sz w:val="30"/>
          <w:szCs w:val="30"/>
          <w:lang w:eastAsia="zh-CN"/>
        </w:rPr>
        <w:t>服务</w:t>
      </w:r>
      <w:r>
        <w:rPr>
          <w:rFonts w:hint="eastAsia" w:ascii="宋体" w:hAnsi="宋体" w:cs="宋体"/>
          <w:b/>
          <w:color w:val="auto"/>
          <w:sz w:val="30"/>
          <w:szCs w:val="30"/>
          <w:lang w:eastAsia="zh-CN"/>
        </w:rPr>
        <w:t>咨询</w:t>
      </w:r>
      <w:r>
        <w:rPr>
          <w:rFonts w:hint="eastAsia" w:ascii="宋体" w:hAnsi="宋体" w:eastAsia="宋体" w:cs="宋体"/>
          <w:b/>
          <w:color w:val="auto"/>
          <w:sz w:val="30"/>
          <w:szCs w:val="30"/>
          <w:lang w:eastAsia="zh-CN"/>
        </w:rPr>
        <w:t>项目</w:t>
      </w:r>
    </w:p>
    <w:p>
      <w:pPr>
        <w:widowControl w:val="0"/>
        <w:spacing w:line="360" w:lineRule="auto"/>
        <w:jc w:val="both"/>
        <w:rPr>
          <w:rFonts w:hint="eastAsia" w:ascii="宋体" w:hAnsi="宋体" w:eastAsia="宋体" w:cs="宋体"/>
          <w:kern w:val="2"/>
          <w:sz w:val="32"/>
          <w:szCs w:val="32"/>
          <w:lang w:eastAsia="zh-CN"/>
        </w:rPr>
      </w:pPr>
    </w:p>
    <w:p>
      <w:pPr>
        <w:widowControl w:val="0"/>
        <w:spacing w:line="360" w:lineRule="auto"/>
        <w:jc w:val="both"/>
        <w:rPr>
          <w:rFonts w:ascii="宋体" w:hAnsi="宋体" w:eastAsia="宋体" w:cs="宋体"/>
          <w:kern w:val="2"/>
          <w:sz w:val="32"/>
          <w:szCs w:val="32"/>
          <w:lang w:eastAsia="zh-CN"/>
        </w:rPr>
      </w:pPr>
    </w:p>
    <w:p>
      <w:pPr>
        <w:widowControl w:val="0"/>
        <w:spacing w:line="360" w:lineRule="auto"/>
        <w:jc w:val="both"/>
        <w:rPr>
          <w:rFonts w:hint="eastAsia" w:ascii="宋体" w:hAnsi="宋体" w:eastAsia="宋体" w:cs="宋体"/>
          <w:kern w:val="2"/>
          <w:sz w:val="32"/>
          <w:szCs w:val="32"/>
          <w:lang w:eastAsia="zh-CN"/>
        </w:rPr>
      </w:pPr>
    </w:p>
    <w:p>
      <w:pPr>
        <w:pStyle w:val="2"/>
        <w:rPr>
          <w:rFonts w:hint="eastAsia" w:ascii="宋体" w:hAnsi="宋体" w:eastAsia="宋体" w:cs="宋体"/>
          <w:kern w:val="2"/>
          <w:sz w:val="32"/>
          <w:szCs w:val="32"/>
          <w:lang w:eastAsia="zh-CN"/>
        </w:rPr>
      </w:pPr>
      <w:bookmarkStart w:id="12" w:name="_GoBack"/>
      <w:bookmarkEnd w:id="12"/>
    </w:p>
    <w:p>
      <w:pPr>
        <w:pStyle w:val="3"/>
        <w:rPr>
          <w:rFonts w:hint="eastAsia"/>
          <w:lang w:eastAsia="zh-CN"/>
        </w:rPr>
      </w:pPr>
    </w:p>
    <w:p>
      <w:pPr>
        <w:widowControl w:val="0"/>
        <w:topLinePunct/>
        <w:autoSpaceDE w:val="0"/>
        <w:autoSpaceDN w:val="0"/>
        <w:spacing w:line="360" w:lineRule="auto"/>
        <w:jc w:val="both"/>
        <w:rPr>
          <w:rFonts w:hint="eastAsia" w:ascii="宋体" w:hAnsi="宋体" w:eastAsia="宋体" w:cs="宋体"/>
          <w:sz w:val="32"/>
          <w:szCs w:val="32"/>
          <w:lang w:eastAsia="zh-CN"/>
        </w:rPr>
      </w:pPr>
    </w:p>
    <w:p>
      <w:pPr>
        <w:widowControl w:val="0"/>
        <w:topLinePunct/>
        <w:autoSpaceDE w:val="0"/>
        <w:autoSpaceDN w:val="0"/>
        <w:spacing w:line="360" w:lineRule="auto"/>
        <w:jc w:val="center"/>
        <w:rPr>
          <w:rFonts w:hint="eastAsia" w:ascii="宋体" w:hAnsi="宋体" w:eastAsia="宋体" w:cs="宋体"/>
          <w:b/>
          <w:color w:val="auto"/>
          <w:sz w:val="30"/>
          <w:szCs w:val="30"/>
          <w:lang w:eastAsia="zh-CN"/>
        </w:rPr>
      </w:pPr>
      <w:bookmarkStart w:id="1" w:name="生成日期_currentDateTime_ym"/>
      <w:r>
        <w:rPr>
          <w:rFonts w:hint="eastAsia" w:ascii="宋体" w:hAnsi="宋体" w:eastAsia="宋体" w:cs="宋体"/>
          <w:b/>
          <w:color w:val="auto"/>
          <w:sz w:val="30"/>
          <w:szCs w:val="30"/>
          <w:lang w:eastAsia="zh-CN"/>
        </w:rPr>
        <w:t>202</w:t>
      </w:r>
      <w:r>
        <w:rPr>
          <w:rFonts w:hint="eastAsia" w:ascii="宋体" w:hAnsi="宋体" w:eastAsia="宋体" w:cs="宋体"/>
          <w:b/>
          <w:color w:val="auto"/>
          <w:sz w:val="30"/>
          <w:szCs w:val="30"/>
          <w:lang w:val="en-US" w:eastAsia="zh-CN"/>
        </w:rPr>
        <w:t>5</w:t>
      </w:r>
      <w:r>
        <w:rPr>
          <w:rFonts w:hint="eastAsia" w:ascii="宋体" w:hAnsi="宋体" w:eastAsia="宋体" w:cs="宋体"/>
          <w:b/>
          <w:color w:val="auto"/>
          <w:sz w:val="30"/>
          <w:szCs w:val="30"/>
          <w:lang w:eastAsia="zh-CN"/>
        </w:rPr>
        <w:t>年</w:t>
      </w:r>
      <w:r>
        <w:rPr>
          <w:rFonts w:hint="eastAsia" w:ascii="宋体" w:hAnsi="宋体" w:eastAsia="宋体" w:cs="宋体"/>
          <w:b/>
          <w:color w:val="auto"/>
          <w:sz w:val="30"/>
          <w:szCs w:val="30"/>
          <w:lang w:val="en-US" w:eastAsia="zh-CN"/>
        </w:rPr>
        <w:t>6</w:t>
      </w:r>
      <w:r>
        <w:rPr>
          <w:rFonts w:hint="eastAsia" w:ascii="宋体" w:hAnsi="宋体" w:eastAsia="宋体" w:cs="宋体"/>
          <w:b/>
          <w:color w:val="auto"/>
          <w:sz w:val="30"/>
          <w:szCs w:val="30"/>
          <w:lang w:eastAsia="zh-CN"/>
        </w:rPr>
        <w:t>月</w:t>
      </w:r>
      <w:bookmarkEnd w:id="1"/>
    </w:p>
    <w:p>
      <w:pPr>
        <w:adjustRightInd w:val="0"/>
        <w:snapToGrid w:val="0"/>
        <w:spacing w:beforeLines="0" w:afterLines="0" w:line="396" w:lineRule="auto"/>
        <w:jc w:val="center"/>
        <w:rPr>
          <w:rFonts w:hint="eastAsia" w:ascii="宋体" w:hAnsi="宋体" w:cs="宋体"/>
          <w:b/>
          <w:bCs/>
          <w:sz w:val="36"/>
          <w:szCs w:val="36"/>
          <w:lang w:val="en-US" w:eastAsia="zh-CN"/>
        </w:rPr>
      </w:pPr>
    </w:p>
    <w:p>
      <w:pPr>
        <w:widowControl/>
        <w:overflowPunct w:val="0"/>
        <w:autoSpaceDE w:val="0"/>
        <w:autoSpaceDN w:val="0"/>
        <w:adjustRightInd w:val="0"/>
        <w:spacing w:line="360" w:lineRule="auto"/>
        <w:jc w:val="center"/>
        <w:textAlignment w:val="baseline"/>
        <w:rPr>
          <w:rFonts w:hint="eastAsia" w:ascii="Times New Roman" w:hAnsi="Times New Roman" w:eastAsia="宋体"/>
          <w:b/>
          <w:bCs/>
          <w:kern w:val="0"/>
          <w:sz w:val="36"/>
          <w:szCs w:val="36"/>
          <w:lang w:val="en-US" w:eastAsia="zh-CN"/>
        </w:rPr>
      </w:pPr>
    </w:p>
    <w:p>
      <w:pPr>
        <w:widowControl/>
        <w:overflowPunct w:val="0"/>
        <w:autoSpaceDE w:val="0"/>
        <w:autoSpaceDN w:val="0"/>
        <w:adjustRightInd w:val="0"/>
        <w:spacing w:line="360" w:lineRule="auto"/>
        <w:jc w:val="center"/>
        <w:textAlignment w:val="baseline"/>
        <w:rPr>
          <w:rFonts w:hint="eastAsia" w:ascii="Times New Roman" w:hAnsi="Times New Roman" w:eastAsia="宋体"/>
          <w:b/>
          <w:bCs/>
          <w:kern w:val="0"/>
          <w:sz w:val="36"/>
          <w:szCs w:val="36"/>
          <w:lang w:val="en-US" w:eastAsia="zh-CN"/>
        </w:rPr>
      </w:pPr>
      <w:r>
        <w:rPr>
          <w:rFonts w:hint="eastAsia" w:ascii="Times New Roman" w:hAnsi="Times New Roman" w:eastAsia="宋体"/>
          <w:b/>
          <w:bCs/>
          <w:kern w:val="0"/>
          <w:sz w:val="36"/>
          <w:szCs w:val="36"/>
          <w:lang w:val="en-US" w:eastAsia="zh-CN"/>
        </w:rPr>
        <w:t>项目采购需求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cs="Times New Roman"/>
          <w:sz w:val="24"/>
        </w:rPr>
      </w:pPr>
      <w:r>
        <w:rPr>
          <w:rFonts w:hint="eastAsia" w:ascii="宋体" w:hAnsi="宋体" w:cs="Times New Roman"/>
          <w:sz w:val="24"/>
        </w:rPr>
        <w:t>一、项目概述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cs="Times New Roman"/>
          <w:sz w:val="24"/>
        </w:rPr>
      </w:pPr>
      <w:r>
        <w:rPr>
          <w:rFonts w:hint="eastAsia" w:ascii="宋体" w:hAnsi="宋体" w:cs="Times New Roman"/>
          <w:sz w:val="24"/>
        </w:rPr>
        <w:t>1.项目背景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宋体" w:hAnsi="宋体" w:cs="Times New Roman"/>
          <w:sz w:val="24"/>
          <w:lang w:eastAsia="zh-CN"/>
        </w:rPr>
      </w:pPr>
      <w:bookmarkStart w:id="2" w:name="_Toc256000002"/>
      <w:r>
        <w:rPr>
          <w:rFonts w:hint="eastAsia" w:ascii="宋体" w:hAnsi="宋体" w:cs="Times New Roman"/>
          <w:sz w:val="24"/>
          <w:lang w:eastAsia="zh-CN"/>
        </w:rPr>
        <w:t>1.1项目目的、意义及背景</w:t>
      </w:r>
      <w:bookmarkEnd w:id="2"/>
      <w:r>
        <w:rPr>
          <w:rFonts w:hint="eastAsia" w:ascii="宋体" w:hAnsi="宋体" w:cs="Times New Roman"/>
          <w:sz w:val="24"/>
          <w:lang w:eastAsia="zh-CN"/>
        </w:rPr>
        <w:t xml:space="preserve"> </w:t>
      </w:r>
    </w:p>
    <w:p>
      <w:pPr>
        <w:spacing w:line="520" w:lineRule="exact"/>
        <w:ind w:firstLine="480" w:firstLineChars="200"/>
        <w:rPr>
          <w:rFonts w:hint="eastAsia" w:ascii="宋体" w:hAnsi="宋体" w:cs="Times New Roman"/>
          <w:sz w:val="24"/>
        </w:rPr>
      </w:pPr>
      <w:r>
        <w:rPr>
          <w:rFonts w:hint="eastAsia" w:ascii="宋体" w:hAnsi="宋体" w:cs="Times New Roman"/>
          <w:sz w:val="24"/>
        </w:rPr>
        <w:t>12366纳税服务热线立足于为纳税人缴费人提供规范、标准、高效、便捷的专业化税费咨询服务，通过呼叫平台、IVR导航、电话、人工坐席服务、专用网络以及Internet网络等与税收征管应用系统相连，完成企业和个人的税费咨询、网上缴税、查询、税务举报、投诉的接收与处理、税务政策法规咨询、网上纳税缴费指引、税务投诉建议等功能的平台。本次采购利用12366纳税服务热线向纳税人缴费人提供纳税咨询、缴费咨询、办税服务、涉税查询、投诉受理、涉税调查、税法宣传、智能标记等人工服务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cs="Times New Roman"/>
          <w:sz w:val="24"/>
        </w:rPr>
      </w:pPr>
      <w:r>
        <w:rPr>
          <w:rFonts w:hint="eastAsia" w:ascii="宋体" w:hAnsi="宋体" w:cs="Times New Roman"/>
          <w:sz w:val="24"/>
        </w:rPr>
        <w:t>2.项目内容</w:t>
      </w:r>
    </w:p>
    <w:p>
      <w:pPr>
        <w:spacing w:line="520" w:lineRule="exact"/>
        <w:ind w:firstLine="480" w:firstLineChars="200"/>
        <w:rPr>
          <w:rFonts w:hint="eastAsia" w:ascii="宋体" w:hAnsi="宋体" w:cs="Times New Roman"/>
          <w:sz w:val="24"/>
        </w:rPr>
      </w:pPr>
      <w:r>
        <w:rPr>
          <w:rFonts w:hint="eastAsia" w:ascii="宋体" w:hAnsi="宋体" w:cs="Times New Roman"/>
          <w:sz w:val="24"/>
        </w:rPr>
        <w:t>按照国家税务总局、湖北省税务局关于办税服务厅转型工作部署，涉税费事项咨询办理模式将逐步由传统“线下办”向“线上办”转变。为进一步提升线上办税缴费咨询服务质效，及时响应纳税人缴费人多元化合理诉求，采购人依附于武汉市税务局12366服务</w:t>
      </w:r>
      <w:r>
        <w:rPr>
          <w:rFonts w:hint="eastAsia" w:ascii="宋体" w:hAnsi="宋体" w:eastAsia="宋体" w:cs="Times New Roman"/>
          <w:sz w:val="24"/>
        </w:rPr>
        <w:t>热线平台</w:t>
      </w:r>
      <w:r>
        <w:rPr>
          <w:rFonts w:hint="eastAsia" w:ascii="宋体" w:hAnsi="宋体" w:eastAsia="宋体" w:cs="Times New Roman"/>
          <w:sz w:val="24"/>
          <w:lang w:val="en-US" w:eastAsia="zh-CN"/>
        </w:rPr>
        <w:t>及征纳互动平台</w:t>
      </w:r>
      <w:r>
        <w:rPr>
          <w:rFonts w:hint="eastAsia" w:ascii="宋体" w:hAnsi="宋体" w:eastAsia="宋体" w:cs="Times New Roman"/>
          <w:sz w:val="24"/>
        </w:rPr>
        <w:t>，向辖区内</w:t>
      </w:r>
      <w:r>
        <w:rPr>
          <w:rFonts w:hint="eastAsia" w:ascii="宋体" w:hAnsi="宋体" w:cs="Times New Roman"/>
          <w:sz w:val="24"/>
        </w:rPr>
        <w:t>纳税人缴费人开展语音（包括自动语音咨询和人工坐席咨询）和网络咨询服务。主要服务范围为：税费咨询、投诉建议、税费法规查询、办税指南查询、自动语音留言回拨、满意度回访评价等。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cs="Times New Roman"/>
          <w:sz w:val="24"/>
        </w:rPr>
      </w:pPr>
      <w:r>
        <w:rPr>
          <w:rFonts w:hint="eastAsia" w:ascii="宋体" w:hAnsi="宋体" w:cs="Times New Roman"/>
          <w:sz w:val="24"/>
          <w:lang w:val="en-US" w:eastAsia="zh-CN"/>
        </w:rPr>
        <w:t>3.</w:t>
      </w:r>
      <w:r>
        <w:rPr>
          <w:rFonts w:hint="eastAsia" w:ascii="宋体" w:hAnsi="宋体" w:cs="Times New Roman"/>
          <w:sz w:val="24"/>
        </w:rPr>
        <w:t>项目实施要求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宋体" w:hAnsi="宋体" w:cs="Times New Roman"/>
          <w:sz w:val="24"/>
          <w:lang w:eastAsia="zh-CN"/>
        </w:rPr>
      </w:pPr>
      <w:r>
        <w:rPr>
          <w:rFonts w:hint="eastAsia" w:ascii="宋体" w:hAnsi="宋体" w:cs="Times New Roman"/>
          <w:sz w:val="24"/>
          <w:lang w:val="en-US" w:eastAsia="zh-CN"/>
        </w:rPr>
        <w:t>3</w:t>
      </w:r>
      <w:r>
        <w:rPr>
          <w:rFonts w:hint="eastAsia" w:ascii="宋体" w:hAnsi="宋体" w:cs="Times New Roman"/>
          <w:sz w:val="24"/>
          <w:lang w:eastAsia="zh-CN"/>
        </w:rPr>
        <w:t>.1</w:t>
      </w:r>
      <w:r>
        <w:rPr>
          <w:rFonts w:hint="eastAsia" w:ascii="宋体" w:hAnsi="宋体" w:eastAsia="宋体" w:cs="Times New Roman"/>
          <w:kern w:val="2"/>
          <w:sz w:val="24"/>
          <w:szCs w:val="24"/>
          <w:lang w:val="en-US" w:eastAsia="zh-CN" w:bidi="ar-SA"/>
        </w:rPr>
        <w:t>★</w:t>
      </w:r>
      <w:r>
        <w:rPr>
          <w:rFonts w:hint="eastAsia" w:ascii="宋体" w:hAnsi="宋体" w:cs="Times New Roman"/>
          <w:sz w:val="24"/>
          <w:lang w:eastAsia="zh-CN"/>
        </w:rPr>
        <w:t xml:space="preserve">实施范围要求 </w:t>
      </w:r>
    </w:p>
    <w:p>
      <w:pPr>
        <w:spacing w:line="520" w:lineRule="exact"/>
        <w:ind w:firstLine="480" w:firstLineChars="200"/>
        <w:rPr>
          <w:rFonts w:hint="eastAsia" w:ascii="宋体" w:hAnsi="宋体" w:cs="Times New Roman"/>
          <w:sz w:val="24"/>
          <w:lang w:eastAsia="zh-CN"/>
        </w:rPr>
      </w:pPr>
      <w:r>
        <w:rPr>
          <w:rFonts w:hint="eastAsia" w:ascii="宋体" w:hAnsi="宋体"/>
          <w:sz w:val="24"/>
        </w:rPr>
        <w:t>通过政府采购方式引入专业化纳税服务咨询机构，依托12366服务平台，向纳税人缴费人提供办问协同热线服务</w:t>
      </w:r>
      <w:r>
        <w:rPr>
          <w:rFonts w:hint="eastAsia" w:ascii="宋体" w:hAnsi="宋体"/>
          <w:sz w:val="24"/>
          <w:lang w:val="en-US" w:eastAsia="zh-CN"/>
        </w:rPr>
        <w:t>及征纳互动服务</w:t>
      </w:r>
      <w:r>
        <w:rPr>
          <w:rFonts w:hint="eastAsia" w:ascii="宋体" w:hAnsi="宋体"/>
          <w:sz w:val="24"/>
        </w:rPr>
        <w:t>，包括税费咨询、远程辅导、调查回访等。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宋体" w:hAnsi="宋体" w:cs="Times New Roman"/>
          <w:sz w:val="24"/>
          <w:lang w:eastAsia="zh-CN"/>
        </w:rPr>
      </w:pPr>
      <w:r>
        <w:rPr>
          <w:rFonts w:hint="eastAsia" w:ascii="宋体" w:hAnsi="宋体" w:cs="Times New Roman"/>
          <w:sz w:val="24"/>
          <w:lang w:val="en-US" w:eastAsia="zh-CN"/>
        </w:rPr>
        <w:t>3</w:t>
      </w:r>
      <w:r>
        <w:rPr>
          <w:rFonts w:hint="eastAsia" w:ascii="宋体" w:hAnsi="宋体" w:cs="Times New Roman"/>
          <w:sz w:val="24"/>
          <w:lang w:eastAsia="zh-CN"/>
        </w:rPr>
        <w:t xml:space="preserve">.2实施时间要求 </w:t>
      </w:r>
    </w:p>
    <w:p>
      <w:pPr>
        <w:spacing w:line="520" w:lineRule="exact"/>
        <w:ind w:firstLine="480" w:firstLineChars="200"/>
        <w:rPr>
          <w:rFonts w:hint="eastAsia" w:ascii="宋体" w:hAnsi="宋体" w:cs="Times New Roman"/>
          <w:sz w:val="24"/>
          <w:lang w:eastAsia="zh-CN"/>
        </w:rPr>
      </w:pPr>
      <w:r>
        <w:rPr>
          <w:rFonts w:hint="eastAsia" w:ascii="宋体" w:hAnsi="宋体" w:cs="Times New Roman"/>
          <w:sz w:val="24"/>
          <w:lang w:eastAsia="zh-CN"/>
        </w:rPr>
        <w:t>本次购买服务以公开招标的方式进行，购买服务期为1年，1年期满后双方无异议，该合同可以续签，但续签不得超过2年。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宋体" w:hAnsi="宋体" w:cs="Times New Roman"/>
          <w:sz w:val="24"/>
          <w:lang w:eastAsia="zh-CN"/>
        </w:rPr>
      </w:pPr>
      <w:r>
        <w:rPr>
          <w:rFonts w:hint="eastAsia" w:ascii="宋体" w:hAnsi="宋体" w:cs="Times New Roman"/>
          <w:sz w:val="24"/>
          <w:lang w:val="en-US" w:eastAsia="zh-CN"/>
        </w:rPr>
        <w:t>3</w:t>
      </w:r>
      <w:r>
        <w:rPr>
          <w:rFonts w:hint="eastAsia" w:ascii="宋体" w:hAnsi="宋体" w:cs="Times New Roman"/>
          <w:sz w:val="24"/>
          <w:lang w:eastAsia="zh-CN"/>
        </w:rPr>
        <w:t xml:space="preserve">.3实施地点要求 </w:t>
      </w:r>
    </w:p>
    <w:p>
      <w:pPr>
        <w:spacing w:line="520" w:lineRule="exact"/>
        <w:ind w:firstLine="480" w:firstLineChars="200"/>
        <w:rPr>
          <w:rFonts w:hint="eastAsia" w:ascii="宋体" w:hAnsi="宋体" w:cs="Times New Roman"/>
          <w:sz w:val="24"/>
        </w:rPr>
      </w:pPr>
      <w:r>
        <w:rPr>
          <w:rFonts w:hint="eastAsia" w:ascii="宋体" w:hAnsi="宋体" w:cs="Times New Roman"/>
          <w:sz w:val="24"/>
          <w:lang w:eastAsia="zh-CN"/>
        </w:rPr>
        <w:t>采购人提供场地，所在地点位于国家税务总局武汉市</w:t>
      </w:r>
      <w:r>
        <w:rPr>
          <w:rFonts w:hint="eastAsia" w:ascii="宋体" w:hAnsi="宋体" w:cs="Times New Roman"/>
          <w:sz w:val="24"/>
          <w:lang w:val="en-US" w:eastAsia="zh-CN"/>
        </w:rPr>
        <w:t>东西湖</w:t>
      </w:r>
      <w:r>
        <w:rPr>
          <w:rFonts w:hint="eastAsia" w:ascii="宋体" w:hAnsi="宋体" w:cs="Times New Roman"/>
          <w:sz w:val="24"/>
          <w:lang w:eastAsia="zh-CN"/>
        </w:rPr>
        <w:t>区税务局。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cs="Times New Roman"/>
          <w:sz w:val="24"/>
          <w:lang w:val="en-US" w:eastAsia="zh-CN"/>
        </w:rPr>
      </w:pPr>
      <w:r>
        <w:rPr>
          <w:rFonts w:hint="eastAsia" w:ascii="宋体" w:hAnsi="宋体" w:cs="Times New Roman"/>
          <w:sz w:val="24"/>
          <w:lang w:val="en-US" w:eastAsia="zh-CN"/>
        </w:rPr>
        <w:t>二、投标</w:t>
      </w:r>
      <w:r>
        <w:rPr>
          <w:rFonts w:hint="eastAsia" w:ascii="宋体" w:hAnsi="宋体" w:cs="Times New Roman"/>
          <w:sz w:val="24"/>
          <w:lang w:val="en" w:eastAsia="zh-CN"/>
        </w:rPr>
        <w:t>/</w:t>
      </w:r>
      <w:r>
        <w:rPr>
          <w:rFonts w:hint="eastAsia" w:ascii="宋体" w:hAnsi="宋体" w:cs="Times New Roman"/>
          <w:sz w:val="24"/>
          <w:lang w:val="en-US" w:eastAsia="zh-CN"/>
        </w:rPr>
        <w:t>响应要求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cs="Times New Roman"/>
          <w:sz w:val="24"/>
          <w:lang w:val="en-US" w:eastAsia="zh-CN"/>
        </w:rPr>
      </w:pPr>
      <w:bookmarkStart w:id="3" w:name="_Toc256000007"/>
      <w:r>
        <w:rPr>
          <w:rFonts w:hint="eastAsia" w:ascii="宋体" w:hAnsi="宋体" w:cs="Times New Roman"/>
          <w:sz w:val="24"/>
          <w:lang w:val="en-US" w:eastAsia="zh-CN"/>
        </w:rPr>
        <w:t>1.对供应商的要求</w:t>
      </w:r>
      <w:bookmarkEnd w:id="3"/>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宋体" w:hAnsi="宋体" w:cs="Times New Roman"/>
          <w:sz w:val="24"/>
          <w:lang w:val="en-US" w:eastAsia="zh-CN"/>
        </w:rPr>
      </w:pPr>
      <w:bookmarkStart w:id="4" w:name="_Toc256000008"/>
      <w:r>
        <w:rPr>
          <w:rFonts w:hint="eastAsia" w:ascii="宋体" w:hAnsi="宋体" w:cs="Times New Roman"/>
          <w:sz w:val="24"/>
          <w:lang w:val="en-US" w:eastAsia="zh-CN"/>
        </w:rPr>
        <w:t>1.1必备资质</w:t>
      </w:r>
      <w:bookmarkEnd w:id="4"/>
      <w:r>
        <w:rPr>
          <w:rFonts w:hint="eastAsia" w:ascii="宋体" w:hAnsi="宋体" w:cs="Times New Roman"/>
          <w:sz w:val="24"/>
          <w:lang w:val="en-US" w:eastAsia="zh-CN"/>
        </w:rPr>
        <w:t>（必填）</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投标人应遵守有关国家法律、法规和条例,具备《中华人民共和国政府采购法》第二十二条的规定和本文件中规定的条件。未列入“信用中国”网站（www.creditchina.gov.cn）失信被执行人、重大税收违法案件当事人名单，也未列入中国政府采购网（www.ccgp.gov.cn）政府采购严重违法失信行为记录名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宋体" w:hAnsi="宋体" w:cs="Times New Roman"/>
          <w:sz w:val="24"/>
          <w:lang w:val="en-US" w:eastAsia="zh-CN"/>
        </w:rPr>
      </w:pPr>
      <w:bookmarkStart w:id="5" w:name="_Toc256000009"/>
      <w:r>
        <w:rPr>
          <w:rFonts w:hint="eastAsia" w:ascii="宋体" w:hAnsi="宋体" w:cs="Times New Roman"/>
          <w:sz w:val="24"/>
          <w:lang w:val="en-US" w:eastAsia="zh-CN"/>
        </w:rPr>
        <w:t>1.2是否允许联合体</w:t>
      </w:r>
      <w:bookmarkEnd w:id="5"/>
      <w:r>
        <w:rPr>
          <w:rFonts w:hint="eastAsia" w:ascii="宋体" w:hAnsi="宋体" w:cs="Times New Roman"/>
          <w:sz w:val="24"/>
          <w:lang w:val="en-US" w:eastAsia="zh-CN"/>
        </w:rPr>
        <w:t xml:space="preserve"> </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宋体" w:hAnsi="宋体" w:cs="Times New Roman"/>
          <w:sz w:val="24"/>
          <w:lang w:val="en-US" w:eastAsia="zh-CN"/>
        </w:rPr>
      </w:pPr>
      <w:bookmarkStart w:id="6" w:name="_Toc256000010"/>
      <w:r>
        <w:rPr>
          <w:rFonts w:hint="eastAsia" w:ascii="宋体" w:hAnsi="宋体" w:cs="Times New Roman"/>
          <w:sz w:val="24"/>
          <w:lang w:val="en-US" w:eastAsia="zh-CN"/>
        </w:rPr>
        <w:t>1.3是否专门面向中小企业</w:t>
      </w:r>
      <w:bookmarkEnd w:id="6"/>
      <w:r>
        <w:rPr>
          <w:rFonts w:hint="eastAsia" w:ascii="宋体" w:hAnsi="宋体" w:cs="Times New Roman"/>
          <w:sz w:val="24"/>
          <w:lang w:val="en-US" w:eastAsia="zh-CN"/>
        </w:rPr>
        <w:t xml:space="preserve"> </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本项目专门面向中小企业采购项目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cs="Times New Roman"/>
          <w:sz w:val="24"/>
          <w:lang w:val="en-US" w:eastAsia="zh-CN"/>
        </w:rPr>
      </w:pPr>
      <w:bookmarkStart w:id="7" w:name="_Toc256000011"/>
      <w:r>
        <w:rPr>
          <w:rFonts w:hint="eastAsia" w:ascii="宋体" w:hAnsi="宋体" w:cs="Times New Roman"/>
          <w:sz w:val="24"/>
          <w:lang w:val="en-US" w:eastAsia="zh-CN"/>
        </w:rPr>
        <w:t>2.技术部分投标/响应内容</w:t>
      </w:r>
      <w:bookmarkEnd w:id="7"/>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eastAsia" w:ascii="宋体" w:hAnsi="宋体" w:cs="Times New Roman"/>
          <w:sz w:val="24"/>
          <w:lang w:val="en-US" w:eastAsia="zh-CN"/>
        </w:rPr>
      </w:pPr>
      <w:bookmarkStart w:id="8" w:name="_Toc256000012"/>
      <w:r>
        <w:rPr>
          <w:rFonts w:hint="eastAsia" w:ascii="宋体" w:hAnsi="宋体" w:cs="Times New Roman"/>
          <w:sz w:val="24"/>
          <w:lang w:val="en-US" w:eastAsia="zh-CN"/>
        </w:rPr>
        <w:t>2.1投标/响应方案要求</w:t>
      </w:r>
      <w:bookmarkEnd w:id="8"/>
      <w:r>
        <w:rPr>
          <w:rFonts w:hint="eastAsia" w:ascii="宋体" w:hAnsi="宋体" w:cs="Times New Roman"/>
          <w:sz w:val="24"/>
          <w:lang w:val="en-US" w:eastAsia="zh-CN"/>
        </w:rPr>
        <w:t xml:space="preserve"> </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供应商应在投标书中依据业务技术需求提供以下方面的方案及内容：</w:t>
      </w:r>
    </w:p>
    <w:p>
      <w:pPr>
        <w:spacing w:line="520" w:lineRule="exact"/>
        <w:ind w:firstLine="482" w:firstLineChars="200"/>
        <w:rPr>
          <w:rFonts w:hint="eastAsia" w:ascii="宋体" w:hAnsi="宋体" w:cs="Times New Roman"/>
          <w:sz w:val="24"/>
          <w:lang w:val="en-US" w:eastAsia="zh-CN"/>
        </w:rPr>
      </w:pPr>
      <w:r>
        <w:rPr>
          <w:rFonts w:hint="eastAsia" w:ascii="宋体" w:hAnsi="宋体" w:cs="Times New Roman"/>
          <w:b/>
          <w:bCs/>
          <w:sz w:val="24"/>
          <w:lang w:val="en-US" w:eastAsia="zh-CN"/>
        </w:rPr>
        <w:t>项目需求分析和理解</w:t>
      </w:r>
      <w:r>
        <w:rPr>
          <w:rFonts w:hint="eastAsia" w:ascii="宋体" w:hAnsi="宋体" w:cs="Times New Roman"/>
          <w:sz w:val="24"/>
          <w:lang w:val="en-US" w:eastAsia="zh-CN"/>
        </w:rPr>
        <w:t>：投标人对本项目需求的响应程度，包括但不限于12366纳税缴费服务热线工作性质、工作内容、工作方式、工作标准；难点和重点分析以及将采取的措施与建议；</w:t>
      </w:r>
    </w:p>
    <w:p>
      <w:pPr>
        <w:spacing w:line="520" w:lineRule="exact"/>
        <w:ind w:firstLine="482" w:firstLineChars="200"/>
        <w:rPr>
          <w:rFonts w:hint="eastAsia" w:ascii="宋体" w:hAnsi="宋体" w:cs="Times New Roman"/>
          <w:sz w:val="24"/>
          <w:lang w:val="en-US" w:eastAsia="zh-CN"/>
        </w:rPr>
      </w:pPr>
      <w:r>
        <w:rPr>
          <w:rFonts w:hint="eastAsia" w:ascii="宋体" w:hAnsi="宋体" w:cs="Times New Roman"/>
          <w:b/>
          <w:bCs/>
          <w:sz w:val="24"/>
          <w:lang w:val="en-US" w:eastAsia="zh-CN"/>
        </w:rPr>
        <w:t>人员配置保障方案</w:t>
      </w:r>
      <w:r>
        <w:rPr>
          <w:rFonts w:hint="eastAsia" w:ascii="宋体" w:hAnsi="宋体" w:cs="Times New Roman"/>
          <w:sz w:val="24"/>
          <w:lang w:val="en-US" w:eastAsia="zh-CN"/>
        </w:rPr>
        <w:t xml:space="preserve">：针对本项目提出详细的人员配置保障方案，包括但不限于人员招聘方案、人员岗前培训方案、人员工作质量考核方案及奖惩措施、人员业务衔接方案及保障措施； </w:t>
      </w:r>
    </w:p>
    <w:p>
      <w:pPr>
        <w:spacing w:line="520" w:lineRule="exact"/>
        <w:ind w:firstLine="482" w:firstLineChars="200"/>
        <w:rPr>
          <w:rFonts w:hint="eastAsia" w:ascii="宋体" w:hAnsi="宋体" w:cs="Times New Roman"/>
          <w:sz w:val="24"/>
          <w:lang w:val="en-US" w:eastAsia="zh-CN"/>
        </w:rPr>
      </w:pPr>
      <w:r>
        <w:rPr>
          <w:rFonts w:hint="eastAsia" w:ascii="宋体" w:hAnsi="宋体" w:cs="Times New Roman"/>
          <w:b/>
          <w:bCs/>
          <w:sz w:val="24"/>
          <w:lang w:val="en-US" w:eastAsia="zh-CN"/>
        </w:rPr>
        <w:t>服务质量保证措施</w:t>
      </w:r>
      <w:r>
        <w:rPr>
          <w:rFonts w:hint="eastAsia" w:ascii="宋体" w:hAnsi="宋体" w:cs="Times New Roman"/>
          <w:sz w:val="24"/>
          <w:lang w:val="en-US" w:eastAsia="zh-CN"/>
        </w:rPr>
        <w:t>：针对本项目，提出科学详细的服务质量保证措施方案；</w:t>
      </w:r>
    </w:p>
    <w:p>
      <w:pPr>
        <w:spacing w:line="520" w:lineRule="exact"/>
        <w:ind w:firstLine="482" w:firstLineChars="200"/>
        <w:rPr>
          <w:rFonts w:hint="eastAsia" w:ascii="宋体" w:hAnsi="宋体" w:cs="Times New Roman"/>
          <w:sz w:val="24"/>
          <w:lang w:val="en-US" w:eastAsia="zh-CN"/>
        </w:rPr>
      </w:pPr>
      <w:r>
        <w:rPr>
          <w:rFonts w:hint="eastAsia" w:ascii="宋体" w:hAnsi="宋体" w:cs="Times New Roman"/>
          <w:b/>
          <w:bCs/>
          <w:sz w:val="24"/>
          <w:lang w:val="en-US" w:eastAsia="zh-CN"/>
        </w:rPr>
        <w:t>信息安全保障方案</w:t>
      </w:r>
      <w:r>
        <w:rPr>
          <w:rFonts w:hint="eastAsia" w:ascii="宋体" w:hAnsi="宋体" w:cs="Times New Roman"/>
          <w:sz w:val="24"/>
          <w:lang w:val="en-US" w:eastAsia="zh-CN"/>
        </w:rPr>
        <w:t>：投标人为本项目制定的信息安全保障方案，包括但不限于需求书中“信息安全要求”的相关要求；</w:t>
      </w:r>
    </w:p>
    <w:p>
      <w:pPr>
        <w:spacing w:line="520" w:lineRule="exact"/>
        <w:ind w:firstLine="482" w:firstLineChars="200"/>
        <w:rPr>
          <w:rFonts w:hint="eastAsia" w:ascii="宋体" w:hAnsi="宋体" w:cs="Times New Roman"/>
          <w:sz w:val="24"/>
          <w:lang w:val="en-US" w:eastAsia="zh-CN"/>
        </w:rPr>
      </w:pPr>
      <w:r>
        <w:rPr>
          <w:rFonts w:hint="eastAsia" w:ascii="宋体" w:hAnsi="宋体" w:cs="Times New Roman"/>
          <w:b/>
          <w:bCs/>
          <w:sz w:val="24"/>
          <w:lang w:val="en-US" w:eastAsia="zh-CN"/>
        </w:rPr>
        <w:t>应急保障及人才储备方案</w:t>
      </w:r>
      <w:r>
        <w:rPr>
          <w:rFonts w:hint="eastAsia" w:ascii="宋体" w:hAnsi="宋体" w:cs="Times New Roman"/>
          <w:sz w:val="24"/>
          <w:lang w:val="en-US" w:eastAsia="zh-CN"/>
        </w:rPr>
        <w:t>：根据投标人针对本项目的要求提出的各种可能出现的突发状况，所指定的应急保障和人才储备方案进行评审，包括但不限于用户需求书“突发应急保障要求”相关要求；</w:t>
      </w:r>
    </w:p>
    <w:p>
      <w:pPr>
        <w:spacing w:line="520" w:lineRule="exact"/>
        <w:ind w:firstLine="482" w:firstLineChars="200"/>
        <w:rPr>
          <w:rFonts w:hint="eastAsia" w:ascii="宋体" w:hAnsi="宋体" w:cs="Times New Roman"/>
          <w:sz w:val="24"/>
          <w:lang w:val="en-US" w:eastAsia="zh-CN"/>
        </w:rPr>
      </w:pPr>
      <w:r>
        <w:rPr>
          <w:rFonts w:hint="eastAsia" w:ascii="宋体" w:hAnsi="宋体" w:cs="Times New Roman"/>
          <w:b/>
          <w:bCs/>
          <w:sz w:val="24"/>
          <w:lang w:val="en-US" w:eastAsia="zh-CN"/>
        </w:rPr>
        <w:t>平稳过渡保障方案</w:t>
      </w:r>
      <w:r>
        <w:rPr>
          <w:rFonts w:hint="eastAsia" w:ascii="宋体" w:hAnsi="宋体" w:cs="Times New Roman"/>
          <w:sz w:val="24"/>
          <w:lang w:val="en-US" w:eastAsia="zh-CN"/>
        </w:rPr>
        <w:t>：为确保本项目在交接期间运营管理有序、对用户的服务不间断，不受影响，投标人提供的平滑过渡保障方案，包括但不限于人员、业务、培训、招聘等内容，提供保障方案及承诺函；</w:t>
      </w:r>
    </w:p>
    <w:p>
      <w:pPr>
        <w:spacing w:line="520" w:lineRule="exact"/>
        <w:ind w:firstLine="482" w:firstLineChars="200"/>
        <w:rPr>
          <w:rFonts w:hint="eastAsia" w:ascii="宋体" w:hAnsi="宋体" w:cs="Times New Roman"/>
          <w:sz w:val="24"/>
          <w:lang w:val="en-US" w:eastAsia="zh-CN"/>
        </w:rPr>
      </w:pPr>
      <w:r>
        <w:rPr>
          <w:rFonts w:hint="eastAsia" w:ascii="宋体" w:hAnsi="宋体" w:cs="Times New Roman"/>
          <w:b/>
          <w:bCs/>
          <w:sz w:val="24"/>
          <w:lang w:val="en-US" w:eastAsia="zh-CN"/>
        </w:rPr>
        <w:t>报价及特色服务</w:t>
      </w:r>
      <w:r>
        <w:rPr>
          <w:rFonts w:hint="eastAsia" w:ascii="宋体" w:hAnsi="宋体" w:cs="Times New Roman"/>
          <w:sz w:val="24"/>
          <w:lang w:val="en-US" w:eastAsia="zh-CN"/>
        </w:rPr>
        <w:t>：针对本项目的服务要求，编制的报价合理性，及为采购人提供的其他特色服务方案。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cs="Times New Roman"/>
          <w:sz w:val="24"/>
          <w:lang w:val="en-US" w:eastAsia="zh-CN"/>
        </w:rPr>
      </w:pPr>
      <w:r>
        <w:rPr>
          <w:rFonts w:hint="eastAsia" w:ascii="宋体" w:hAnsi="宋体" w:cs="Times New Roman"/>
          <w:sz w:val="24"/>
          <w:lang w:val="en-US" w:eastAsia="zh-CN"/>
        </w:rPr>
        <w:t>三、项目需求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sz w:val="24"/>
          <w:lang w:val="en-US" w:eastAsia="zh-CN"/>
        </w:rPr>
      </w:pPr>
      <w:r>
        <w:rPr>
          <w:rFonts w:hint="eastAsia" w:ascii="宋体" w:hAnsi="宋体"/>
          <w:sz w:val="24"/>
          <w:lang w:val="en-US" w:eastAsia="zh-CN"/>
        </w:rPr>
        <w:t>1.总体要求（必填）</w:t>
      </w:r>
    </w:p>
    <w:p>
      <w:pPr>
        <w:spacing w:line="520" w:lineRule="exact"/>
        <w:ind w:firstLine="480" w:firstLineChars="200"/>
        <w:rPr>
          <w:rFonts w:hint="eastAsia" w:ascii="宋体" w:hAnsi="宋体" w:cs="Times New Roman"/>
          <w:sz w:val="24"/>
          <w:lang w:val="en-US" w:eastAsia="zh-CN"/>
        </w:rPr>
      </w:pPr>
      <w:bookmarkStart w:id="9" w:name="_Toc256000015"/>
      <w:r>
        <w:rPr>
          <w:rFonts w:hint="eastAsia" w:ascii="宋体" w:hAnsi="宋体" w:cs="Times New Roman"/>
          <w:sz w:val="24"/>
          <w:lang w:val="en-US" w:eastAsia="zh-CN"/>
        </w:rPr>
        <w:t>利用12366纳税服务热线向纳税人缴费人提供纳税咨询、缴费咨询、办税服务、涉税查询、投诉受理、涉税调查、税法宣传、智能标记等人工服务工作。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sz w:val="24"/>
          <w:lang w:val="en-US" w:eastAsia="zh-CN"/>
        </w:rPr>
      </w:pPr>
      <w:r>
        <w:rPr>
          <w:rFonts w:hint="eastAsia" w:ascii="宋体" w:hAnsi="宋体"/>
          <w:sz w:val="24"/>
          <w:lang w:val="en-US" w:eastAsia="zh-CN"/>
        </w:rPr>
        <w:t>2.具体要求</w:t>
      </w:r>
      <w:bookmarkEnd w:id="9"/>
      <w:r>
        <w:rPr>
          <w:rFonts w:hint="eastAsia" w:ascii="宋体" w:hAnsi="宋体"/>
          <w:sz w:val="24"/>
          <w:lang w:val="en-US" w:eastAsia="zh-CN"/>
        </w:rPr>
        <w:t>（必填）</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坐席人员按武汉市税务局12366纳税缴费服务热线及征纳互动的相关管理规定提供专业化服务，包括但不限于：</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2.1纳税咨询：解答纳税人及社会公众向12366提出的税收法律法规、征管规定、办税流程、涉税系统操作等各类税收业务咨询；</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2.2缴费咨询：教育费附加、地方教育费附加、残保金、社保等非税缴费咨询；</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2.3税费服务：为纳税人及社会公众办理税务登记、发票购领、申报纳税等涉税事项提供指导服务，为缴费人提供缴费渠道、缴费程序等指导服务；</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2.4税费查询：为纳税人缴费人及社会公众提供税收法律法规、发票信息、缴费情况等各类税费信息查询；</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2.5投诉受理：受理缴费人对欠缴社保等非税业务投诉；受理纳税人缴费人对税务机关行风、服务质量及税务人员违法违纪行为的投诉；</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2.6涉税调查：依附武汉税务12366服务平台开展意见征集等活动，通过电话抽查回访等方式了解对本级税务机关工作开展情况；</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2.7税法宣传：通过12366纳税服务平台开展税收政策宣传；</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2.8需求收集：在为纳税人缴费人提供各类服务过程中，收集纳税人缴费人需求并按规定归集、分析、传递；</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2.9完成东西湖区税务局交办的其他服务事项。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cs="Times New Roman"/>
          <w:sz w:val="24"/>
          <w:lang w:val="en-US" w:eastAsia="zh-CN"/>
        </w:rPr>
      </w:pPr>
      <w:r>
        <w:rPr>
          <w:rFonts w:hint="eastAsia" w:ascii="宋体" w:hAnsi="宋体" w:cs="Times New Roman"/>
          <w:sz w:val="24"/>
          <w:lang w:val="en-US" w:eastAsia="zh-CN"/>
        </w:rPr>
        <w:t>四、人员要求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sz w:val="24"/>
          <w:lang w:val="en-US" w:eastAsia="zh-CN"/>
        </w:rPr>
      </w:pPr>
      <w:r>
        <w:rPr>
          <w:rFonts w:hint="eastAsia" w:ascii="宋体" w:hAnsi="宋体"/>
          <w:sz w:val="24"/>
          <w:lang w:val="en-US" w:eastAsia="zh-CN"/>
        </w:rPr>
        <w:t>1.人员基本要求</w:t>
      </w:r>
    </w:p>
    <w:p>
      <w:pPr>
        <w:spacing w:line="520" w:lineRule="exact"/>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拟投入本项目人员不少于30人。其中项目负责人1人，其他人员不少于29人。</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（1）项目负责人须具备很强的业务协作能力；具有五年以上涉税话务咨询管理经验和数据分析能力，且同时具备大型呼叫中心管理经验；</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（2）现场管理人员须具备以下基本条件：</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a.具有良好品行； </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b.有五年以上同类项目管理经验和数据分析能力，熟悉呼叫中心业务工作流程； </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c具有一定的税收基本业务知识，需有会计、税务类相关证书或考试合格证明；</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d.普通话发音基本标准，语调自然，表达流畅； </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e.具有良好的税收基本业务知识及计算机知识； </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f.具有较强的服务意识和良好的管理能力、沟通能力、记忆能力、心理承受能力和学习能力；具有较强的责任心和抗压能力； </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g.身体健康，无犯罪记录；</w:t>
      </w:r>
    </w:p>
    <w:p>
      <w:pPr>
        <w:spacing w:line="520" w:lineRule="exact"/>
        <w:ind w:firstLine="480" w:firstLineChars="200"/>
        <w:rPr>
          <w:rFonts w:hint="eastAsia" w:ascii="宋体" w:hAnsi="宋体" w:cs="Times New Roman"/>
          <w:sz w:val="24"/>
          <w:lang w:val="zh-CN" w:eastAsia="zh-CN"/>
        </w:rPr>
      </w:pPr>
      <w:r>
        <w:rPr>
          <w:rFonts w:hint="eastAsia" w:ascii="宋体" w:hAnsi="宋体" w:cs="Times New Roman"/>
          <w:sz w:val="24"/>
          <w:lang w:val="en-US" w:eastAsia="zh-CN"/>
        </w:rPr>
        <w:t>h.未</w:t>
      </w:r>
      <w:r>
        <w:rPr>
          <w:rFonts w:hint="eastAsia" w:ascii="宋体" w:hAnsi="宋体" w:cs="Times New Roman"/>
          <w:sz w:val="24"/>
          <w:lang w:val="zh-CN" w:eastAsia="zh-CN"/>
        </w:rPr>
        <w:t>出现下列情形之一的：在虚开增值税专用发票、骗取出口退税、骗取税费优惠等案件中内外勾结、以税谋私的；经公安机关认定具有醉驾、赌博等违法行为的；经商办企业、在企业兼职（任职）领取报酬的；违反保密纪律、非法获取保密信息、泄露工作秘密、不如实或不及时提供个人信息，情节严重的；存在与不良中介勾兑勾连行为</w:t>
      </w:r>
      <w:r>
        <w:rPr>
          <w:rFonts w:hint="eastAsia" w:ascii="宋体" w:hAnsi="宋体" w:cs="Times New Roman"/>
          <w:sz w:val="24"/>
          <w:lang w:val="en-US" w:eastAsia="zh-CN"/>
        </w:rPr>
        <w:t>的；</w:t>
      </w:r>
      <w:r>
        <w:rPr>
          <w:rFonts w:hint="eastAsia" w:ascii="宋体" w:hAnsi="宋体" w:cs="Times New Roman"/>
          <w:sz w:val="24"/>
          <w:lang w:val="zh-CN" w:eastAsia="zh-CN"/>
        </w:rPr>
        <w:t>其他严重违规违纪违法行为或损害税务部门形象的。</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（3）坐席人员须具备以下基本条件：</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a.具有良好的税收基本业务知识；</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b.普通话发音基本标准，语调自然，表达流畅； </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c.具备较强的服务意识和良好的语言表达能力、沟通能力、学习能力和心理承受能力； </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d.能熟练运用电脑办公软件及汉字录入速度不低于60字/分钟； </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e.身体健康，无犯罪记录；</w:t>
      </w:r>
    </w:p>
    <w:p>
      <w:pPr>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f.未</w:t>
      </w:r>
      <w:r>
        <w:rPr>
          <w:rFonts w:hint="eastAsia" w:ascii="宋体" w:hAnsi="宋体" w:cs="Times New Roman"/>
          <w:sz w:val="24"/>
          <w:lang w:val="zh-CN" w:eastAsia="zh-CN"/>
        </w:rPr>
        <w:t>出现下列情形之一的：在虚开增值税专用发票、骗取出口退税、骗取税费优惠等案件中内外勾结、以税谋私的；经公安机关认定具有醉驾、赌博等违法行为的；经商办企业、在企业兼职（任职）领取报酬的；违反保密纪律、非法获取保密信息、泄露工作秘密、不如实或不及时提供个人信息，情节严重的；存在与不良中介勾兑勾连行为</w:t>
      </w:r>
      <w:r>
        <w:rPr>
          <w:rFonts w:hint="eastAsia" w:ascii="宋体" w:hAnsi="宋体" w:cs="Times New Roman"/>
          <w:sz w:val="24"/>
          <w:lang w:val="en-US" w:eastAsia="zh-CN"/>
        </w:rPr>
        <w:t>的；</w:t>
      </w:r>
      <w:r>
        <w:rPr>
          <w:rFonts w:hint="eastAsia" w:ascii="宋体" w:hAnsi="宋体" w:cs="Times New Roman"/>
          <w:sz w:val="24"/>
          <w:lang w:val="zh-CN" w:eastAsia="zh-CN"/>
        </w:rPr>
        <w:t>其他严重违规违纪违法行为或损害税务部门形象的。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sz w:val="24"/>
          <w:lang w:val="en-US" w:eastAsia="zh-CN"/>
        </w:rPr>
      </w:pPr>
      <w:r>
        <w:rPr>
          <w:rFonts w:hint="eastAsia" w:ascii="宋体" w:hAnsi="宋体"/>
          <w:sz w:val="24"/>
          <w:lang w:val="en-US" w:eastAsia="zh-CN"/>
        </w:rPr>
        <w:t>2.坐席人员准备及培训要求</w:t>
      </w:r>
    </w:p>
    <w:p>
      <w:pPr>
        <w:spacing w:line="520" w:lineRule="exact"/>
        <w:ind w:firstLine="480" w:firstLineChars="200"/>
        <w:rPr>
          <w:rFonts w:hint="eastAsia" w:ascii="宋体" w:hAnsi="宋体"/>
          <w:sz w:val="24"/>
        </w:rPr>
      </w:pPr>
      <w:r>
        <w:rPr>
          <w:rFonts w:hint="eastAsia" w:ascii="宋体" w:hAnsi="宋体"/>
          <w:sz w:val="24"/>
        </w:rPr>
        <w:t>（1）工作人员准备。中标人于采购合同签订后7日内完成工作人员的准备工作。</w:t>
      </w:r>
    </w:p>
    <w:p>
      <w:pPr>
        <w:spacing w:line="520" w:lineRule="exact"/>
        <w:ind w:firstLine="480" w:firstLineChars="200"/>
        <w:rPr>
          <w:rFonts w:hint="eastAsia" w:ascii="宋体" w:hAnsi="宋体"/>
          <w:sz w:val="24"/>
        </w:rPr>
      </w:pPr>
      <w:r>
        <w:rPr>
          <w:rFonts w:hint="eastAsia" w:ascii="宋体" w:hAnsi="宋体"/>
          <w:sz w:val="24"/>
        </w:rPr>
        <w:t>（2）岗前培训。对工作人员的岗前培训应在合同签订后7日内由中标人完成。培训完毕后，经国家税务总局武汉市东西湖区税务局测试考核符合要求后方能提供坐席服务。</w:t>
      </w:r>
    </w:p>
    <w:p>
      <w:pPr>
        <w:spacing w:line="520" w:lineRule="exact"/>
        <w:ind w:firstLine="480" w:firstLineChars="200"/>
        <w:rPr>
          <w:rFonts w:hint="eastAsia" w:ascii="宋体" w:hAnsi="宋体"/>
          <w:sz w:val="24"/>
        </w:rPr>
      </w:pPr>
      <w:r>
        <w:rPr>
          <w:rFonts w:hint="eastAsia" w:ascii="宋体" w:hAnsi="宋体"/>
          <w:sz w:val="24"/>
        </w:rPr>
        <w:t>（3）在职培训。中标人应建立完善的日常培训体系，每月不少于4次的专业知识培训，为更好地留住并培养高素质人才，需依据坐席人员的在职时间及能力发展分阶段分层级进行培养和能力强化。</w:t>
      </w:r>
    </w:p>
    <w:p>
      <w:pPr>
        <w:spacing w:line="520" w:lineRule="exact"/>
        <w:ind w:firstLine="480" w:firstLineChars="200"/>
        <w:rPr>
          <w:rFonts w:hint="eastAsia" w:ascii="宋体" w:hAnsi="宋体"/>
          <w:sz w:val="24"/>
        </w:rPr>
      </w:pPr>
      <w:r>
        <w:rPr>
          <w:rFonts w:hint="eastAsia" w:ascii="宋体" w:hAnsi="宋体"/>
          <w:sz w:val="24"/>
        </w:rPr>
        <w:t>（4）培训效果验收。采购人对中标人的培训效果进行验收，对不合格人员，采购人可要求中标人替换人员。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sz w:val="24"/>
          <w:lang w:val="en-US" w:eastAsia="zh-CN"/>
        </w:rPr>
      </w:pPr>
      <w:r>
        <w:rPr>
          <w:rFonts w:hint="eastAsia" w:ascii="宋体" w:hAnsi="宋体"/>
          <w:sz w:val="24"/>
          <w:lang w:val="en-US" w:eastAsia="zh-CN"/>
        </w:rPr>
        <w:t>3.人员业务衔接保障要求</w:t>
      </w:r>
    </w:p>
    <w:p>
      <w:pPr>
        <w:spacing w:line="520" w:lineRule="exact"/>
        <w:ind w:firstLine="480" w:firstLineChars="200"/>
        <w:rPr>
          <w:rFonts w:hint="eastAsia" w:ascii="宋体" w:hAnsi="宋体"/>
          <w:sz w:val="24"/>
        </w:rPr>
      </w:pPr>
      <w:r>
        <w:rPr>
          <w:rFonts w:hint="eastAsia" w:ascii="宋体" w:hAnsi="宋体"/>
          <w:sz w:val="24"/>
        </w:rPr>
        <w:t>（1）本项目对坐席人员的业务能力和技巧要求较高，为确保本项目在交接期间运营管理有序，咨询服务不断档，要求过渡期间的人员需具备快速响应的能力。中标人签订合同后7天内提供不少于日均话务量80%，具备一年以及上业务服务经验（包括纳税费咨询、缴费咨询、税费服务、税费查询、投诉受理、涉税调查、税法宣传、需求收集等），可直接上岗提供咨询服务的坐席人员。</w:t>
      </w:r>
    </w:p>
    <w:p>
      <w:pPr>
        <w:spacing w:line="520" w:lineRule="exact"/>
        <w:ind w:firstLine="480" w:firstLineChars="200"/>
        <w:rPr>
          <w:rFonts w:hint="eastAsia" w:ascii="宋体" w:hAnsi="宋体"/>
          <w:sz w:val="24"/>
        </w:rPr>
      </w:pPr>
      <w:r>
        <w:rPr>
          <w:rFonts w:hint="eastAsia" w:ascii="宋体" w:hAnsi="宋体"/>
          <w:sz w:val="24"/>
        </w:rPr>
        <w:t>（2）★东西湖区税务局12366热线现有坐席人员已具备业务能力，中标人在同等条件下，应优先录用愿意留任的坐席人员。（提供承诺函）</w:t>
      </w:r>
    </w:p>
    <w:p>
      <w:pPr>
        <w:spacing w:line="520" w:lineRule="exact"/>
        <w:ind w:firstLine="480" w:firstLineChars="200"/>
        <w:rPr>
          <w:rFonts w:hint="eastAsia" w:ascii="宋体" w:hAnsi="宋体"/>
          <w:sz w:val="24"/>
        </w:rPr>
      </w:pPr>
      <w:r>
        <w:rPr>
          <w:rFonts w:hint="eastAsia" w:ascii="宋体" w:hAnsi="宋体"/>
          <w:sz w:val="24"/>
        </w:rPr>
        <w:t>（3）投标人应制定人才储备计划，根据当前在线坐席人数的5%储备后补人员，建立人才储备库，制定储备人员培训制度及规范。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cs="Times New Roman"/>
          <w:sz w:val="24"/>
          <w:lang w:val="en-US" w:eastAsia="zh-CN"/>
        </w:rPr>
      </w:pPr>
      <w:r>
        <w:rPr>
          <w:rFonts w:hint="eastAsia" w:ascii="宋体" w:hAnsi="宋体" w:cs="Times New Roman"/>
          <w:sz w:val="24"/>
          <w:lang w:val="en-US" w:eastAsia="zh-CN"/>
        </w:rPr>
        <w:t>五、管理实施要求</w:t>
      </w:r>
    </w:p>
    <w:p>
      <w:pPr>
        <w:spacing w:line="520" w:lineRule="exact"/>
        <w:ind w:firstLine="480" w:firstLineChars="200"/>
        <w:rPr>
          <w:rFonts w:hint="eastAsia" w:ascii="宋体" w:hAnsi="宋体"/>
          <w:sz w:val="24"/>
        </w:rPr>
      </w:pPr>
      <w:r>
        <w:rPr>
          <w:rFonts w:hint="eastAsia" w:ascii="宋体" w:hAnsi="宋体"/>
          <w:sz w:val="24"/>
        </w:rPr>
        <w:t>采购人按月度对中标人进行考核，考核标准参照《12366服务质量运行标准和考评标准》，保证服务项目整体服务水平持续稳定、提高项目服务质量。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sz w:val="24"/>
        </w:rPr>
      </w:pPr>
      <w:r>
        <w:rPr>
          <w:rFonts w:hint="eastAsia" w:ascii="宋体" w:hAnsi="宋体"/>
          <w:sz w:val="24"/>
          <w:lang w:val="en-US" w:eastAsia="zh-CN"/>
        </w:rPr>
        <w:t>1.</w:t>
      </w:r>
      <w:r>
        <w:rPr>
          <w:rFonts w:hint="eastAsia" w:ascii="宋体" w:hAnsi="宋体"/>
          <w:sz w:val="24"/>
        </w:rPr>
        <w:t>考核内容：</w:t>
      </w:r>
    </w:p>
    <w:p>
      <w:pPr>
        <w:spacing w:line="520" w:lineRule="exact"/>
        <w:ind w:firstLine="480" w:firstLineChars="200"/>
        <w:rPr>
          <w:rFonts w:hint="eastAsia" w:ascii="宋体" w:hAnsi="宋体"/>
          <w:sz w:val="24"/>
        </w:rPr>
      </w:pPr>
      <w:r>
        <w:rPr>
          <w:rFonts w:hint="eastAsia" w:ascii="宋体" w:hAnsi="宋体"/>
          <w:sz w:val="24"/>
          <w:lang w:val="en-US" w:eastAsia="zh-CN"/>
        </w:rPr>
        <w:t>1.1</w:t>
      </w:r>
      <w:r>
        <w:rPr>
          <w:rFonts w:hint="eastAsia" w:ascii="宋体" w:hAnsi="宋体"/>
          <w:sz w:val="24"/>
        </w:rPr>
        <w:t>是否按照约定的条款提供了相关服务内容；</w:t>
      </w:r>
    </w:p>
    <w:p>
      <w:pPr>
        <w:spacing w:line="520" w:lineRule="exact"/>
        <w:ind w:firstLine="480" w:firstLineChars="200"/>
        <w:rPr>
          <w:rFonts w:hint="eastAsia" w:ascii="宋体" w:hAnsi="宋体"/>
          <w:sz w:val="24"/>
        </w:rPr>
      </w:pPr>
      <w:r>
        <w:rPr>
          <w:rFonts w:hint="eastAsia" w:ascii="宋体" w:hAnsi="宋体"/>
          <w:sz w:val="24"/>
          <w:lang w:val="en-US" w:eastAsia="zh-CN"/>
        </w:rPr>
        <w:t>1.2</w:t>
      </w:r>
      <w:r>
        <w:rPr>
          <w:rFonts w:hint="eastAsia" w:ascii="宋体" w:hAnsi="宋体"/>
          <w:sz w:val="24"/>
        </w:rPr>
        <w:t>是否按采购人要求执行项目运营管理机制，保证咨询服务水平稳步提高。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sz w:val="24"/>
          <w:lang w:val="en-US" w:eastAsia="zh-CN"/>
        </w:rPr>
      </w:pPr>
      <w:r>
        <w:rPr>
          <w:rFonts w:hint="eastAsia" w:ascii="宋体" w:hAnsi="宋体"/>
          <w:sz w:val="24"/>
          <w:lang w:val="en-US" w:eastAsia="zh-CN"/>
        </w:rPr>
        <w:t>2.考核应达到的指标：</w:t>
      </w:r>
    </w:p>
    <w:p>
      <w:pPr>
        <w:spacing w:line="520" w:lineRule="exact"/>
        <w:ind w:firstLine="480" w:firstLineChars="200"/>
        <w:rPr>
          <w:rFonts w:hint="eastAsia" w:ascii="宋体" w:hAnsi="宋体"/>
          <w:sz w:val="24"/>
        </w:rPr>
      </w:pPr>
      <w:r>
        <w:rPr>
          <w:rFonts w:hint="eastAsia" w:ascii="宋体" w:hAnsi="宋体"/>
          <w:sz w:val="24"/>
          <w:lang w:val="en-US" w:eastAsia="zh-CN"/>
        </w:rPr>
        <w:t>2.1</w:t>
      </w:r>
      <w:r>
        <w:rPr>
          <w:rFonts w:hint="eastAsia" w:ascii="宋体" w:hAnsi="宋体"/>
          <w:sz w:val="24"/>
        </w:rPr>
        <w:t>纳税人满意度调查：根据IVR满意度调查值班确定；</w:t>
      </w:r>
    </w:p>
    <w:p>
      <w:pPr>
        <w:spacing w:line="520" w:lineRule="exact"/>
        <w:ind w:firstLine="480" w:firstLineChars="200"/>
        <w:rPr>
          <w:rFonts w:hint="eastAsia" w:ascii="宋体" w:hAnsi="宋体"/>
          <w:sz w:val="24"/>
        </w:rPr>
      </w:pPr>
      <w:r>
        <w:rPr>
          <w:rFonts w:hint="eastAsia" w:ascii="宋体" w:hAnsi="宋体"/>
          <w:sz w:val="24"/>
          <w:lang w:val="en-US" w:eastAsia="zh-CN"/>
        </w:rPr>
        <w:t>2.2</w:t>
      </w:r>
      <w:r>
        <w:rPr>
          <w:rFonts w:hint="eastAsia" w:ascii="宋体" w:hAnsi="宋体"/>
          <w:sz w:val="24"/>
        </w:rPr>
        <w:t>效率指标：按照市局12366热线考核要求，实时人工接通率不低于95%，综合人工接通率不低于98%；平均等待时长，纳税人选择转人工后至自动语音播报坐席工号前的时长不超过30秒；未接听话务量，人为因素导致久不应答，每季度久不应答次数不超过10次/人；小结整理时长，通话挂断后到小结记录完成的总时长/总话务量，不超过180秒；</w:t>
      </w:r>
    </w:p>
    <w:p>
      <w:pPr>
        <w:spacing w:line="520" w:lineRule="exact"/>
        <w:ind w:firstLine="480" w:firstLineChars="200"/>
        <w:rPr>
          <w:rFonts w:hint="eastAsia" w:ascii="宋体" w:hAnsi="宋体"/>
          <w:sz w:val="24"/>
        </w:rPr>
      </w:pPr>
      <w:r>
        <w:rPr>
          <w:rFonts w:hint="eastAsia" w:ascii="宋体" w:hAnsi="宋体"/>
          <w:sz w:val="24"/>
          <w:lang w:val="en-US" w:eastAsia="zh-CN"/>
        </w:rPr>
        <w:t>2.3</w:t>
      </w:r>
      <w:r>
        <w:rPr>
          <w:rFonts w:hint="eastAsia" w:ascii="宋体" w:hAnsi="宋体"/>
          <w:sz w:val="24"/>
        </w:rPr>
        <w:t>质量指标：来电即时答复率，不存在未按要求上报的暂存；语音质量测评，按照总局和省局语音质检评分标准，单人单次质检得分不低于95分；工单转办时效，咨询、投诉工单要素齐全、分类准确，转办和回复及时；</w:t>
      </w:r>
    </w:p>
    <w:p>
      <w:pPr>
        <w:spacing w:line="520" w:lineRule="exact"/>
        <w:ind w:firstLine="480" w:firstLineChars="200"/>
        <w:rPr>
          <w:rFonts w:hint="eastAsia" w:ascii="宋体" w:hAnsi="宋体"/>
          <w:sz w:val="24"/>
        </w:rPr>
      </w:pPr>
      <w:r>
        <w:rPr>
          <w:rFonts w:hint="eastAsia" w:ascii="宋体" w:hAnsi="宋体"/>
          <w:sz w:val="24"/>
          <w:lang w:val="en-US" w:eastAsia="zh-CN"/>
        </w:rPr>
        <w:t>2.4</w:t>
      </w:r>
      <w:r>
        <w:rPr>
          <w:rFonts w:hint="eastAsia" w:ascii="宋体" w:hAnsi="宋体"/>
          <w:sz w:val="24"/>
        </w:rPr>
        <w:t>考勤指标：坐席平均出勤率超过（或等于）96%；</w:t>
      </w:r>
    </w:p>
    <w:p>
      <w:pPr>
        <w:spacing w:line="520" w:lineRule="exact"/>
        <w:ind w:firstLine="480" w:firstLineChars="200"/>
        <w:rPr>
          <w:rFonts w:hint="eastAsia" w:ascii="宋体" w:hAnsi="宋体"/>
          <w:sz w:val="24"/>
        </w:rPr>
      </w:pPr>
      <w:r>
        <w:rPr>
          <w:rFonts w:hint="eastAsia" w:ascii="宋体" w:hAnsi="宋体"/>
          <w:sz w:val="24"/>
          <w:lang w:val="en-US" w:eastAsia="zh-CN"/>
        </w:rPr>
        <w:t>2.5</w:t>
      </w:r>
      <w:r>
        <w:rPr>
          <w:rFonts w:hint="eastAsia" w:ascii="宋体" w:hAnsi="宋体"/>
          <w:sz w:val="24"/>
        </w:rPr>
        <w:t>总局拨测情况：人工拨测接通率等于100%；解答准确率，答复准确性、小结规范性、服务规范性均无误；</w:t>
      </w:r>
    </w:p>
    <w:p>
      <w:pPr>
        <w:spacing w:line="520" w:lineRule="exact"/>
        <w:ind w:firstLine="480" w:firstLineChars="200"/>
        <w:rPr>
          <w:rFonts w:hint="eastAsia" w:ascii="宋体" w:hAnsi="宋体"/>
          <w:sz w:val="24"/>
        </w:rPr>
      </w:pPr>
      <w:r>
        <w:rPr>
          <w:rFonts w:hint="eastAsia" w:ascii="宋体" w:hAnsi="宋体"/>
          <w:sz w:val="24"/>
          <w:lang w:val="en-US" w:eastAsia="zh-CN"/>
        </w:rPr>
        <w:t>2.6</w:t>
      </w:r>
      <w:r>
        <w:rPr>
          <w:rFonts w:hint="eastAsia" w:ascii="宋体" w:hAnsi="宋体"/>
          <w:sz w:val="24"/>
        </w:rPr>
        <w:t>服务投诉量：根据调查确认属实的有理由投诉确定。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sz w:val="24"/>
          <w:lang w:val="en-US" w:eastAsia="zh-CN"/>
        </w:rPr>
      </w:pPr>
      <w:r>
        <w:rPr>
          <w:rFonts w:hint="eastAsia" w:ascii="宋体" w:hAnsi="宋体"/>
          <w:sz w:val="24"/>
          <w:lang w:val="en-US" w:eastAsia="zh-CN"/>
        </w:rPr>
        <w:t>3.考核标准：</w:t>
      </w:r>
    </w:p>
    <w:tbl>
      <w:tblPr>
        <w:tblStyle w:val="8"/>
        <w:tblW w:w="9704" w:type="dxa"/>
        <w:jc w:val="center"/>
        <w:tblLayout w:type="fixed"/>
        <w:tblCellMar>
          <w:top w:w="0" w:type="dxa"/>
          <w:left w:w="108" w:type="dxa"/>
          <w:bottom w:w="0" w:type="dxa"/>
          <w:right w:w="108" w:type="dxa"/>
        </w:tblCellMar>
      </w:tblPr>
      <w:tblGrid>
        <w:gridCol w:w="450"/>
        <w:gridCol w:w="693"/>
        <w:gridCol w:w="3592"/>
        <w:gridCol w:w="3934"/>
        <w:gridCol w:w="658"/>
        <w:gridCol w:w="377"/>
      </w:tblGrid>
      <w:tr>
        <w:tblPrEx>
          <w:tblCellMar>
            <w:top w:w="0" w:type="dxa"/>
            <w:left w:w="108" w:type="dxa"/>
            <w:bottom w:w="0" w:type="dxa"/>
            <w:right w:w="108" w:type="dxa"/>
          </w:tblCellMar>
        </w:tblPrEx>
        <w:trPr>
          <w:trHeight w:val="500" w:hRule="atLeast"/>
          <w:jc w:val="center"/>
        </w:trPr>
        <w:tc>
          <w:tcPr>
            <w:tcW w:w="4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指标维度</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具体要求</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赋分标准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权重</w:t>
            </w:r>
          </w:p>
        </w:tc>
        <w:tc>
          <w:tcPr>
            <w:tcW w:w="3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得分</w:t>
            </w:r>
          </w:p>
        </w:tc>
      </w:tr>
      <w:tr>
        <w:tblPrEx>
          <w:tblCellMar>
            <w:top w:w="0" w:type="dxa"/>
            <w:left w:w="108" w:type="dxa"/>
            <w:bottom w:w="0" w:type="dxa"/>
            <w:right w:w="108" w:type="dxa"/>
          </w:tblCellMar>
        </w:tblPrEx>
        <w:trPr>
          <w:trHeight w:val="0" w:hRule="atLeast"/>
          <w:jc w:val="center"/>
        </w:trPr>
        <w:tc>
          <w:tcPr>
            <w:tcW w:w="4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准确完整</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1.准确完整、语言精炼地解答纳税人提出的问题，引用文件依据、办税指南、智能知识库知识点、宣传产品准确无误；</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2.对于纳税人能够自主办理的税费事项，正确引导纳税人通过合适的办税渠道办理，并推送相应的操作指引；</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3.严格落实首问责任制及一次性告知制度，合理应对纳税人的提问，积极引导纳税人表述咨询需求，主动提醒注意事项；</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4.对受理范围外的咨询事项告知不予受理的理由，并尽量提供引导，不作超出范围的承诺；</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5.对应发起远程协助、音视频互动、电话互动、预约互动的申请及应生成工单、业务确认单的情形，需主动提供引导，不得无故拒绝纳税人需求。</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此单项分值范围设为0-100分，即满分100分，不符合要求的按照赋分标准扣完为止。综合权重后的实际得分值=单项得分×40%。</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1.答复准确完整且符合以上所有要求，得满分；</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2.答复准确但不够完整，视缺失度扣10-25分；</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3.答复部分错误，视错误程度扣25-50分；</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4.答复完全错误或者答非所问扣100分；</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5.应发起远程协助、音视频互动、电话互动、预约互动、生成工单、业务确认单而未发起的，扣100分；</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6.不履行首问责任制度和一次性告知制度，扣30-50分；</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7.回避、敷衍、推诿纳税人的，视情节轻重扣30-50分。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3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2565" w:hRule="atLeast"/>
          <w:jc w:val="center"/>
        </w:trPr>
        <w:tc>
          <w:tcPr>
            <w:tcW w:w="4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沟通理解</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坐席人员通过充分的沟通交流，从纳税人发起的会话中，快速抓取关键信息，确定纳税人主要诉求，及时提供与纳税人诉求相适配的税收政策、操作方法、办理渠道等应对措施。</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此单项分值范围设为0-100分，即满分100分，不符合要求的按照赋分标准扣完为止。综合权重后的实际得分值=单项得分×10%。</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1.准确理解纳税人诉求，并有效引导纳税人确认问题得满分；</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2.准确理解纳税人诉求，但出现未有效引导纳税人，对话无法继续进行的情况，视引导程度扣50-100分；</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3.出现反复确认同一个信息点，误解或者不能理解纳税人需求的情况，视理解程度扣50-100分。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37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0" w:hRule="atLeast"/>
          <w:jc w:val="center"/>
        </w:trPr>
        <w:tc>
          <w:tcPr>
            <w:tcW w:w="4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服务态度</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1.服务过程中，应以“相互尊重、文明有礼、积极响应、真诚服务”为原则，严格遵守服务规范要求，体现服务态度的专业性；</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2.服务过程中应有问有答，不得出现纳税人询问而未回复的情况；</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3.严禁与纳税人产生争执；</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4.严禁在解答时用反诘方式与纳税人沟通。</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此单项分值范围设为0-100分，即满分100分，不符合要求的按照赋分标准扣完为止。综合权重后的实际得分值=单项得分×20%。</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1.严格遵守服务规范要求，为纳税人提供优质服务得满分；</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2.出现态度冷漠、语气强硬、明显不耐烦的情况，视严重程度扣25-50分；</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3.出现以反诘方式与纳税人沟通的情况，单次扣20分；</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4.出现未回复提问的情况，视严重程度扣25-50分；</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5.出现责问、训斥、谩骂纳税人，与纳税人发生争吵的情况，单次扣100分。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37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3014" w:hRule="atLeast"/>
          <w:jc w:val="center"/>
        </w:trPr>
        <w:tc>
          <w:tcPr>
            <w:tcW w:w="4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语言规范</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1.坐席需与纳税人进行礼貌沟通，答复过程中使用规范文明用语；</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2.杜绝语音、文本服务纳税人时出现服务忌语；</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3.坐席需在沟通或录入文字材料过程中，使用规范表述，避免出现口语化表述与非专业性的词汇。</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此单项分值范围设为0-100分，即满分100分，不符合要求的按照赋分标准扣完为止。综合权重后的实际得分值=单项得分×20%。</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1.坐席与纳税人沟通时严格遵守语音、文字服务规范，可得满分；</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2.坐席与纳税人沟通时，若出现语音或文字的服务忌语，视严重程度扣25-50分；</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3.生成工单，回复业务确认单办理结果时，语言表述应规范明了，体现专业性，不符合要求的视严重程度扣25-50分。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37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0" w:hRule="atLeast"/>
          <w:jc w:val="center"/>
        </w:trPr>
        <w:tc>
          <w:tcPr>
            <w:tcW w:w="4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其他情况</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1.非即时回复的问题，应于约定时间内予以回复；</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2.坐席生成业务确认单之后，确保所有确认单当日办结。</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3.生成工单时应按照模板要求录入所有信息，语言规范，简洁明了，不得出现错别字、缺项的情况，不得出现上传纳税人附件资料漏项的情况。</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4.使用业务确认单时应根据纳税人诉求，准确判断业务分类，引导纳税人上传资料至对应栏目，如纳税人表示无法上传资料或操作困难，坐席人员应积极协助。</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此单项分值范围设为0-100分，即满分100分，不符合要求的按照赋分标准扣完为止。综合权重后的实际得分值=单项得分×20%。</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1.非即时回复的问题，超期回复或不回复，单次扣50-100分；</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2.坐席未当日办结业务确认单，单次扣100分；</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3.坐席录入工单，回复业务确认单办理结果时出现错别字、缺项的情况，视严重程度扣20-50分；</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4.录入工单时出现上传纳税人附件资料漏项的情况，单次扣60分。</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5.创建业务确认单时业务类别选择有误，单次扣20分；</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6.受理业务确认单前没有引导纳税人上传资料至对应栏目或资料不齐全，视严重程度扣20-50分。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37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285" w:hRule="atLeast"/>
          <w:jc w:val="center"/>
        </w:trPr>
        <w:tc>
          <w:tcPr>
            <w:tcW w:w="4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821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合计</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37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Cs w:val="21"/>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sz w:val="24"/>
          <w:lang w:val="en-US" w:eastAsia="zh-CN"/>
        </w:rPr>
      </w:pPr>
      <w:r>
        <w:rPr>
          <w:rFonts w:hint="eastAsia" w:ascii="宋体" w:hAnsi="宋体"/>
          <w:sz w:val="24"/>
          <w:lang w:val="en-US" w:eastAsia="zh-CN"/>
        </w:rPr>
        <w:t>4.其他考核要求</w:t>
      </w:r>
    </w:p>
    <w:p>
      <w:pPr>
        <w:spacing w:line="520" w:lineRule="exact"/>
        <w:ind w:firstLine="480" w:firstLineChars="200"/>
        <w:rPr>
          <w:rFonts w:hint="eastAsia" w:ascii="宋体" w:hAnsi="宋体"/>
          <w:sz w:val="24"/>
        </w:rPr>
      </w:pPr>
      <w:r>
        <w:rPr>
          <w:rFonts w:hint="eastAsia" w:ascii="宋体" w:hAnsi="宋体"/>
          <w:sz w:val="24"/>
          <w:lang w:val="en-US" w:eastAsia="zh-CN"/>
        </w:rPr>
        <w:t>4.1</w:t>
      </w:r>
      <w:r>
        <w:rPr>
          <w:rFonts w:hint="eastAsia" w:ascii="宋体" w:hAnsi="宋体"/>
          <w:sz w:val="24"/>
        </w:rPr>
        <w:t>中标人对考核结果如有异议，可提供佐证材料，经双方协商一致后对考核结果进行校正并应用。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cs="Times New Roman"/>
          <w:sz w:val="24"/>
          <w:lang w:val="en-US" w:eastAsia="zh-CN"/>
        </w:rPr>
      </w:pPr>
      <w:r>
        <w:rPr>
          <w:rFonts w:hint="eastAsia" w:ascii="宋体" w:hAnsi="宋体" w:cs="Times New Roman"/>
          <w:sz w:val="24"/>
          <w:lang w:val="en-US" w:eastAsia="zh-CN"/>
        </w:rPr>
        <w:t>六、保密要求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sz w:val="24"/>
          <w:lang w:val="en-US" w:eastAsia="zh-CN"/>
        </w:rPr>
      </w:pPr>
      <w:r>
        <w:rPr>
          <w:rFonts w:hint="eastAsia" w:ascii="宋体" w:hAnsi="宋体"/>
          <w:sz w:val="24"/>
          <w:lang w:val="en-US" w:eastAsia="zh-CN"/>
        </w:rPr>
        <w:t>1.数据信息安全保障要求</w:t>
      </w:r>
    </w:p>
    <w:p>
      <w:pPr>
        <w:spacing w:line="520" w:lineRule="exact"/>
        <w:ind w:firstLine="480" w:firstLineChars="200"/>
        <w:rPr>
          <w:rFonts w:hint="eastAsia" w:ascii="宋体" w:hAnsi="宋体"/>
          <w:sz w:val="24"/>
        </w:rPr>
      </w:pPr>
      <w:r>
        <w:rPr>
          <w:rFonts w:hint="eastAsia" w:ascii="宋体" w:hAnsi="宋体"/>
          <w:sz w:val="24"/>
        </w:rPr>
        <w:t>从信息防丢失（灾备）、防入侵、防泄漏、防篡改等方面，建立信息安全保障方案，确保数据信息安全、完整，不外泄。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sz w:val="24"/>
          <w:lang w:val="en-US" w:eastAsia="zh-CN"/>
        </w:rPr>
      </w:pPr>
      <w:r>
        <w:rPr>
          <w:rFonts w:hint="eastAsia" w:ascii="宋体" w:hAnsi="宋体"/>
          <w:sz w:val="24"/>
          <w:lang w:val="en-US" w:eastAsia="zh-CN"/>
        </w:rPr>
        <w:t>2.人员保密要求</w:t>
      </w:r>
    </w:p>
    <w:p>
      <w:pPr>
        <w:spacing w:line="520" w:lineRule="exact"/>
        <w:ind w:firstLine="480" w:firstLineChars="200"/>
        <w:rPr>
          <w:rFonts w:hint="eastAsia" w:ascii="宋体" w:hAnsi="宋体"/>
          <w:sz w:val="24"/>
        </w:rPr>
      </w:pPr>
      <w:r>
        <w:rPr>
          <w:rFonts w:hint="eastAsia" w:ascii="宋体" w:hAnsi="宋体"/>
          <w:sz w:val="24"/>
        </w:rPr>
        <w:t>中标人应严格遵循采购人各项信息安全及信息保密规定。包括但不仅限于以下内容：</w:t>
      </w:r>
    </w:p>
    <w:p>
      <w:pPr>
        <w:spacing w:line="520" w:lineRule="exact"/>
        <w:ind w:firstLine="480" w:firstLineChars="200"/>
        <w:rPr>
          <w:rFonts w:hint="eastAsia" w:ascii="宋体" w:hAnsi="宋体"/>
          <w:sz w:val="24"/>
        </w:rPr>
      </w:pPr>
      <w:r>
        <w:rPr>
          <w:rFonts w:hint="eastAsia" w:ascii="宋体" w:hAnsi="宋体"/>
          <w:sz w:val="24"/>
          <w:lang w:val="en-US" w:eastAsia="zh-CN"/>
        </w:rPr>
        <w:t>2.1</w:t>
      </w:r>
      <w:r>
        <w:rPr>
          <w:rFonts w:hint="eastAsia" w:ascii="宋体" w:hAnsi="宋体"/>
          <w:sz w:val="24"/>
        </w:rPr>
        <w:t>中标人须与其坐席人员签订保密协议，本项目有关人员须遵循采购人的各项规章制度。所接触的湖北税务12366（武汉中心）专有信息仅限于本人在本项目中使用。</w:t>
      </w:r>
    </w:p>
    <w:p>
      <w:pPr>
        <w:spacing w:line="520" w:lineRule="exact"/>
        <w:ind w:firstLine="480" w:firstLineChars="200"/>
        <w:rPr>
          <w:rFonts w:hint="eastAsia" w:ascii="宋体" w:hAnsi="宋体"/>
          <w:sz w:val="24"/>
        </w:rPr>
      </w:pPr>
      <w:r>
        <w:rPr>
          <w:rFonts w:hint="eastAsia" w:ascii="宋体" w:hAnsi="宋体"/>
          <w:sz w:val="24"/>
          <w:lang w:val="en-US" w:eastAsia="zh-CN"/>
        </w:rPr>
        <w:t>2.2</w:t>
      </w:r>
      <w:r>
        <w:rPr>
          <w:rFonts w:hint="eastAsia" w:ascii="宋体" w:hAnsi="宋体"/>
          <w:sz w:val="24"/>
        </w:rPr>
        <w:t>中标人需对纳税人缴费人资料采取严格的保密措施，不得将纳税人缴费人资料泄露给任何第三人，更不得用于演示或宣传。</w:t>
      </w:r>
    </w:p>
    <w:p>
      <w:pPr>
        <w:spacing w:line="520" w:lineRule="exact"/>
        <w:ind w:firstLine="480" w:firstLineChars="200"/>
        <w:rPr>
          <w:rFonts w:hint="eastAsia" w:ascii="宋体" w:hAnsi="宋体"/>
          <w:sz w:val="24"/>
          <w:lang w:eastAsia="zh-CN"/>
        </w:rPr>
      </w:pPr>
      <w:r>
        <w:rPr>
          <w:rFonts w:hint="eastAsia" w:ascii="宋体" w:hAnsi="宋体"/>
          <w:sz w:val="24"/>
          <w:lang w:val="en-US" w:eastAsia="zh-CN"/>
        </w:rPr>
        <w:t>2.3</w:t>
      </w:r>
      <w:r>
        <w:rPr>
          <w:rFonts w:hint="eastAsia" w:ascii="宋体" w:hAnsi="宋体"/>
          <w:sz w:val="24"/>
        </w:rPr>
        <w:t>人员安全管理按照采购人网络安全管理有关规定执行。人员签订安全保密协议，提高人员安全保密意识，定期开展安全意识培训，养成良好的信息安全习惯；第三方人员符合安全保密工作要求。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cs="Times New Roman"/>
          <w:sz w:val="24"/>
          <w:lang w:val="en-US" w:eastAsia="zh-CN"/>
        </w:rPr>
      </w:pPr>
      <w:r>
        <w:rPr>
          <w:rFonts w:hint="eastAsia" w:ascii="宋体" w:hAnsi="宋体" w:cs="Times New Roman"/>
          <w:sz w:val="24"/>
          <w:lang w:val="en-US" w:eastAsia="zh-CN"/>
        </w:rPr>
        <w:t>七、风险管控要求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sz w:val="24"/>
          <w:lang w:val="en-US" w:eastAsia="zh-CN"/>
        </w:rPr>
      </w:pPr>
      <w:r>
        <w:rPr>
          <w:rFonts w:hint="eastAsia" w:ascii="宋体" w:hAnsi="宋体"/>
          <w:sz w:val="24"/>
          <w:lang w:val="en-US" w:eastAsia="zh-CN"/>
        </w:rPr>
        <w:t xml:space="preserve">1.突发应急保障要求 </w:t>
      </w:r>
    </w:p>
    <w:p>
      <w:pPr>
        <w:spacing w:line="520" w:lineRule="exact"/>
        <w:ind w:firstLine="480" w:firstLineChars="200"/>
        <w:rPr>
          <w:rFonts w:hint="eastAsia" w:ascii="黑体" w:hAnsi="黑体" w:eastAsia="黑体" w:cs="黑体"/>
          <w:b w:val="0"/>
          <w:bCs w:val="0"/>
          <w:sz w:val="32"/>
          <w:szCs w:val="32"/>
          <w:lang w:val="en-US" w:eastAsia="zh-CN"/>
        </w:rPr>
      </w:pPr>
      <w:r>
        <w:rPr>
          <w:rFonts w:hint="eastAsia" w:ascii="宋体" w:hAnsi="宋体"/>
          <w:sz w:val="24"/>
        </w:rPr>
        <w:t>为最大限度减少突发事件对12366热线正常咨询服务秩序的影响，投标人需根据可能发生的各类影响咨询服务的情况，制定应急方案和应对措施，确保突发事件应对及时有效，咨询服务达到考核标准。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cs="Times New Roman"/>
          <w:sz w:val="24"/>
          <w:lang w:eastAsia="zh-CN"/>
        </w:rPr>
      </w:pPr>
      <w:r>
        <w:rPr>
          <w:rFonts w:hint="eastAsia" w:ascii="宋体" w:hAnsi="宋体" w:cs="Times New Roman"/>
          <w:sz w:val="24"/>
          <w:lang w:val="en-US" w:eastAsia="zh-CN"/>
        </w:rPr>
        <w:t>八、履约验收要求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sz w:val="24"/>
          <w:lang w:val="en-US" w:eastAsia="zh-CN"/>
        </w:rPr>
      </w:pPr>
      <w:bookmarkStart w:id="10" w:name="_Toc256000022"/>
      <w:r>
        <w:rPr>
          <w:rFonts w:hint="eastAsia" w:ascii="宋体" w:hAnsi="宋体"/>
          <w:sz w:val="24"/>
          <w:lang w:val="en-US" w:eastAsia="zh-CN"/>
        </w:rPr>
        <w:t>1.总体要求</w:t>
      </w:r>
      <w:bookmarkEnd w:id="10"/>
    </w:p>
    <w:tbl>
      <w:tblPr>
        <w:tblStyle w:val="8"/>
        <w:tblW w:w="5000" w:type="pct"/>
        <w:tblInd w:w="30" w:type="dxa"/>
        <w:tblLayout w:type="autofit"/>
        <w:tblCellMar>
          <w:top w:w="15" w:type="dxa"/>
          <w:left w:w="15" w:type="dxa"/>
          <w:bottom w:w="15" w:type="dxa"/>
          <w:right w:w="15" w:type="dxa"/>
        </w:tblCellMar>
      </w:tblPr>
      <w:tblGrid>
        <w:gridCol w:w="1391"/>
        <w:gridCol w:w="6959"/>
      </w:tblGrid>
      <w:tr>
        <w:tblPrEx>
          <w:tblCellMar>
            <w:top w:w="15" w:type="dxa"/>
            <w:left w:w="15" w:type="dxa"/>
            <w:bottom w:w="15" w:type="dxa"/>
            <w:right w:w="15" w:type="dxa"/>
          </w:tblCellMar>
        </w:tblPrEx>
        <w:trPr>
          <w:trHeight w:val="347" w:hRule="atLeast"/>
        </w:trPr>
        <w:tc>
          <w:tcPr>
            <w:tcW w:w="833"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color w:val="000000"/>
                <w:szCs w:val="21"/>
              </w:rPr>
            </w:pPr>
            <w:r>
              <w:rPr>
                <w:rFonts w:ascii="仿宋_GB2312" w:hAnsi="仿宋_GB2312" w:eastAsia="仿宋_GB2312" w:cs="仿宋_GB2312"/>
                <w:b/>
                <w:bCs/>
                <w:color w:val="000000"/>
                <w:szCs w:val="21"/>
              </w:rPr>
              <w:t>验收名称</w:t>
            </w:r>
          </w:p>
        </w:tc>
        <w:tc>
          <w:tcPr>
            <w:tcW w:w="4166"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color w:val="000000"/>
                <w:szCs w:val="21"/>
              </w:rPr>
            </w:pPr>
            <w:r>
              <w:rPr>
                <w:rFonts w:ascii="仿宋_GB2312" w:hAnsi="仿宋_GB2312" w:eastAsia="仿宋_GB2312" w:cs="仿宋_GB2312"/>
                <w:b/>
                <w:bCs/>
                <w:color w:val="000000"/>
                <w:szCs w:val="21"/>
              </w:rPr>
              <w:t>验收要求</w:t>
            </w:r>
          </w:p>
        </w:tc>
      </w:tr>
      <w:tr>
        <w:tblPrEx>
          <w:tblCellMar>
            <w:top w:w="15" w:type="dxa"/>
            <w:left w:w="15" w:type="dxa"/>
            <w:bottom w:w="15" w:type="dxa"/>
            <w:right w:w="15" w:type="dxa"/>
          </w:tblCellMar>
        </w:tblPrEx>
        <w:tc>
          <w:tcPr>
            <w:tcW w:w="83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月/季度</w:t>
            </w:r>
            <w:r>
              <w:rPr>
                <w:rFonts w:ascii="仿宋_GB2312" w:hAnsi="仿宋_GB2312" w:eastAsia="仿宋_GB2312" w:cs="仿宋_GB2312"/>
                <w:color w:val="000000"/>
                <w:szCs w:val="21"/>
              </w:rPr>
              <w:t>验收</w:t>
            </w:r>
          </w:p>
        </w:tc>
        <w:tc>
          <w:tcPr>
            <w:tcW w:w="416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1.按照采购人要求提供了本项目所有的服务功能与内容；</w:t>
            </w:r>
          </w:p>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2.中标人保证各月/季考核分值≥99分，且单项指标不能出现不得分的情形；</w:t>
            </w:r>
          </w:p>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3.验收报告应由采购人、中标人经办人签字，并加盖双方公章。</w:t>
            </w:r>
          </w:p>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上述考核标准如国家税务总局有明确要求的，按国家税务总局要求执行。</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eastAsia" w:ascii="宋体" w:hAnsi="宋体"/>
          <w:sz w:val="24"/>
          <w:lang w:val="en-US" w:eastAsia="zh-CN"/>
        </w:rPr>
      </w:pPr>
      <w:bookmarkStart w:id="11" w:name="_Toc256000023"/>
      <w:r>
        <w:rPr>
          <w:rFonts w:hint="eastAsia" w:ascii="宋体" w:hAnsi="宋体"/>
          <w:sz w:val="24"/>
          <w:lang w:val="en-US" w:eastAsia="zh-CN"/>
        </w:rPr>
        <w:t>2.具体要求</w:t>
      </w:r>
      <w:bookmarkEnd w:id="11"/>
    </w:p>
    <w:p>
      <w:pPr>
        <w:spacing w:line="520" w:lineRule="exact"/>
        <w:ind w:firstLine="480" w:firstLineChars="200"/>
        <w:rPr>
          <w:rFonts w:hint="eastAsia" w:ascii="宋体" w:hAnsi="宋体"/>
          <w:sz w:val="24"/>
          <w:lang w:val="en-US" w:eastAsia="zh-CN"/>
        </w:rPr>
      </w:pPr>
      <w:r>
        <w:rPr>
          <w:rFonts w:hint="eastAsia" w:ascii="宋体" w:hAnsi="宋体"/>
          <w:sz w:val="24"/>
          <w:lang w:val="en-US" w:eastAsia="zh-CN"/>
        </w:rPr>
        <w:t>2.1采购人组织对中标人服务质量等进行考核和验收。</w:t>
      </w:r>
    </w:p>
    <w:p>
      <w:pPr>
        <w:spacing w:line="520" w:lineRule="exact"/>
        <w:ind w:firstLine="480" w:firstLineChars="200"/>
        <w:rPr>
          <w:rFonts w:hint="eastAsia" w:ascii="宋体" w:hAnsi="宋体"/>
          <w:sz w:val="24"/>
          <w:lang w:val="en-US" w:eastAsia="zh-CN"/>
        </w:rPr>
      </w:pPr>
      <w:r>
        <w:rPr>
          <w:rFonts w:hint="eastAsia" w:ascii="宋体" w:hAnsi="宋体"/>
          <w:sz w:val="24"/>
          <w:lang w:val="en-US" w:eastAsia="zh-CN"/>
        </w:rPr>
        <w:t>2.2采购人按季度对中标方进行考核。由中标人根据项目运营情况或采购人要求制作相关报表数据，以书面方式提交给采购人。如采购人对报表数据有疑义，中标人应对报表数据核实后再度提交。</w:t>
      </w:r>
    </w:p>
    <w:p>
      <w:pPr>
        <w:spacing w:line="520" w:lineRule="exact"/>
        <w:ind w:firstLine="480" w:firstLineChars="200"/>
        <w:rPr>
          <w:rFonts w:hint="eastAsia" w:ascii="宋体" w:hAnsi="宋体"/>
          <w:sz w:val="24"/>
          <w:lang w:val="en-US" w:eastAsia="zh-CN"/>
        </w:rPr>
      </w:pPr>
      <w:r>
        <w:rPr>
          <w:rFonts w:hint="eastAsia" w:ascii="宋体" w:hAnsi="宋体"/>
          <w:sz w:val="24"/>
          <w:lang w:val="en-US" w:eastAsia="zh-CN"/>
        </w:rPr>
        <w:t>2.3在服务期结束后进行项目汇总验收。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cs="Times New Roman"/>
          <w:sz w:val="24"/>
          <w:lang w:val="en-US" w:eastAsia="zh-CN"/>
        </w:rPr>
      </w:pPr>
      <w:r>
        <w:rPr>
          <w:rFonts w:hint="eastAsia" w:ascii="宋体" w:hAnsi="宋体" w:cs="Times New Roman"/>
          <w:sz w:val="24"/>
          <w:lang w:val="en-US" w:eastAsia="zh-CN"/>
        </w:rPr>
        <w:t>九、其他要求</w:t>
      </w:r>
    </w:p>
    <w:p>
      <w:pPr>
        <w:pStyle w:val="11"/>
        <w:numPr>
          <w:ilvl w:val="0"/>
          <w:numId w:val="0"/>
        </w:numPr>
        <w:snapToGrid/>
        <w:spacing w:beforeLines="0" w:afterLines="0"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★服务期：1年。服务期满后采购人将对中标人进行综合考评估，依据综合考评情况、相关法律法规、政策可续签下一年服务合同，续签最长不超过两年。</w:t>
      </w:r>
    </w:p>
    <w:p>
      <w:pPr>
        <w:pStyle w:val="11"/>
        <w:numPr>
          <w:ilvl w:val="0"/>
          <w:numId w:val="0"/>
        </w:numPr>
        <w:snapToGrid/>
        <w:spacing w:beforeLines="0" w:afterLines="0"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服务地点：采购人指定场地，所在地点位于国家税务总局武汉市东西湖区税务局。</w:t>
      </w:r>
    </w:p>
    <w:p>
      <w:pPr>
        <w:pStyle w:val="11"/>
        <w:numPr>
          <w:ilvl w:val="0"/>
          <w:numId w:val="0"/>
        </w:numPr>
        <w:snapToGrid/>
        <w:spacing w:beforeLines="0" w:afterLines="0"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★付款方式：</w:t>
      </w:r>
    </w:p>
    <w:tbl>
      <w:tblPr>
        <w:tblStyle w:val="8"/>
        <w:tblW w:w="5000" w:type="pct"/>
        <w:tblInd w:w="30" w:type="dxa"/>
        <w:tblLayout w:type="autofit"/>
        <w:tblCellMar>
          <w:top w:w="15" w:type="dxa"/>
          <w:left w:w="15" w:type="dxa"/>
          <w:bottom w:w="15" w:type="dxa"/>
          <w:right w:w="15" w:type="dxa"/>
        </w:tblCellMar>
      </w:tblPr>
      <w:tblGrid>
        <w:gridCol w:w="1160"/>
        <w:gridCol w:w="5758"/>
        <w:gridCol w:w="1432"/>
      </w:tblGrid>
      <w:tr>
        <w:tblPrEx>
          <w:tblCellMar>
            <w:top w:w="15" w:type="dxa"/>
            <w:left w:w="15" w:type="dxa"/>
            <w:bottom w:w="15" w:type="dxa"/>
            <w:right w:w="15" w:type="dxa"/>
          </w:tblCellMar>
        </w:tblPrEx>
        <w:tc>
          <w:tcPr>
            <w:tcW w:w="695"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hint="eastAsia" w:ascii="宋体" w:hAnsi="宋体" w:cs="宋体"/>
                <w:b/>
                <w:bCs/>
                <w:color w:val="000000"/>
                <w:szCs w:val="21"/>
              </w:rPr>
            </w:pPr>
            <w:r>
              <w:rPr>
                <w:rFonts w:hint="eastAsia" w:ascii="宋体" w:hAnsi="宋体" w:cs="宋体"/>
                <w:b/>
                <w:bCs/>
                <w:color w:val="000000"/>
                <w:szCs w:val="21"/>
              </w:rPr>
              <w:t>付款名称</w:t>
            </w:r>
          </w:p>
        </w:tc>
        <w:tc>
          <w:tcPr>
            <w:tcW w:w="3447"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hint="eastAsia" w:ascii="宋体" w:hAnsi="宋体" w:cs="宋体"/>
                <w:b/>
                <w:bCs/>
                <w:color w:val="000000"/>
                <w:szCs w:val="21"/>
              </w:rPr>
            </w:pPr>
            <w:r>
              <w:rPr>
                <w:rFonts w:hint="eastAsia" w:ascii="宋体" w:hAnsi="宋体" w:cs="宋体"/>
                <w:b/>
                <w:bCs/>
                <w:color w:val="000000"/>
                <w:szCs w:val="21"/>
              </w:rPr>
              <w:t>付款要求</w:t>
            </w:r>
          </w:p>
        </w:tc>
        <w:tc>
          <w:tcPr>
            <w:tcW w:w="857"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hint="eastAsia" w:ascii="宋体" w:hAnsi="宋体" w:cs="宋体"/>
                <w:b/>
                <w:bCs/>
                <w:color w:val="000000"/>
                <w:szCs w:val="21"/>
              </w:rPr>
            </w:pPr>
            <w:r>
              <w:rPr>
                <w:rFonts w:hint="eastAsia" w:ascii="宋体" w:hAnsi="宋体" w:cs="宋体"/>
                <w:b/>
                <w:bCs/>
                <w:color w:val="000000"/>
                <w:szCs w:val="21"/>
              </w:rPr>
              <w:t>付款比例(%)</w:t>
            </w:r>
          </w:p>
        </w:tc>
      </w:tr>
      <w:tr>
        <w:tblPrEx>
          <w:tblCellMar>
            <w:top w:w="15" w:type="dxa"/>
            <w:left w:w="15" w:type="dxa"/>
            <w:bottom w:w="15" w:type="dxa"/>
            <w:right w:w="15" w:type="dxa"/>
          </w:tblCellMar>
        </w:tblPrEx>
        <w:tc>
          <w:tcPr>
            <w:tcW w:w="695"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hint="eastAsia" w:ascii="宋体" w:hAnsi="宋体" w:cs="宋体"/>
                <w:color w:val="000000"/>
                <w:szCs w:val="21"/>
              </w:rPr>
            </w:pPr>
            <w:r>
              <w:rPr>
                <w:rFonts w:hint="eastAsia" w:ascii="宋体" w:hAnsi="宋体" w:cs="宋体"/>
                <w:color w:val="000000"/>
                <w:szCs w:val="21"/>
              </w:rPr>
              <w:t>按月付款</w:t>
            </w:r>
          </w:p>
        </w:tc>
        <w:tc>
          <w:tcPr>
            <w:tcW w:w="344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hint="eastAsia" w:ascii="宋体" w:hAnsi="宋体" w:cs="宋体"/>
                <w:color w:val="000000"/>
                <w:szCs w:val="21"/>
              </w:rPr>
            </w:pPr>
            <w:r>
              <w:rPr>
                <w:rFonts w:hint="eastAsia" w:ascii="宋体" w:hAnsi="宋体" w:cs="宋体"/>
                <w:color w:val="000000"/>
                <w:szCs w:val="21"/>
              </w:rPr>
              <w:t>1.采购合同生效后，中标人提供正式发票后的1</w:t>
            </w:r>
            <w:r>
              <w:rPr>
                <w:rFonts w:hint="eastAsia" w:ascii="宋体" w:hAnsi="宋体" w:cs="宋体"/>
                <w:color w:val="000000"/>
                <w:szCs w:val="21"/>
                <w:lang w:val="en-US" w:eastAsia="zh-CN"/>
              </w:rPr>
              <w:t>5</w:t>
            </w:r>
            <w:r>
              <w:rPr>
                <w:rFonts w:hint="eastAsia" w:ascii="宋体" w:hAnsi="宋体" w:cs="宋体"/>
                <w:color w:val="000000"/>
                <w:szCs w:val="21"/>
              </w:rPr>
              <w:t>天内，采购人向中标人支付第一个月的服务费（即当年服务费除以12）。</w:t>
            </w:r>
          </w:p>
          <w:p>
            <w:pPr>
              <w:jc w:val="left"/>
              <w:rPr>
                <w:rFonts w:hint="eastAsia" w:ascii="宋体" w:hAnsi="宋体" w:cs="宋体"/>
                <w:color w:val="000000"/>
                <w:szCs w:val="21"/>
              </w:rPr>
            </w:pPr>
            <w:r>
              <w:rPr>
                <w:rFonts w:hint="eastAsia" w:ascii="宋体" w:hAnsi="宋体" w:cs="宋体"/>
                <w:color w:val="000000"/>
                <w:szCs w:val="21"/>
              </w:rPr>
              <w:t>2.后续的服务费按月支付。采购人于次月5日内完成上月服务质量考核，该指标总共12个考评项总计100分,每月进行考评，每月末对中标人每一项考评指标进行量化打分，汇总计算出累计分值。按照考核结果，于供应商提供正式发票后1</w:t>
            </w:r>
            <w:r>
              <w:rPr>
                <w:rFonts w:hint="eastAsia" w:ascii="宋体" w:hAnsi="宋体" w:cs="宋体"/>
                <w:color w:val="000000"/>
                <w:szCs w:val="21"/>
                <w:lang w:val="en-US" w:eastAsia="zh-CN"/>
              </w:rPr>
              <w:t>5</w:t>
            </w:r>
            <w:r>
              <w:rPr>
                <w:rFonts w:hint="eastAsia" w:ascii="宋体" w:hAnsi="宋体" w:cs="宋体"/>
                <w:color w:val="000000"/>
                <w:szCs w:val="21"/>
              </w:rPr>
              <w:t>日内支付月度服务费。采用支票、银行汇付（含电汇）等形式。</w:t>
            </w:r>
          </w:p>
        </w:tc>
        <w:tc>
          <w:tcPr>
            <w:tcW w:w="85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hint="eastAsia" w:ascii="宋体" w:hAnsi="宋体" w:cs="宋体"/>
                <w:color w:val="000000"/>
                <w:szCs w:val="21"/>
              </w:rPr>
            </w:pPr>
            <w:r>
              <w:rPr>
                <w:rFonts w:hint="eastAsia" w:ascii="宋体" w:hAnsi="宋体" w:cs="宋体"/>
                <w:color w:val="000000"/>
                <w:szCs w:val="21"/>
              </w:rPr>
              <w:t>每月1/12*100%</w:t>
            </w:r>
          </w:p>
        </w:tc>
      </w:tr>
    </w:tbl>
    <w:p>
      <w:pPr>
        <w:tabs>
          <w:tab w:val="left" w:pos="1155"/>
        </w:tabs>
        <w:spacing w:line="520" w:lineRule="exact"/>
        <w:ind w:firstLine="482" w:firstLineChars="200"/>
        <w:rPr>
          <w:rFonts w:hint="eastAsia" w:ascii="宋体" w:hAnsi="宋体"/>
          <w:b/>
          <w:bCs/>
          <w:sz w:val="24"/>
        </w:rPr>
      </w:pPr>
      <w:r>
        <w:rPr>
          <w:rFonts w:hint="eastAsia" w:ascii="宋体" w:hAnsi="宋体"/>
          <w:b/>
          <w:bCs/>
          <w:sz w:val="24"/>
          <w:lang w:val="en-US" w:eastAsia="zh-CN"/>
        </w:rPr>
        <w:t>5.</w:t>
      </w:r>
      <w:r>
        <w:rPr>
          <w:rFonts w:hint="eastAsia" w:ascii="宋体" w:hAnsi="宋体"/>
          <w:b/>
          <w:bCs/>
          <w:sz w:val="24"/>
        </w:rPr>
        <w:t>报价要求：</w:t>
      </w:r>
    </w:p>
    <w:p>
      <w:pPr>
        <w:spacing w:line="520" w:lineRule="exact"/>
        <w:ind w:firstLine="480" w:firstLineChars="200"/>
        <w:rPr>
          <w:rFonts w:hint="eastAsia" w:ascii="宋体" w:hAnsi="宋体"/>
          <w:sz w:val="24"/>
        </w:rPr>
      </w:pPr>
      <w:r>
        <w:rPr>
          <w:rFonts w:hint="eastAsia" w:ascii="宋体" w:hAnsi="宋体"/>
          <w:sz w:val="24"/>
          <w:lang w:val="en-US" w:eastAsia="zh-CN"/>
        </w:rPr>
        <w:t>5.1</w:t>
      </w:r>
      <w:r>
        <w:rPr>
          <w:rFonts w:hint="eastAsia" w:ascii="宋体" w:hAnsi="宋体"/>
          <w:sz w:val="24"/>
        </w:rPr>
        <w:t>投标人的投标报价为年度总价格，应包括完成本项目的全部费用，包括但不限于:人员工资、餐费、招聘费、培训费、管理费、税费等。投标人所报的价格在合同的执行过程中是固定不变的，不得以任何理由予以变更。投标人对报价的准确性和完整性负责，任何漏报、错报等均是投标人的风险。</w:t>
      </w:r>
    </w:p>
    <w:p>
      <w:pPr>
        <w:spacing w:line="520" w:lineRule="exact"/>
        <w:ind w:firstLine="480" w:firstLineChars="200"/>
        <w:rPr>
          <w:rFonts w:hint="eastAsia" w:ascii="宋体" w:hAnsi="宋体"/>
          <w:sz w:val="24"/>
        </w:rPr>
      </w:pPr>
      <w:r>
        <w:rPr>
          <w:rFonts w:hint="eastAsia" w:ascii="宋体" w:hAnsi="宋体"/>
          <w:sz w:val="24"/>
          <w:lang w:val="en-US" w:eastAsia="zh-CN"/>
        </w:rPr>
        <w:t>5.2</w:t>
      </w:r>
      <w:r>
        <w:rPr>
          <w:rFonts w:hint="eastAsia" w:ascii="宋体" w:hAnsi="宋体"/>
          <w:sz w:val="24"/>
        </w:rPr>
        <w:t>办公电脑及相关办公用家具、设备、软件系统由采购人提供并保障正常运行。</w:t>
      </w:r>
    </w:p>
    <w:p>
      <w:pPr>
        <w:spacing w:line="520" w:lineRule="exact"/>
        <w:ind w:firstLine="480" w:firstLineChars="200"/>
        <w:rPr>
          <w:rFonts w:hint="eastAsia" w:ascii="宋体" w:hAnsi="宋体"/>
          <w:sz w:val="24"/>
        </w:rPr>
      </w:pPr>
      <w:r>
        <w:rPr>
          <w:rFonts w:hint="eastAsia" w:ascii="宋体" w:hAnsi="宋体"/>
          <w:sz w:val="24"/>
          <w:lang w:val="en-US" w:eastAsia="zh-CN"/>
        </w:rPr>
        <w:t>5.3</w:t>
      </w:r>
      <w:r>
        <w:rPr>
          <w:rFonts w:hint="eastAsia" w:ascii="宋体" w:hAnsi="宋体"/>
          <w:sz w:val="24"/>
        </w:rPr>
        <w:t>★投标报价超预算金额为无效投标。</w:t>
      </w:r>
    </w:p>
    <w:p>
      <w:pPr>
        <w:pStyle w:val="10"/>
        <w:jc w:val="righ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国家税务总局武汉市东西湖区税务局办税服务厅（第一税务所）</w:t>
      </w:r>
    </w:p>
    <w:p>
      <w:pPr>
        <w:jc w:val="right"/>
      </w:pPr>
      <w:r>
        <w:rPr>
          <w:rFonts w:hint="eastAsia" w:ascii="宋体" w:hAnsi="宋体" w:eastAsia="宋体" w:cs="Times New Roman"/>
          <w:kern w:val="2"/>
          <w:sz w:val="24"/>
          <w:szCs w:val="24"/>
          <w:lang w:val="en-US" w:eastAsia="zh-CN" w:bidi="ar-SA"/>
        </w:rPr>
        <w:t>2025年6月13日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YmFmYTQyMWYwNTkyOWMyYzUxYjU3NTBiODM1ODUifQ=="/>
  </w:docVars>
  <w:rsids>
    <w:rsidRoot w:val="785D2704"/>
    <w:rsid w:val="07F155D8"/>
    <w:rsid w:val="287834E4"/>
    <w:rsid w:val="2B607E09"/>
    <w:rsid w:val="2DBE54D3"/>
    <w:rsid w:val="47B7171C"/>
    <w:rsid w:val="56146FC2"/>
    <w:rsid w:val="785D2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spacing w:before="240" w:after="60"/>
      <w:outlineLvl w:val="2"/>
    </w:pPr>
    <w:rPr>
      <w:rFonts w:ascii="Arial" w:hAnsi="Arial" w:cs="Arial"/>
      <w:b/>
      <w:bCs/>
      <w:sz w:val="26"/>
      <w:szCs w:val="26"/>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qFormat/>
    <w:uiPriority w:val="99"/>
    <w:rPr>
      <w:color w:val="FF0000"/>
    </w:rPr>
  </w:style>
  <w:style w:type="paragraph" w:customStyle="1" w:styleId="10">
    <w:name w:val="章标题"/>
    <w:next w:val="1"/>
    <w:qFormat/>
    <w:uiPriority w:val="99"/>
    <w:pPr>
      <w:spacing w:beforeLines="50" w:afterLines="50" w:line="336" w:lineRule="auto"/>
      <w:jc w:val="both"/>
      <w:outlineLvl w:val="1"/>
    </w:pPr>
    <w:rPr>
      <w:rFonts w:ascii="黑体" w:hAnsi="Calibri" w:eastAsia="黑体" w:cs="Times New Roman"/>
      <w:sz w:val="21"/>
      <w:szCs w:val="21"/>
      <w:lang w:val="en-US" w:eastAsia="zh-CN" w:bidi="ar-SA"/>
    </w:rPr>
  </w:style>
  <w:style w:type="paragraph" w:customStyle="1" w:styleId="11">
    <w:name w:val="正文2"/>
    <w:next w:val="12"/>
    <w:qFormat/>
    <w:uiPriority w:val="0"/>
    <w:pPr>
      <w:overflowPunct w:val="0"/>
      <w:autoSpaceDE w:val="0"/>
      <w:autoSpaceDN w:val="0"/>
      <w:adjustRightInd w:val="0"/>
      <w:spacing w:after="160" w:line="259" w:lineRule="auto"/>
      <w:jc w:val="both"/>
      <w:textAlignment w:val="baseline"/>
    </w:pPr>
    <w:rPr>
      <w:rFonts w:ascii="Times New Roman" w:hAnsi="Times New Roman" w:eastAsia="宋体" w:cs="Times New Roman"/>
      <w:sz w:val="21"/>
      <w:lang w:val="en-US" w:eastAsia="zh-CN" w:bidi="ar-SA"/>
    </w:rPr>
  </w:style>
  <w:style w:type="paragraph" w:customStyle="1" w:styleId="12">
    <w:name w:val="标题 51"/>
    <w:basedOn w:val="1"/>
    <w:next w:val="11"/>
    <w:unhideWhenUsed/>
    <w:qFormat/>
    <w:uiPriority w:val="0"/>
    <w:pPr>
      <w:keepNext/>
      <w:keepLines/>
      <w:widowControl/>
      <w:overflowPunct w:val="0"/>
      <w:autoSpaceDE w:val="0"/>
      <w:autoSpaceDN w:val="0"/>
      <w:adjustRightInd w:val="0"/>
      <w:spacing w:before="280" w:after="290" w:line="372" w:lineRule="auto"/>
      <w:textAlignment w:val="baseline"/>
      <w:outlineLvl w:val="4"/>
    </w:pPr>
    <w:rPr>
      <w:b/>
      <w:kern w:val="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6883</Words>
  <Characters>7307</Characters>
  <Lines>0</Lines>
  <Paragraphs>0</Paragraphs>
  <TotalTime>1</TotalTime>
  <ScaleCrop>false</ScaleCrop>
  <LinksUpToDate>false</LinksUpToDate>
  <CharactersWithSpaces>7324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2025-06-12T05:08:00Z</dcterms:created>
  <dc:creator>13476010272</dc:creator>
  <cp:lastModifiedBy>周淑君</cp:lastModifiedBy>
  <cp:lastPrinted>2025-06-13T07:49:00Z</cp:lastPrinted>
  <dcterms:modified xsi:type="dcterms:W3CDTF">2025-06-13T09:16:08Z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5EAEBD86F7A3492181597421C63F8493_11</vt:lpwstr>
  </property>
  <property fmtid="{D5CDD505-2E9C-101B-9397-08002B2CF9AE}" pid="4" name="KSOTemplateDocerSaveRecord">
    <vt:lpwstr>eyJoZGlkIjoiMjE2ODhhOGVmNjkzMGZiOWZjMDhkZDYyMTZjZDQ2YzUiLCJ1c2VySWQiOiI0MTk0MTI3NjgifQ==</vt:lpwstr>
  </property>
</Properties>
</file>