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国家税务总局武汉市</w:t>
      </w:r>
      <w:r>
        <w:rPr>
          <w:rFonts w:hint="eastAsia" w:ascii="方正小标宋简体" w:hAnsi="方正小标宋简体" w:eastAsia="方正小标宋简体" w:cs="方正小标宋简体"/>
          <w:b w:val="0"/>
          <w:bCs w:val="0"/>
          <w:sz w:val="44"/>
          <w:szCs w:val="44"/>
          <w:lang w:eastAsia="zh-CN"/>
        </w:rPr>
        <w:t>蔡甸区</w:t>
      </w:r>
      <w:r>
        <w:rPr>
          <w:rFonts w:hint="eastAsia" w:ascii="方正小标宋简体" w:hAnsi="方正小标宋简体" w:eastAsia="方正小标宋简体" w:cs="方正小标宋简体"/>
          <w:b w:val="0"/>
          <w:bCs w:val="0"/>
          <w:sz w:val="44"/>
          <w:szCs w:val="44"/>
        </w:rPr>
        <w:t>税务局</w:t>
      </w:r>
    </w:p>
    <w:p>
      <w:pPr>
        <w:pStyle w:val="4"/>
        <w:keepNext w:val="0"/>
        <w:keepLines w:val="0"/>
        <w:pageBreakBefore w:val="0"/>
        <w:widowControl/>
        <w:kinsoku/>
        <w:wordWrap/>
        <w:overflowPunct/>
        <w:topLinePunct w:val="0"/>
        <w:autoSpaceDE/>
        <w:autoSpaceDN/>
        <w:bidi w:val="0"/>
        <w:adjustRightInd w:val="0"/>
        <w:snapToGrid w:val="0"/>
        <w:spacing w:after="313" w:afterLines="100" w:line="240" w:lineRule="auto"/>
        <w:jc w:val="center"/>
        <w:textAlignment w:val="auto"/>
        <w:rPr>
          <w:rFonts w:ascii="黑体" w:hAnsi="黑体" w:eastAsia="黑体" w:cs="黑体"/>
          <w:color w:val="333333"/>
          <w:sz w:val="32"/>
          <w:szCs w:val="32"/>
        </w:rPr>
      </w:pPr>
      <w:r>
        <w:rPr>
          <w:rFonts w:hint="eastAsia" w:ascii="方正小标宋简体" w:hAnsi="方正小标宋简体" w:eastAsia="方正小标宋简体" w:cs="方正小标宋简体"/>
          <w:b w:val="0"/>
          <w:bCs w:val="0"/>
          <w:sz w:val="44"/>
          <w:szCs w:val="44"/>
          <w:lang w:val="en-US" w:eastAsia="zh-CN"/>
        </w:rPr>
        <w:t>2024年</w:t>
      </w:r>
      <w:r>
        <w:rPr>
          <w:rFonts w:hint="eastAsia" w:ascii="方正小标宋简体" w:hAnsi="方正小标宋简体" w:eastAsia="方正小标宋简体" w:cs="方正小标宋简体"/>
          <w:b w:val="0"/>
          <w:bCs w:val="0"/>
          <w:sz w:val="44"/>
          <w:szCs w:val="44"/>
        </w:rPr>
        <w:t>政府信息公开工作年度报告</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sz w:val="32"/>
          <w:szCs w:val="32"/>
        </w:rPr>
      </w:pPr>
      <w:r>
        <w:rPr>
          <w:rFonts w:hint="eastAsia" w:ascii="黑体" w:hAnsi="黑体" w:eastAsia="黑体" w:cs="黑体"/>
          <w:color w:val="333333"/>
          <w:sz w:val="32"/>
          <w:szCs w:val="32"/>
        </w:rPr>
        <w:t>一、总体情况</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color w:val="auto"/>
          <w:sz w:val="32"/>
          <w:szCs w:val="32"/>
        </w:rPr>
      </w:pPr>
      <w:r>
        <w:rPr>
          <w:rFonts w:hint="eastAsia" w:ascii="仿宋_GB2312" w:hAnsi="宋体" w:eastAsia="仿宋_GB2312" w:cs="宋体"/>
          <w:color w:val="auto"/>
          <w:kern w:val="0"/>
          <w:sz w:val="32"/>
          <w:szCs w:val="32"/>
          <w:lang w:val="en-US" w:eastAsia="zh-CN"/>
        </w:rPr>
        <w:t>2024年，国家税务总局</w:t>
      </w:r>
      <w:r>
        <w:rPr>
          <w:rFonts w:hint="eastAsia" w:ascii="仿宋_GB2312" w:hAnsi="宋体" w:eastAsia="仿宋_GB2312" w:cs="宋体"/>
          <w:color w:val="auto"/>
          <w:kern w:val="0"/>
          <w:sz w:val="32"/>
          <w:szCs w:val="32"/>
        </w:rPr>
        <w:t>武汉市蔡甸区税务局认真落实《中华人民共和国政府信息公开条例》《国家税务总局关于进一步加强税务系统政府信息公开工作的通知》等工作要求，结合单位实际，采取有效措施，全力推进政府信息公开工作，保障了公众知情权、参与权和监督权，增强了税务部门公信力和执行力。全年收到依申请政府信息公开</w:t>
      </w:r>
      <w:r>
        <w:rPr>
          <w:rFonts w:hint="eastAsia" w:ascii="仿宋_GB2312" w:hAnsi="宋体" w:eastAsia="仿宋_GB2312" w:cs="宋体"/>
          <w:color w:val="auto"/>
          <w:kern w:val="0"/>
          <w:sz w:val="32"/>
          <w:szCs w:val="32"/>
          <w:lang w:val="en-US" w:eastAsia="zh-CN"/>
        </w:rPr>
        <w:t>11</w:t>
      </w:r>
      <w:r>
        <w:rPr>
          <w:rFonts w:hint="eastAsia" w:ascii="仿宋_GB2312" w:hAnsi="宋体" w:eastAsia="仿宋_GB2312" w:cs="宋体"/>
          <w:color w:val="auto"/>
          <w:kern w:val="0"/>
          <w:sz w:val="32"/>
          <w:szCs w:val="32"/>
        </w:rPr>
        <w:t>件，未收到转办的政府信息公开申请</w:t>
      </w:r>
      <w:r>
        <w:rPr>
          <w:rFonts w:hint="eastAsia" w:ascii="仿宋_GB2312" w:hAnsi="仿宋" w:eastAsia="仿宋_GB2312" w:cs="仿宋"/>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textAlignment w:val="auto"/>
        <w:rPr>
          <w:rFonts w:ascii="仿宋_GB2312" w:hAnsi="宋体" w:eastAsia="仿宋_GB2312" w:cs="宋体"/>
          <w:color w:val="auto"/>
          <w:kern w:val="0"/>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政府信息主动公开情况</w:t>
      </w:r>
      <w:r>
        <w:rPr>
          <w:rFonts w:hint="eastAsia" w:ascii="楷体_GB2312" w:hAnsi="楷体_GB2312" w:eastAsia="楷体_GB2312" w:cs="楷体_GB2312"/>
          <w:sz w:val="32"/>
          <w:szCs w:val="32"/>
          <w:lang w:eastAsia="zh-CN"/>
        </w:rPr>
        <w:t>。</w:t>
      </w:r>
      <w:r>
        <w:rPr>
          <w:rFonts w:hint="eastAsia" w:ascii="仿宋_GB2312" w:hAnsi="宋体" w:eastAsia="仿宋_GB2312" w:cs="宋体"/>
          <w:color w:val="auto"/>
          <w:kern w:val="0"/>
          <w:sz w:val="32"/>
          <w:szCs w:val="32"/>
          <w:lang w:val="en-US" w:eastAsia="zh-CN"/>
        </w:rPr>
        <w:t>国家税务总局</w:t>
      </w:r>
      <w:r>
        <w:rPr>
          <w:rFonts w:hint="eastAsia" w:ascii="仿宋_GB2312" w:hAnsi="宋体" w:eastAsia="仿宋_GB2312" w:cs="宋体"/>
          <w:color w:val="auto"/>
          <w:kern w:val="0"/>
          <w:sz w:val="32"/>
          <w:szCs w:val="32"/>
        </w:rPr>
        <w:t>武汉市蔡甸区税务局通过武汉市税务局网页主动向社会公开领导简介、机构设置、主要职能、行业概况、税收政策法规、税收征管制度、办税指南等政府信息。</w:t>
      </w:r>
      <w:r>
        <w:rPr>
          <w:rFonts w:hint="eastAsia" w:ascii="仿宋_GB2312" w:hAnsi="宋体" w:eastAsia="仿宋_GB2312" w:cs="宋体"/>
          <w:color w:val="auto"/>
          <w:kern w:val="0"/>
          <w:sz w:val="32"/>
          <w:szCs w:val="32"/>
          <w:lang w:val="en-US" w:eastAsia="zh-CN"/>
        </w:rPr>
        <w:t>国家税务总局</w:t>
      </w:r>
      <w:r>
        <w:rPr>
          <w:rFonts w:hint="eastAsia" w:ascii="仿宋_GB2312" w:hAnsi="宋体" w:eastAsia="仿宋_GB2312" w:cs="宋体"/>
          <w:color w:val="auto"/>
          <w:kern w:val="0"/>
          <w:sz w:val="32"/>
          <w:szCs w:val="32"/>
        </w:rPr>
        <w:t>武汉市蔡甸区税务局依托办税服务厅，主动接受纳税人咨询，综合利用各类纳税辅导培训、宣传栏、电子显示屏等形式，及时公开税收政策、行政处罚、行政许可等各类信息，推进公开信息的电子化，降低纳税人查询成本，信息公开工作得到有序推进。</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textAlignment w:val="auto"/>
        <w:rPr>
          <w:rFonts w:hint="eastAsia" w:ascii="仿宋_GB2312" w:hAnsi="仿宋" w:eastAsia="仿宋_GB2312" w:cs="仿宋"/>
          <w:sz w:val="32"/>
          <w:szCs w:val="32"/>
        </w:rPr>
      </w:pP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政府信息依申请公开情况。</w:t>
      </w:r>
      <w:r>
        <w:rPr>
          <w:rFonts w:hint="eastAsia" w:ascii="仿宋_GB2312" w:hAnsi="仿宋" w:eastAsia="仿宋_GB2312" w:cs="仿宋"/>
          <w:sz w:val="32"/>
          <w:szCs w:val="32"/>
          <w:lang w:val="en-US" w:eastAsia="zh-CN"/>
        </w:rPr>
        <w:t>国家税务总局</w:t>
      </w:r>
      <w:r>
        <w:rPr>
          <w:rFonts w:hint="eastAsia" w:ascii="仿宋_GB2312" w:hAnsi="仿宋" w:eastAsia="仿宋_GB2312" w:cs="仿宋"/>
          <w:sz w:val="32"/>
          <w:szCs w:val="32"/>
        </w:rPr>
        <w:t>武汉市蔡甸区税务局</w:t>
      </w:r>
      <w:r>
        <w:rPr>
          <w:rFonts w:hint="eastAsia" w:ascii="仿宋_GB2312" w:hAnsi="仿宋" w:eastAsia="仿宋_GB2312" w:cs="仿宋"/>
          <w:sz w:val="32"/>
          <w:szCs w:val="32"/>
          <w:lang w:eastAsia="zh-CN"/>
        </w:rPr>
        <w:t>2024</w:t>
      </w:r>
      <w:r>
        <w:rPr>
          <w:rFonts w:hint="eastAsia" w:ascii="仿宋_GB2312" w:hAnsi="仿宋" w:eastAsia="仿宋_GB2312" w:cs="仿宋"/>
          <w:sz w:val="32"/>
          <w:szCs w:val="32"/>
        </w:rPr>
        <w:t>年收到依申请政府信息公开</w:t>
      </w:r>
      <w:r>
        <w:rPr>
          <w:rFonts w:hint="eastAsia" w:ascii="仿宋_GB2312" w:hAnsi="仿宋" w:eastAsia="仿宋_GB2312" w:cs="仿宋"/>
          <w:sz w:val="32"/>
          <w:szCs w:val="32"/>
          <w:lang w:val="en-US" w:eastAsia="zh-CN"/>
        </w:rPr>
        <w:t>11</w:t>
      </w:r>
      <w:r>
        <w:rPr>
          <w:rFonts w:hint="eastAsia" w:ascii="仿宋_GB2312" w:hAnsi="仿宋" w:eastAsia="仿宋_GB2312" w:cs="仿宋"/>
          <w:sz w:val="32"/>
          <w:szCs w:val="32"/>
        </w:rPr>
        <w:t>件，</w:t>
      </w:r>
      <w:r>
        <w:rPr>
          <w:rFonts w:hint="eastAsia" w:ascii="仿宋_GB2312" w:hAnsi="仿宋" w:eastAsia="仿宋_GB2312" w:cs="仿宋"/>
          <w:sz w:val="32"/>
          <w:szCs w:val="32"/>
          <w:lang w:eastAsia="zh-CN"/>
        </w:rPr>
        <w:t>根据</w:t>
      </w:r>
      <w:r>
        <w:rPr>
          <w:rFonts w:hint="default" w:ascii="仿宋_GB2312" w:hAnsi="仿宋" w:eastAsia="仿宋_GB2312" w:cs="仿宋"/>
          <w:sz w:val="32"/>
          <w:szCs w:val="32"/>
        </w:rPr>
        <w:t>《中华人民共和国政府信息公开条例》《税务机关政府信息公开申请办理规范》</w:t>
      </w:r>
      <w:r>
        <w:rPr>
          <w:rFonts w:hint="eastAsia" w:ascii="仿宋_GB2312" w:hAnsi="仿宋" w:eastAsia="仿宋_GB2312" w:cs="仿宋"/>
          <w:sz w:val="32"/>
          <w:szCs w:val="32"/>
          <w:lang w:eastAsia="zh-CN"/>
        </w:rPr>
        <w:t>依法依规</w:t>
      </w:r>
      <w:r>
        <w:rPr>
          <w:rFonts w:hint="eastAsia" w:ascii="仿宋_GB2312" w:eastAsia="仿宋_GB2312"/>
          <w:sz w:val="32"/>
          <w:szCs w:val="32"/>
        </w:rPr>
        <w:t>开展依申请公开工作</w:t>
      </w:r>
      <w:r>
        <w:rPr>
          <w:rFonts w:hint="eastAsia" w:ascii="仿宋_GB2312" w:eastAsia="仿宋_GB2312"/>
          <w:sz w:val="32"/>
          <w:szCs w:val="32"/>
          <w:lang w:eastAsia="zh-CN"/>
        </w:rPr>
        <w:t>，并按时办结</w:t>
      </w:r>
      <w:r>
        <w:rPr>
          <w:rFonts w:hint="eastAsia" w:ascii="仿宋_GB2312" w:hAnsi="仿宋" w:eastAsia="仿宋_GB2312" w:cs="仿宋"/>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（三）政府信息管理情况。</w:t>
      </w:r>
      <w:r>
        <w:rPr>
          <w:rFonts w:hint="eastAsia" w:ascii="仿宋_GB2312" w:hAnsi="仿宋" w:eastAsia="仿宋_GB2312" w:cs="仿宋"/>
          <w:kern w:val="2"/>
          <w:sz w:val="32"/>
          <w:szCs w:val="32"/>
          <w:lang w:val="en-US" w:eastAsia="zh-CN" w:bidi="ar-SA"/>
        </w:rPr>
        <w:t>国家税务总局武汉市蔡甸区税务局严格遵循依法、及时、高效的原则，在公文的产生过程中，同步确定其主动公开、依申请公开、不予公开三种属性，公文拟制部门根据公文内容，注明公文属性，办公室审核公文拟制部门确定的属性是否符合规定，确保公开事项填写的规范性。</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（四）政府信息公开平台建设情况</w:t>
      </w:r>
      <w:r>
        <w:rPr>
          <w:rFonts w:hint="eastAsia" w:ascii="仿宋_GB2312" w:hAnsi="仿宋" w:eastAsia="仿宋_GB2312" w:cs="仿宋"/>
          <w:kern w:val="2"/>
          <w:sz w:val="32"/>
          <w:szCs w:val="32"/>
          <w:lang w:val="en-US" w:eastAsia="zh-CN" w:bidi="ar-SA"/>
        </w:rPr>
        <w:t>。国家税务总局武汉市蔡甸区税务局依托国家税务总局武汉市税务局网站政府信息公开栏目开展政府信息公开公示，主动公示区局政府信息公开指南、政府信息公开年报、政府信息公开规程、委托代征管理办法及个体工商户定期定额公示信息，并及时进行更新。</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宋体" w:eastAsia="仿宋_GB2312" w:cs="宋体"/>
          <w:kern w:val="0"/>
          <w:sz w:val="32"/>
          <w:szCs w:val="32"/>
          <w:lang w:val="en-US" w:eastAsia="zh-CN"/>
        </w:rPr>
      </w:pPr>
      <w:r>
        <w:rPr>
          <w:rFonts w:hint="eastAsia" w:ascii="楷体_GB2312" w:hAnsi="楷体_GB2312" w:eastAsia="楷体_GB2312" w:cs="楷体_GB2312"/>
          <w:kern w:val="2"/>
          <w:sz w:val="32"/>
          <w:szCs w:val="32"/>
          <w:lang w:val="en-US" w:eastAsia="zh-CN" w:bidi="ar-SA"/>
        </w:rPr>
        <w:t>（五）监督保障情况。</w:t>
      </w:r>
      <w:r>
        <w:rPr>
          <w:rFonts w:hint="eastAsia" w:ascii="仿宋_GB2312" w:hAnsi="仿宋" w:eastAsia="仿宋_GB2312" w:cs="仿宋"/>
          <w:sz w:val="32"/>
          <w:szCs w:val="32"/>
          <w:highlight w:val="none"/>
          <w:lang w:val="en-US" w:eastAsia="zh-CN"/>
        </w:rPr>
        <w:t>国家税务总局</w:t>
      </w:r>
      <w:r>
        <w:rPr>
          <w:rFonts w:hint="eastAsia" w:ascii="仿宋_GB2312" w:hAnsi="仿宋" w:eastAsia="仿宋_GB2312" w:cs="仿宋"/>
          <w:sz w:val="32"/>
          <w:szCs w:val="32"/>
          <w:highlight w:val="none"/>
        </w:rPr>
        <w:t>武汉市蔡甸区税务局</w:t>
      </w:r>
      <w:r>
        <w:rPr>
          <w:rFonts w:hint="eastAsia" w:ascii="仿宋_GB2312" w:hAnsi="宋体" w:eastAsia="仿宋_GB2312" w:cs="宋体"/>
          <w:kern w:val="0"/>
          <w:sz w:val="32"/>
          <w:szCs w:val="32"/>
          <w:highlight w:val="none"/>
        </w:rPr>
        <w:t>将</w:t>
      </w:r>
      <w:r>
        <w:rPr>
          <w:rFonts w:hint="eastAsia" w:ascii="仿宋_GB2312" w:hAnsi="宋体" w:eastAsia="仿宋_GB2312" w:cs="宋体"/>
          <w:kern w:val="0"/>
          <w:sz w:val="32"/>
          <w:szCs w:val="32"/>
        </w:rPr>
        <w:t>政府信息公开纳入绩效考核管理，科学设置指标，</w:t>
      </w:r>
      <w:r>
        <w:rPr>
          <w:rFonts w:hint="eastAsia" w:ascii="仿宋_GB2312" w:hAnsi="宋体" w:eastAsia="仿宋_GB2312" w:cs="宋体"/>
          <w:kern w:val="0"/>
          <w:sz w:val="32"/>
          <w:szCs w:val="32"/>
          <w:lang w:eastAsia="zh-CN"/>
        </w:rPr>
        <w:t>按年度开展考核考评，并</w:t>
      </w:r>
      <w:r>
        <w:rPr>
          <w:rFonts w:hint="eastAsia" w:ascii="仿宋_GB2312" w:hAnsi="宋体" w:eastAsia="仿宋_GB2312" w:cs="宋体"/>
          <w:kern w:val="0"/>
          <w:sz w:val="32"/>
          <w:szCs w:val="32"/>
        </w:rPr>
        <w:t>按期在</w:t>
      </w:r>
      <w:r>
        <w:rPr>
          <w:rFonts w:hint="eastAsia" w:ascii="仿宋_GB2312" w:hAnsi="仿宋" w:eastAsia="仿宋_GB2312" w:cs="仿宋"/>
          <w:kern w:val="2"/>
          <w:sz w:val="32"/>
          <w:szCs w:val="32"/>
          <w:lang w:val="en-US" w:eastAsia="zh-CN" w:bidi="ar-SA"/>
        </w:rPr>
        <w:t>国家税务总局</w:t>
      </w:r>
      <w:r>
        <w:rPr>
          <w:rFonts w:hint="eastAsia" w:ascii="仿宋_GB2312" w:hAnsi="宋体" w:eastAsia="仿宋_GB2312" w:cs="宋体"/>
          <w:color w:val="auto"/>
          <w:kern w:val="0"/>
          <w:sz w:val="32"/>
          <w:szCs w:val="32"/>
        </w:rPr>
        <w:t>武汉市税务局网页</w:t>
      </w:r>
      <w:r>
        <w:rPr>
          <w:rFonts w:hint="eastAsia" w:ascii="仿宋_GB2312" w:hAnsi="宋体" w:eastAsia="仿宋_GB2312" w:cs="宋体"/>
          <w:kern w:val="0"/>
          <w:sz w:val="32"/>
          <w:szCs w:val="32"/>
        </w:rPr>
        <w:t>发布政府信息公开年度工作报告。</w:t>
      </w:r>
      <w:r>
        <w:rPr>
          <w:rFonts w:hint="eastAsia" w:ascii="仿宋_GB2312" w:hAnsi="宋体" w:eastAsia="仿宋_GB2312" w:cs="宋体"/>
          <w:kern w:val="0"/>
          <w:sz w:val="32"/>
          <w:szCs w:val="32"/>
          <w:lang w:eastAsia="zh-CN"/>
        </w:rPr>
        <w:t>通过对</w:t>
      </w:r>
      <w:r>
        <w:rPr>
          <w:rFonts w:hint="eastAsia" w:ascii="仿宋_GB2312" w:hAnsi="仿宋" w:eastAsia="仿宋_GB2312" w:cs="仿宋"/>
          <w:kern w:val="2"/>
          <w:sz w:val="32"/>
          <w:szCs w:val="32"/>
          <w:lang w:val="en-US" w:eastAsia="zh-CN" w:bidi="ar-SA"/>
        </w:rPr>
        <w:t>国家税务总局武汉市蔡甸区税务局</w:t>
      </w:r>
      <w:r>
        <w:rPr>
          <w:rFonts w:hint="eastAsia" w:ascii="仿宋_GB2312" w:hAnsi="宋体" w:eastAsia="仿宋_GB2312" w:cs="宋体"/>
          <w:kern w:val="0"/>
          <w:sz w:val="32"/>
          <w:szCs w:val="32"/>
          <w:lang w:val="zh-CN"/>
        </w:rPr>
        <w:t>政府信息公开工作开展自查整改，</w:t>
      </w:r>
      <w:r>
        <w:rPr>
          <w:rFonts w:hint="eastAsia" w:ascii="仿宋_GB2312" w:hAnsi="宋体" w:eastAsia="仿宋_GB2312" w:cs="宋体"/>
          <w:kern w:val="0"/>
          <w:sz w:val="32"/>
          <w:szCs w:val="32"/>
          <w:lang w:val="zh-CN" w:eastAsia="zh-CN"/>
        </w:rPr>
        <w:t>进一步完善政府信息公开内容，</w:t>
      </w:r>
      <w:r>
        <w:rPr>
          <w:rFonts w:hint="eastAsia" w:ascii="仿宋_GB2312" w:hAnsi="宋体" w:eastAsia="仿宋_GB2312" w:cs="宋体"/>
          <w:kern w:val="0"/>
          <w:sz w:val="32"/>
          <w:szCs w:val="32"/>
          <w:lang w:val="en-US" w:eastAsia="zh-CN"/>
        </w:rPr>
        <w:t>规范政府信息公开查收和办理。</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color w:val="333333"/>
          <w:sz w:val="32"/>
          <w:szCs w:val="32"/>
        </w:rPr>
      </w:pPr>
      <w:r>
        <w:rPr>
          <w:rFonts w:hint="eastAsia" w:ascii="黑体" w:hAnsi="黑体" w:eastAsia="黑体" w:cs="黑体"/>
          <w:color w:val="333333"/>
          <w:sz w:val="32"/>
          <w:szCs w:val="32"/>
        </w:rPr>
        <w:t>二、主动公开政府信息情况</w:t>
      </w:r>
    </w:p>
    <w:tbl>
      <w:tblPr>
        <w:tblStyle w:val="5"/>
        <w:tblW w:w="5000" w:type="pct"/>
        <w:jc w:val="center"/>
        <w:tblLayout w:type="autofit"/>
        <w:tblCellMar>
          <w:top w:w="0" w:type="dxa"/>
          <w:left w:w="0" w:type="dxa"/>
          <w:bottom w:w="0" w:type="dxa"/>
          <w:right w:w="0" w:type="dxa"/>
        </w:tblCellMar>
      </w:tblPr>
      <w:tblGrid>
        <w:gridCol w:w="2239"/>
        <w:gridCol w:w="2240"/>
        <w:gridCol w:w="2240"/>
        <w:gridCol w:w="2240"/>
      </w:tblGrid>
      <w:tr>
        <w:tblPrEx>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第二十条第（一）项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w:t>
            </w:r>
            <w:r>
              <w:rPr>
                <w:rFonts w:hint="eastAsia" w:ascii="宋体" w:hAnsi="宋体" w:eastAsia="宋体" w:cs="宋体"/>
                <w:color w:val="333333"/>
                <w:kern w:val="0"/>
                <w:szCs w:val="21"/>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现行有效件</w:t>
            </w:r>
            <w:r>
              <w:rPr>
                <w:rFonts w:hint="eastAsia" w:ascii="宋体" w:hAnsi="宋体" w:eastAsia="宋体" w:cs="宋体"/>
                <w:color w:val="333333"/>
                <w:kern w:val="0"/>
                <w:szCs w:val="21"/>
              </w:rPr>
              <w:t>数</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asciiTheme="minorHAnsi" w:hAnsiTheme="minorHAnsi" w:cstheme="minorBidi"/>
                <w:kern w:val="2"/>
                <w:sz w:val="21"/>
                <w:szCs w:val="21"/>
                <w:lang w:val="en-US" w:eastAsia="zh-CN" w:bidi="ar-SA"/>
              </w:rPr>
            </w:pPr>
            <w:r>
              <w:rPr>
                <w:rFonts w:hint="eastAsia" w:ascii="Calibri" w:hAnsi="Calibri" w:eastAsia="宋体" w:cs="Calibri"/>
                <w:color w:val="333333"/>
                <w:szCs w:val="21"/>
                <w:lang w:val="en-US" w:eastAsia="zh-CN"/>
              </w:rPr>
              <w:t>0</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宋体" w:hAnsi="宋体" w:eastAsia="宋体"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1"/>
                <w:lang w:val="en-US" w:eastAsia="zh-CN" w:bidi="ar-SA"/>
              </w:rPr>
            </w:pPr>
            <w:r>
              <w:rPr>
                <w:rFonts w:hint="eastAsia" w:ascii="Calibri" w:hAnsi="Calibri" w:eastAsia="宋体" w:cs="Calibri"/>
                <w:color w:val="333333"/>
                <w:szCs w:val="21"/>
                <w:lang w:val="en-US" w:eastAsia="zh-CN"/>
              </w:rPr>
              <w:t>0</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第二十条第（五）项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szCs w:val="21"/>
                <w:lang w:val="en-US"/>
              </w:rPr>
            </w:pPr>
            <w:r>
              <w:rPr>
                <w:rFonts w:hint="eastAsia" w:ascii="宋体" w:hAnsi="宋体" w:eastAsia="宋体" w:cs="宋体"/>
                <w:color w:val="333333"/>
                <w:szCs w:val="21"/>
                <w:lang w:val="en-US" w:eastAsia="zh-CN"/>
              </w:rPr>
              <w:t>19</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第二十条第（六）项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本年处理决定数量</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Theme="minorEastAsia"/>
                <w:szCs w:val="21"/>
                <w:lang w:val="en-US" w:eastAsia="zh-CN"/>
              </w:rPr>
            </w:pPr>
            <w:r>
              <w:rPr>
                <w:rFonts w:hint="eastAsia" w:ascii="宋体" w:hAnsi="宋体" w:eastAsia="宋体" w:cs="宋体"/>
                <w:color w:val="333333"/>
                <w:szCs w:val="21"/>
                <w:lang w:val="en-US" w:eastAsia="zh-CN"/>
              </w:rPr>
              <w:t>2614</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szCs w:val="21"/>
                <w:lang w:val="en-US" w:eastAsia="zh-CN"/>
              </w:rPr>
            </w:pPr>
            <w:r>
              <w:rPr>
                <w:rFonts w:hint="eastAsia" w:ascii="宋体" w:hAnsi="宋体" w:eastAsia="宋体" w:cs="宋体"/>
                <w:color w:val="333333"/>
                <w:szCs w:val="21"/>
                <w:lang w:val="en-US" w:eastAsia="zh-CN"/>
              </w:rPr>
              <w:t>6</w:t>
            </w:r>
          </w:p>
        </w:tc>
      </w:tr>
      <w:tr>
        <w:tblPrEx>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第二十条第（八）项</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r>
              <w:rPr>
                <w:rFonts w:hint="eastAsia" w:ascii="宋体" w:hAnsi="宋体" w:eastAsia="宋体" w:cs="宋体"/>
                <w:color w:val="000000"/>
                <w:kern w:val="0"/>
                <w:szCs w:val="21"/>
              </w:rPr>
              <w:t>本年收费金额（单位：万元）</w:t>
            </w:r>
          </w:p>
        </w:tc>
      </w:tr>
      <w:tr>
        <w:tblPrEx>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szCs w:val="21"/>
              </w:rPr>
            </w:pPr>
            <w:r>
              <w:rPr>
                <w:rFonts w:hint="eastAsia" w:ascii="宋体" w:hAnsi="宋体" w:eastAsia="宋体" w:cs="宋体"/>
                <w:color w:val="000000"/>
                <w:kern w:val="0"/>
                <w:szCs w:val="21"/>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Cs w:val="21"/>
                <w:lang w:val="en-US" w:eastAsia="zh-CN"/>
              </w:rPr>
            </w:pPr>
            <w:r>
              <w:rPr>
                <w:rFonts w:hint="eastAsia" w:ascii="宋体" w:hAnsi="宋体" w:eastAsia="宋体" w:cs="宋体"/>
                <w:color w:val="333333"/>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三、收到和处理政府信息公开申请情况</w:t>
      </w:r>
    </w:p>
    <w:tbl>
      <w:tblPr>
        <w:tblStyle w:val="5"/>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57" w:type="dxa"/>
          <w:bottom w:w="0" w:type="dxa"/>
          <w:right w:w="57" w:type="dxa"/>
        </w:tblCellMar>
      </w:tblPr>
      <w:tblGrid>
        <w:gridCol w:w="668"/>
        <w:gridCol w:w="820"/>
        <w:gridCol w:w="2941"/>
        <w:gridCol w:w="610"/>
        <w:gridCol w:w="610"/>
        <w:gridCol w:w="610"/>
        <w:gridCol w:w="610"/>
        <w:gridCol w:w="610"/>
        <w:gridCol w:w="631"/>
        <w:gridCol w:w="6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r>
              <w:rPr>
                <w:rFonts w:hint="eastAsia" w:ascii="楷体" w:hAnsi="楷体" w:eastAsia="楷体" w:cs="楷体"/>
                <w:color w:val="333333"/>
                <w:kern w:val="0"/>
                <w:sz w:val="20"/>
                <w:szCs w:val="20"/>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商业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科研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color w:val="333333"/>
                <w:kern w:val="0"/>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color w:val="333333"/>
                <w:kern w:val="0"/>
                <w:szCs w:val="21"/>
                <w:lang w:val="en-US" w:eastAsia="zh-CN"/>
              </w:rPr>
              <w:t>1</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（三）不予公开</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1.属于国家秘密</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3.危及“三安全一稳定”</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4.保护第三方合法权益</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9</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5.属于三类内部事务信息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6.属于四类过程性信息</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7.属于行政执法案卷</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8.属于行政查询事项</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（四）无法提供</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3.补正后申请内容仍不明确</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（五）不予处理</w:t>
            </w:r>
          </w:p>
        </w:tc>
        <w:tc>
          <w:tcPr>
            <w:tcW w:w="1681"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1.信访举报投诉类申请</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single" w:color="auto" w:sz="8" w:space="0"/>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3.其他</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cstheme="minorEastAsia"/>
                <w:color w:val="333333"/>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358" w:type="pct"/>
            <w:tcBorders>
              <w:top w:val="nil"/>
              <w:left w:val="nil"/>
              <w:bottom w:val="single" w:color="auto" w:sz="8" w:space="0"/>
              <w:right w:val="single" w:color="auto" w:sz="8"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heme="minorEastAsia" w:hAnsiTheme="minorEastAsia" w:cstheme="minorEastAsia"/>
                <w:szCs w:val="21"/>
              </w:rPr>
            </w:pPr>
            <w:r>
              <w:rPr>
                <w:rFonts w:hint="eastAsia" w:asciiTheme="minorEastAsia" w:hAnsiTheme="minorEastAsia" w:cstheme="minorEastAsia"/>
                <w:color w:val="333333"/>
                <w:kern w:val="0"/>
                <w:szCs w:val="21"/>
              </w:rPr>
              <w:t>四、结转下年度继续办理</w:t>
            </w:r>
          </w:p>
        </w:tc>
        <w:tc>
          <w:tcPr>
            <w:tcW w:w="349" w:type="pct"/>
            <w:tcBorders>
              <w:top w:val="nil"/>
              <w:left w:val="nil"/>
              <w:bottom w:val="single" w:color="auto" w:sz="8" w:space="0"/>
              <w:right w:val="single" w:color="auto"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0</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四、政府信息公开行政复议、行政诉讼情况</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601"/>
        <w:gridCol w:w="601"/>
        <w:gridCol w:w="601"/>
        <w:gridCol w:w="612"/>
        <w:gridCol w:w="602"/>
        <w:gridCol w:w="602"/>
        <w:gridCol w:w="602"/>
        <w:gridCol w:w="602"/>
        <w:gridCol w:w="612"/>
        <w:gridCol w:w="602"/>
        <w:gridCol w:w="602"/>
        <w:gridCol w:w="602"/>
        <w:gridCol w:w="603"/>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行政复议</w:t>
            </w:r>
          </w:p>
        </w:tc>
        <w:tc>
          <w:tcPr>
            <w:tcW w:w="3333"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未经复议直接起诉</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color w:val="333333"/>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其他</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0"/>
                <w:szCs w:val="20"/>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结果</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宋体" w:hAnsi="宋体" w:eastAsia="宋体" w:cs="宋体"/>
                <w:color w:val="333333"/>
                <w:kern w:val="0"/>
                <w:sz w:val="20"/>
                <w:szCs w:val="20"/>
              </w:rPr>
              <w:t>尚未</w:t>
            </w:r>
            <w:r>
              <w:rPr>
                <w:rFonts w:hint="eastAsia" w:ascii="宋体" w:hAnsi="宋体" w:eastAsia="宋体" w:cs="宋体"/>
                <w:color w:val="333333"/>
                <w:kern w:val="0"/>
                <w:sz w:val="20"/>
                <w:szCs w:val="20"/>
              </w:rPr>
              <w:br w:type="textWrapping"/>
            </w:r>
            <w:r>
              <w:rPr>
                <w:rFonts w:hint="eastAsia" w:ascii="宋体" w:hAnsi="宋体" w:eastAsia="宋体" w:cs="宋体"/>
                <w:color w:val="333333"/>
                <w:kern w:val="0"/>
                <w:sz w:val="20"/>
                <w:szCs w:val="20"/>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bookmarkStart w:id="0" w:name="_GoBack"/>
            <w:r>
              <w:rPr>
                <w:rFonts w:hint="eastAsia" w:ascii="宋体" w:hAnsi="宋体" w:eastAsia="宋体" w:cs="宋体"/>
                <w:color w:val="000000"/>
                <w:kern w:val="0"/>
                <w:sz w:val="20"/>
                <w:szCs w:val="20"/>
              </w:rPr>
              <w:t>总计</w:t>
            </w:r>
          </w:p>
          <w:bookmarkEnd w:id="0"/>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lang w:val="en-US" w:eastAsia="zh-CN"/>
              </w:rPr>
            </w:pPr>
            <w:r>
              <w:rPr>
                <w:rFonts w:hint="eastAsia" w:ascii="黑体" w:hAnsi="宋体" w:eastAsia="黑体" w:cs="黑体"/>
                <w:color w:val="333333"/>
                <w:sz w:val="20"/>
                <w:szCs w:val="20"/>
                <w:lang w:val="en-US" w:eastAsia="zh-CN"/>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lang w:val="en-US" w:eastAsia="zh-CN"/>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1</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HAnsi" w:hAnsiTheme="minorHAnsi" w:eastAsiaTheme="minorEastAsia" w:cstheme="minorBidi"/>
                <w:kern w:val="2"/>
                <w:sz w:val="21"/>
                <w:szCs w:val="24"/>
                <w:lang w:val="en-US" w:eastAsia="zh-CN" w:bidi="ar-SA"/>
              </w:rPr>
            </w:pPr>
            <w:r>
              <w:rPr>
                <w:rFonts w:hint="eastAsia" w:ascii="黑体" w:hAnsi="宋体" w:eastAsia="黑体" w:cs="黑体"/>
                <w:color w:val="333333"/>
                <w:sz w:val="20"/>
                <w:szCs w:val="20"/>
                <w:lang w:val="en-US" w:eastAsia="zh-CN"/>
              </w:rPr>
              <w:t>1</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黑体" w:asciiTheme="minorHAnsi" w:hAnsiTheme="minorHAnsi" w:cstheme="minorBidi"/>
                <w:kern w:val="2"/>
                <w:sz w:val="21"/>
                <w:szCs w:val="24"/>
                <w:lang w:val="en-US" w:eastAsia="zh-CN" w:bidi="ar-SA"/>
              </w:rPr>
            </w:pPr>
            <w:r>
              <w:rPr>
                <w:rFonts w:hint="eastAsia" w:ascii="黑体" w:hAnsi="宋体" w:eastAsia="黑体" w:cs="黑体"/>
                <w:color w:val="333333"/>
                <w:sz w:val="20"/>
                <w:szCs w:val="20"/>
                <w:lang w:val="en-US" w:eastAsia="zh-CN"/>
              </w:rPr>
              <w:t>1</w:t>
            </w:r>
          </w:p>
        </w:tc>
      </w:tr>
    </w:tbl>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五、存在的主要问题及改进情况</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 w:eastAsia="仿宋_GB2312" w:cs="仿宋"/>
          <w:sz w:val="32"/>
          <w:szCs w:val="32"/>
          <w:lang w:val="en-US" w:eastAsia="zh-CN"/>
        </w:rPr>
        <w:t>2024年，</w:t>
      </w:r>
      <w:r>
        <w:rPr>
          <w:rFonts w:hint="eastAsia" w:ascii="仿宋_GB2312" w:hAnsi="仿宋" w:eastAsia="仿宋_GB2312" w:cs="仿宋"/>
          <w:kern w:val="2"/>
          <w:sz w:val="32"/>
          <w:szCs w:val="32"/>
          <w:lang w:val="en-US" w:eastAsia="zh-CN" w:bidi="ar-SA"/>
        </w:rPr>
        <w:t>国家税务总局武汉市蔡甸区税务局针对上一年度政府信息公开工作存在的问题，持续加强政务公开工作队伍建设，强化业务能力，加大业务培训和业务交流的力度，提高政府信息公开工作人员素质和规范化水平。但在工作中仍存在政府信息公开的推进力度不够，个别项目办理时效不够高的问题。2025年，国家税务总局武汉市蔡甸区税务局将从两个方面加强工作：一是提高信息公开工作时效，</w:t>
      </w:r>
      <w:r>
        <w:rPr>
          <w:rFonts w:hint="eastAsia" w:ascii="仿宋_GB2312" w:hAnsi="仿宋_GB2312" w:eastAsia="仿宋_GB2312" w:cs="仿宋_GB2312"/>
          <w:kern w:val="2"/>
          <w:sz w:val="32"/>
          <w:szCs w:val="32"/>
          <w:lang w:val="en-US" w:eastAsia="zh-CN" w:bidi="ar-SA"/>
        </w:rPr>
        <w:t>实时跟进工作落实情况，对于落实不及时的，加强提醒、强化督导，</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kern w:val="2"/>
          <w:sz w:val="32"/>
          <w:szCs w:val="32"/>
          <w:lang w:val="en-US" w:eastAsia="zh-CN" w:bidi="ar-SA"/>
        </w:rPr>
        <w:t>加大政府信息公开工作的推进力度</w:t>
      </w:r>
      <w:r>
        <w:rPr>
          <w:rFonts w:hint="eastAsia" w:ascii="仿宋_GB2312" w:hAnsi="仿宋_GB2312" w:eastAsia="仿宋_GB2312" w:cs="仿宋_GB2312"/>
          <w:color w:val="auto"/>
          <w:sz w:val="32"/>
          <w:szCs w:val="32"/>
          <w:lang w:val="en-US" w:eastAsia="zh-CN"/>
        </w:rPr>
        <w:t>。二是加强信息公开考评监督，结合税务部门工作实际，优化政府信息公开工作考核指标，不断提高</w:t>
      </w:r>
      <w:r>
        <w:rPr>
          <w:rFonts w:hint="eastAsia" w:ascii="仿宋_GB2312" w:hAnsi="仿宋_GB2312" w:eastAsia="仿宋_GB2312" w:cs="仿宋_GB2312"/>
          <w:color w:val="auto"/>
          <w:sz w:val="32"/>
          <w:szCs w:val="32"/>
          <w:lang w:eastAsia="zh-CN"/>
        </w:rPr>
        <w:t>政府</w:t>
      </w:r>
      <w:r>
        <w:rPr>
          <w:rFonts w:hint="eastAsia" w:ascii="仿宋_GB2312" w:hAnsi="仿宋_GB2312" w:eastAsia="仿宋_GB2312" w:cs="仿宋_GB2312"/>
          <w:color w:val="auto"/>
          <w:sz w:val="32"/>
          <w:szCs w:val="32"/>
          <w:lang w:val="en-US" w:eastAsia="zh-CN"/>
        </w:rPr>
        <w:t>信息公开工作水平。</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ascii="黑体" w:hAnsi="黑体" w:eastAsia="黑体" w:cs="黑体"/>
          <w:color w:val="333333"/>
          <w:sz w:val="32"/>
          <w:szCs w:val="32"/>
        </w:rPr>
      </w:pPr>
      <w:r>
        <w:rPr>
          <w:rFonts w:hint="eastAsia" w:ascii="黑体" w:hAnsi="黑体" w:eastAsia="黑体" w:cs="黑体"/>
          <w:color w:val="333333"/>
          <w:sz w:val="32"/>
          <w:szCs w:val="32"/>
        </w:rPr>
        <w:t>六、其他需要报告的事项</w:t>
      </w:r>
    </w:p>
    <w:p>
      <w:pPr>
        <w:pStyle w:val="4"/>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lang w:eastAsia="zh-CN"/>
        </w:rPr>
        <w:t>无</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35EA3"/>
    <w:rsid w:val="05196EFD"/>
    <w:rsid w:val="07B70E29"/>
    <w:rsid w:val="0BF33FFF"/>
    <w:rsid w:val="0D495EC7"/>
    <w:rsid w:val="0EF73AB6"/>
    <w:rsid w:val="111807EF"/>
    <w:rsid w:val="13002DE4"/>
    <w:rsid w:val="162F7C69"/>
    <w:rsid w:val="18451C8E"/>
    <w:rsid w:val="18A35EA3"/>
    <w:rsid w:val="191B6687"/>
    <w:rsid w:val="193E0A65"/>
    <w:rsid w:val="1B712E8A"/>
    <w:rsid w:val="1BD24608"/>
    <w:rsid w:val="1C65709D"/>
    <w:rsid w:val="1EBD5D72"/>
    <w:rsid w:val="215D0427"/>
    <w:rsid w:val="23D554DA"/>
    <w:rsid w:val="24EE4A2D"/>
    <w:rsid w:val="25F52C35"/>
    <w:rsid w:val="279A5677"/>
    <w:rsid w:val="2D783E1A"/>
    <w:rsid w:val="340060F9"/>
    <w:rsid w:val="349F73D8"/>
    <w:rsid w:val="36FB0344"/>
    <w:rsid w:val="383341D2"/>
    <w:rsid w:val="38DE193A"/>
    <w:rsid w:val="38E7436C"/>
    <w:rsid w:val="39403545"/>
    <w:rsid w:val="3B5409B4"/>
    <w:rsid w:val="3BDB26C6"/>
    <w:rsid w:val="45242C23"/>
    <w:rsid w:val="453362FB"/>
    <w:rsid w:val="45A47F9D"/>
    <w:rsid w:val="45D01237"/>
    <w:rsid w:val="45E640E1"/>
    <w:rsid w:val="46B475FA"/>
    <w:rsid w:val="4A97718D"/>
    <w:rsid w:val="4C9D28F2"/>
    <w:rsid w:val="4D0A721D"/>
    <w:rsid w:val="4E484BB8"/>
    <w:rsid w:val="4F3E4ACA"/>
    <w:rsid w:val="555878DE"/>
    <w:rsid w:val="568550E4"/>
    <w:rsid w:val="575975E8"/>
    <w:rsid w:val="57744D97"/>
    <w:rsid w:val="594F66BC"/>
    <w:rsid w:val="5C037FB1"/>
    <w:rsid w:val="5D8E4BC9"/>
    <w:rsid w:val="5F494A7D"/>
    <w:rsid w:val="5F654D49"/>
    <w:rsid w:val="600874F0"/>
    <w:rsid w:val="64FA3634"/>
    <w:rsid w:val="666544C1"/>
    <w:rsid w:val="66F90BAC"/>
    <w:rsid w:val="6973284C"/>
    <w:rsid w:val="6F4A270E"/>
    <w:rsid w:val="6F5C7DBB"/>
    <w:rsid w:val="78F741A6"/>
    <w:rsid w:val="7C31176B"/>
    <w:rsid w:val="7CDE27E3"/>
    <w:rsid w:val="7CFB159D"/>
    <w:rsid w:val="7EDB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jc w:val="left"/>
    </w:pPr>
    <w:rPr>
      <w:rFonts w:cs="Times New Roman"/>
      <w:kern w:val="0"/>
      <w:sz w:val="24"/>
    </w:rPr>
  </w:style>
  <w:style w:type="paragraph" w:customStyle="1" w:styleId="7">
    <w:name w:val="大标题"/>
    <w:basedOn w:val="1"/>
    <w:qFormat/>
    <w:uiPriority w:val="0"/>
    <w:pPr>
      <w:adjustRightInd w:val="0"/>
      <w:snapToGrid w:val="0"/>
      <w:spacing w:after="100" w:afterLines="100" w:line="360" w:lineRule="auto"/>
      <w:ind w:firstLine="640" w:firstLineChars="200"/>
      <w:jc w:val="center"/>
    </w:pPr>
    <w:rPr>
      <w:rFonts w:hint="eastAsia" w:ascii="仿宋_GB2312" w:hAnsi="仿宋_GB2312" w:eastAsia="方正小标宋简体" w:cs="仿宋_GB2312"/>
      <w:b/>
      <w:sz w:val="44"/>
      <w:szCs w:val="32"/>
    </w:rPr>
  </w:style>
  <w:style w:type="paragraph" w:customStyle="1" w:styleId="8">
    <w:name w:val="一级标题"/>
    <w:basedOn w:val="1"/>
    <w:qFormat/>
    <w:uiPriority w:val="0"/>
    <w:pPr>
      <w:adjustRightInd w:val="0"/>
      <w:snapToGrid w:val="0"/>
      <w:spacing w:line="360" w:lineRule="auto"/>
      <w:ind w:firstLine="640" w:firstLineChars="200"/>
    </w:pPr>
    <w:rPr>
      <w:rFonts w:hint="eastAsia" w:ascii="Calibri" w:hAnsi="Calibri" w:eastAsia="黑体" w:cs="Times New Roman"/>
      <w:sz w:val="32"/>
      <w:lang w:val="zh-CN"/>
    </w:rPr>
  </w:style>
  <w:style w:type="paragraph" w:customStyle="1" w:styleId="9">
    <w:name w:val="大标题1"/>
    <w:basedOn w:val="1"/>
    <w:qFormat/>
    <w:uiPriority w:val="0"/>
    <w:pPr>
      <w:spacing w:line="220" w:lineRule="atLeast"/>
    </w:pPr>
    <w:rPr>
      <w:rFonts w:ascii="Tahoma" w:hAnsi="Tahoma" w:eastAsia="方正小标宋简体"/>
      <w:sz w:val="44"/>
      <w:szCs w:val="22"/>
    </w:rPr>
  </w:style>
  <w:style w:type="paragraph" w:customStyle="1" w:styleId="10">
    <w:name w:val="二级标题"/>
    <w:basedOn w:val="1"/>
    <w:qFormat/>
    <w:uiPriority w:val="0"/>
    <w:pPr>
      <w:spacing w:line="560" w:lineRule="exact"/>
      <w:ind w:firstLine="643" w:firstLineChars="200"/>
    </w:pPr>
    <w:rPr>
      <w:rFonts w:hint="eastAsia" w:ascii="楷体_GB2312" w:hAnsi="楷体_GB2312" w:eastAsia="楷体_GB2312" w:cs="楷体_GB2312"/>
      <w:b/>
      <w:bCs/>
      <w:sz w:val="32"/>
      <w:szCs w:val="32"/>
      <w:lang w:val="zh-CN"/>
    </w:rPr>
  </w:style>
  <w:style w:type="paragraph" w:customStyle="1" w:styleId="11">
    <w:name w:val="三级标题"/>
    <w:basedOn w:val="1"/>
    <w:link w:val="13"/>
    <w:qFormat/>
    <w:uiPriority w:val="0"/>
    <w:pPr>
      <w:spacing w:line="560" w:lineRule="exact"/>
      <w:jc w:val="left"/>
    </w:pPr>
    <w:rPr>
      <w:rFonts w:hint="eastAsia" w:ascii="仿宋_GB2312" w:hAnsi="仿宋_GB2312" w:eastAsia="仿宋_GB2312" w:cs="仿宋_GB2312"/>
      <w:b/>
      <w:bCs/>
      <w:sz w:val="32"/>
      <w:szCs w:val="32"/>
      <w:u w:val="none"/>
    </w:rPr>
  </w:style>
  <w:style w:type="paragraph" w:customStyle="1" w:styleId="12">
    <w:name w:val="正文格式11"/>
    <w:basedOn w:val="1"/>
    <w:qFormat/>
    <w:uiPriority w:val="0"/>
    <w:pPr>
      <w:spacing w:line="560" w:lineRule="exact"/>
      <w:ind w:firstLine="440" w:firstLineChars="200"/>
      <w:jc w:val="left"/>
    </w:pPr>
    <w:rPr>
      <w:rFonts w:hint="eastAsia" w:ascii="方正小标宋简体" w:hAnsi="方正小标宋简体" w:eastAsia="仿宋_GB2312"/>
      <w:sz w:val="32"/>
      <w:szCs w:val="32"/>
    </w:rPr>
  </w:style>
  <w:style w:type="character" w:customStyle="1" w:styleId="13">
    <w:name w:val="三级标题 Char"/>
    <w:link w:val="11"/>
    <w:qFormat/>
    <w:uiPriority w:val="0"/>
    <w:rPr>
      <w:rFonts w:hint="eastAsia" w:ascii="仿宋_GB2312" w:hAnsi="仿宋_GB2312" w:eastAsia="仿宋_GB2312" w:cs="仿宋_GB2312"/>
      <w:b/>
      <w:bCs/>
      <w:sz w:val="32"/>
      <w:szCs w:val="32"/>
      <w:u w:val="none"/>
    </w:rPr>
  </w:style>
  <w:style w:type="paragraph" w:customStyle="1" w:styleId="14">
    <w:name w:val="1大标题"/>
    <w:basedOn w:val="1"/>
    <w:qFormat/>
    <w:uiPriority w:val="0"/>
    <w:pPr>
      <w:adjustRightInd w:val="0"/>
      <w:snapToGrid w:val="0"/>
      <w:spacing w:after="100" w:afterLines="100" w:line="560" w:lineRule="exact"/>
      <w:ind w:firstLine="640" w:firstLineChars="200"/>
      <w:jc w:val="center"/>
    </w:pPr>
    <w:rPr>
      <w:rFonts w:hint="eastAsia" w:ascii="仿宋_GB2312" w:hAnsi="仿宋_GB2312" w:eastAsia="方正小标宋简体" w:cs="仿宋_GB2312"/>
      <w:b/>
      <w:sz w:val="44"/>
      <w:szCs w:val="32"/>
    </w:rPr>
  </w:style>
  <w:style w:type="paragraph" w:customStyle="1" w:styleId="15">
    <w:name w:val="3二级标题"/>
    <w:basedOn w:val="1"/>
    <w:qFormat/>
    <w:uiPriority w:val="0"/>
    <w:pPr>
      <w:spacing w:line="560" w:lineRule="exact"/>
      <w:ind w:firstLine="643" w:firstLineChars="200"/>
    </w:pPr>
    <w:rPr>
      <w:rFonts w:hint="eastAsia" w:ascii="楷体_GB2312" w:hAnsi="楷体_GB2312" w:eastAsia="楷体_GB2312" w:cs="楷体_GB2312"/>
      <w:b/>
      <w:bCs/>
      <w:sz w:val="32"/>
      <w:szCs w:val="32"/>
      <w:lang w:val="zh-CN"/>
    </w:rPr>
  </w:style>
  <w:style w:type="paragraph" w:customStyle="1" w:styleId="16">
    <w:name w:val="2一级标题"/>
    <w:basedOn w:val="1"/>
    <w:qFormat/>
    <w:uiPriority w:val="0"/>
    <w:pPr>
      <w:adjustRightInd w:val="0"/>
      <w:snapToGrid w:val="0"/>
      <w:spacing w:line="560" w:lineRule="exact"/>
      <w:ind w:firstLine="640" w:firstLineChars="200"/>
    </w:pPr>
    <w:rPr>
      <w:rFonts w:hint="eastAsia" w:ascii="黑体" w:hAnsi="黑体" w:eastAsia="黑体" w:cs="黑体"/>
      <w:sz w:val="32"/>
      <w:szCs w:val="22"/>
      <w:lang w:val="zh-CN"/>
    </w:rPr>
  </w:style>
  <w:style w:type="paragraph" w:customStyle="1" w:styleId="17">
    <w:name w:val="5正文格式11"/>
    <w:basedOn w:val="1"/>
    <w:qFormat/>
    <w:uiPriority w:val="0"/>
    <w:pPr>
      <w:spacing w:line="560" w:lineRule="exact"/>
      <w:ind w:firstLine="440" w:firstLineChars="200"/>
      <w:jc w:val="left"/>
    </w:pPr>
    <w:rPr>
      <w:rFonts w:hint="eastAsia" w:ascii="仿宋_GB2312" w:hAnsi="仿宋_GB2312" w:eastAsia="仿宋_GB2312" w:cs="Arial"/>
      <w:sz w:val="32"/>
      <w:szCs w:val="32"/>
    </w:rPr>
  </w:style>
  <w:style w:type="paragraph" w:customStyle="1" w:styleId="18">
    <w:name w:val="4三级标题"/>
    <w:basedOn w:val="1"/>
    <w:qFormat/>
    <w:uiPriority w:val="0"/>
    <w:pPr>
      <w:spacing w:line="560" w:lineRule="exact"/>
      <w:jc w:val="left"/>
    </w:pPr>
    <w:rPr>
      <w:rFonts w:hint="eastAsia" w:ascii="仿宋_GB2312" w:hAnsi="仿宋_GB2312" w:eastAsia="仿宋_GB2312" w:cs="仿宋_GB2312"/>
      <w:b/>
      <w:bCs/>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2024-01-16T01:19:00Z</dcterms:created>
  <dc:creator>谢学勤</dc:creator>
  <cp:lastModifiedBy>谢学勤</cp:lastModifiedBy>
  <dcterms:modified xsi:type="dcterms:W3CDTF">2025-02-19T08:26:09Z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