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国家税务总局武汉市</w:t>
      </w:r>
      <w:r>
        <w:rPr>
          <w:rFonts w:hint="eastAsia" w:ascii="方正小标宋简体" w:hAnsi="方正小标宋简体" w:eastAsia="方正小标宋简体" w:cs="方正小标宋简体"/>
          <w:b w:val="0"/>
          <w:bCs w:val="0"/>
          <w:sz w:val="44"/>
          <w:szCs w:val="44"/>
          <w:lang w:eastAsia="zh-CN"/>
        </w:rPr>
        <w:t>蔡甸区</w:t>
      </w:r>
      <w:r>
        <w:rPr>
          <w:rFonts w:hint="eastAsia" w:ascii="方正小标宋简体" w:hAnsi="方正小标宋简体" w:eastAsia="方正小标宋简体" w:cs="方正小标宋简体"/>
          <w:b w:val="0"/>
          <w:bCs w:val="0"/>
          <w:sz w:val="44"/>
          <w:szCs w:val="44"/>
        </w:rPr>
        <w:t>税务局</w:t>
      </w:r>
    </w:p>
    <w:p>
      <w:pPr>
        <w:pStyle w:val="4"/>
        <w:keepNext w:val="0"/>
        <w:keepLines w:val="0"/>
        <w:pageBreakBefore w:val="0"/>
        <w:widowControl/>
        <w:kinsoku/>
        <w:wordWrap/>
        <w:overflowPunct/>
        <w:topLinePunct w:val="0"/>
        <w:autoSpaceDE/>
        <w:autoSpaceDN/>
        <w:bidi w:val="0"/>
        <w:adjustRightInd w:val="0"/>
        <w:snapToGrid w:val="0"/>
        <w:spacing w:after="157" w:afterLines="50" w:line="240" w:lineRule="auto"/>
        <w:jc w:val="center"/>
        <w:textAlignment w:val="auto"/>
        <w:rPr>
          <w:rFonts w:ascii="黑体" w:hAnsi="黑体" w:eastAsia="黑体" w:cs="黑体"/>
          <w:color w:val="333333"/>
          <w:sz w:val="32"/>
          <w:szCs w:val="32"/>
        </w:rPr>
      </w:pPr>
      <w:r>
        <w:rPr>
          <w:rFonts w:hint="eastAsia" w:ascii="方正小标宋简体" w:hAnsi="方正小标宋简体" w:eastAsia="方正小标宋简体" w:cs="方正小标宋简体"/>
          <w:b w:val="0"/>
          <w:bCs w:val="0"/>
          <w:sz w:val="44"/>
          <w:szCs w:val="44"/>
          <w:lang w:val="en-US" w:eastAsia="zh-CN"/>
        </w:rPr>
        <w:t>2023年</w:t>
      </w:r>
      <w:r>
        <w:rPr>
          <w:rFonts w:hint="eastAsia" w:ascii="方正小标宋简体" w:hAnsi="方正小标宋简体" w:eastAsia="方正小标宋简体" w:cs="方正小标宋简体"/>
          <w:b w:val="0"/>
          <w:bCs w:val="0"/>
          <w:sz w:val="44"/>
          <w:szCs w:val="44"/>
        </w:rPr>
        <w:t>政府信息公开工作年度报告</w:t>
      </w:r>
    </w:p>
    <w:p>
      <w:pPr>
        <w:pStyle w:val="4"/>
        <w:widowControl/>
        <w:spacing w:line="360" w:lineRule="auto"/>
        <w:ind w:firstLine="640" w:firstLineChars="200"/>
        <w:jc w:val="both"/>
        <w:rPr>
          <w:rFonts w:ascii="黑体" w:hAnsi="黑体" w:eastAsia="黑体" w:cs="黑体"/>
          <w:sz w:val="32"/>
          <w:szCs w:val="32"/>
        </w:rPr>
      </w:pPr>
      <w:r>
        <w:rPr>
          <w:rFonts w:hint="eastAsia" w:ascii="黑体" w:hAnsi="黑体" w:eastAsia="黑体" w:cs="黑体"/>
          <w:color w:val="333333"/>
          <w:sz w:val="32"/>
          <w:szCs w:val="32"/>
        </w:rPr>
        <w:t>一、总体情况</w:t>
      </w:r>
    </w:p>
    <w:p>
      <w:pPr>
        <w:pStyle w:val="4"/>
        <w:widowControl/>
        <w:spacing w:line="360" w:lineRule="auto"/>
        <w:ind w:firstLine="640" w:firstLineChars="200"/>
        <w:jc w:val="both"/>
        <w:rPr>
          <w:rFonts w:hint="eastAsia" w:ascii="仿宋_GB2312" w:hAnsi="仿宋" w:eastAsia="仿宋_GB2312" w:cs="仿宋"/>
          <w:color w:val="auto"/>
          <w:sz w:val="32"/>
          <w:szCs w:val="32"/>
        </w:rPr>
      </w:pPr>
      <w:r>
        <w:rPr>
          <w:rFonts w:hint="eastAsia" w:ascii="仿宋_GB2312" w:hAnsi="宋体" w:eastAsia="仿宋_GB2312" w:cs="宋体"/>
          <w:color w:val="auto"/>
          <w:kern w:val="0"/>
          <w:sz w:val="32"/>
          <w:szCs w:val="32"/>
          <w:lang w:val="en-US" w:eastAsia="zh-CN"/>
        </w:rPr>
        <w:t>2023年，国家税务总局</w:t>
      </w:r>
      <w:r>
        <w:rPr>
          <w:rFonts w:hint="eastAsia" w:ascii="仿宋_GB2312" w:hAnsi="宋体" w:eastAsia="仿宋_GB2312" w:cs="宋体"/>
          <w:color w:val="auto"/>
          <w:kern w:val="0"/>
          <w:sz w:val="32"/>
          <w:szCs w:val="32"/>
        </w:rPr>
        <w:t>武汉市蔡甸区税务局认真落实《中华人民共和国政府信息公开条例》《国家税务总局关于进一步加强税务系统政府信息公开工作的通知》等工作要求，结合单位实际，采取有效措施，全力推进政府信息公开工作，保障了公众知情权、参与权和监督权，增强了税务部门公信力和执行力。全年收到依申请政府信息公开</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件，未收到转办的政府信息公开申请，没有发生因信息公开或不公开引起的行政复议和提起行政诉讼情况，没有因信息公开工作被公众投诉或媒体曝光情况发生</w:t>
      </w:r>
      <w:r>
        <w:rPr>
          <w:rFonts w:hint="eastAsia" w:ascii="仿宋_GB2312" w:hAnsi="仿宋" w:eastAsia="仿宋_GB2312" w:cs="仿宋"/>
          <w:color w:val="auto"/>
          <w:sz w:val="32"/>
          <w:szCs w:val="32"/>
        </w:rPr>
        <w:t>。</w:t>
      </w:r>
    </w:p>
    <w:p>
      <w:pPr>
        <w:widowControl/>
        <w:shd w:val="clear" w:color="auto" w:fill="FFFFFF"/>
        <w:ind w:firstLine="480"/>
        <w:rPr>
          <w:rFonts w:ascii="仿宋_GB2312" w:hAnsi="宋体" w:eastAsia="仿宋_GB2312" w:cs="宋体"/>
          <w:color w:val="auto"/>
          <w:kern w:val="0"/>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政府信息主动公开情况</w:t>
      </w:r>
      <w:r>
        <w:rPr>
          <w:rFonts w:hint="eastAsia" w:ascii="楷体_GB2312" w:hAnsi="楷体_GB2312" w:eastAsia="楷体_GB2312" w:cs="楷体_GB2312"/>
          <w:sz w:val="32"/>
          <w:szCs w:val="32"/>
          <w:lang w:eastAsia="zh-CN"/>
        </w:rPr>
        <w:t>。</w:t>
      </w:r>
      <w:r>
        <w:rPr>
          <w:rFonts w:hint="eastAsia" w:ascii="仿宋_GB2312" w:hAnsi="宋体" w:eastAsia="仿宋_GB2312" w:cs="宋体"/>
          <w:color w:val="auto"/>
          <w:kern w:val="0"/>
          <w:sz w:val="32"/>
          <w:szCs w:val="32"/>
          <w:lang w:val="en-US" w:eastAsia="zh-CN"/>
        </w:rPr>
        <w:t>国家税务总局</w:t>
      </w:r>
      <w:r>
        <w:rPr>
          <w:rFonts w:hint="eastAsia" w:ascii="仿宋_GB2312" w:hAnsi="宋体" w:eastAsia="仿宋_GB2312" w:cs="宋体"/>
          <w:color w:val="auto"/>
          <w:kern w:val="0"/>
          <w:sz w:val="32"/>
          <w:szCs w:val="32"/>
        </w:rPr>
        <w:t>武汉市蔡甸区税务局通过武汉市税务局网页主动向社会公开领导简介、机构设置、主要职能、行业概况、税收政策法规、税收征管制度、办税指南等政府信息。区局依托办税服务厅，主动接受纳税人咨询，综合利用各类纳税辅导培训、宣传栏、电子显示屏等形式，及时公开税收政策、行政处罚、行政许可等各类信息，推进公开信息的电子化，降低纳税人查询成本，信息公开工作得到有序推进。</w:t>
      </w:r>
    </w:p>
    <w:p>
      <w:pPr>
        <w:widowControl/>
        <w:shd w:val="clear" w:color="auto" w:fill="FFFFFF"/>
        <w:ind w:firstLine="480"/>
        <w:rPr>
          <w:rFonts w:hint="eastAsia" w:ascii="仿宋_GB2312" w:hAnsi="仿宋" w:eastAsia="仿宋_GB2312" w:cs="仿宋"/>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政府信息依申请公开情况。</w:t>
      </w:r>
      <w:r>
        <w:rPr>
          <w:rFonts w:hint="eastAsia" w:ascii="仿宋_GB2312" w:hAnsi="仿宋" w:eastAsia="仿宋_GB2312" w:cs="仿宋"/>
          <w:sz w:val="32"/>
          <w:szCs w:val="32"/>
          <w:lang w:val="en-US" w:eastAsia="zh-CN"/>
        </w:rPr>
        <w:t>国家税务总局</w:t>
      </w:r>
      <w:r>
        <w:rPr>
          <w:rFonts w:hint="eastAsia" w:ascii="仿宋_GB2312" w:hAnsi="仿宋" w:eastAsia="仿宋_GB2312" w:cs="仿宋"/>
          <w:sz w:val="32"/>
          <w:szCs w:val="32"/>
        </w:rPr>
        <w:t>武汉市蔡甸区税务局</w:t>
      </w:r>
      <w:r>
        <w:rPr>
          <w:rFonts w:hint="eastAsia" w:ascii="仿宋_GB2312" w:hAnsi="仿宋" w:eastAsia="仿宋_GB2312" w:cs="仿宋"/>
          <w:sz w:val="32"/>
          <w:szCs w:val="32"/>
          <w:lang w:eastAsia="zh-CN"/>
        </w:rPr>
        <w:t>2023</w:t>
      </w:r>
      <w:r>
        <w:rPr>
          <w:rFonts w:hint="eastAsia" w:ascii="仿宋_GB2312" w:hAnsi="仿宋" w:eastAsia="仿宋_GB2312" w:cs="仿宋"/>
          <w:sz w:val="32"/>
          <w:szCs w:val="32"/>
        </w:rPr>
        <w:t>年收到依申请政府信息公开</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件，</w:t>
      </w:r>
      <w:r>
        <w:rPr>
          <w:rFonts w:hint="eastAsia" w:ascii="仿宋_GB2312" w:hAnsi="仿宋" w:eastAsia="仿宋_GB2312" w:cs="仿宋"/>
          <w:sz w:val="32"/>
          <w:szCs w:val="32"/>
          <w:lang w:eastAsia="zh-CN"/>
        </w:rPr>
        <w:t>根据</w:t>
      </w:r>
      <w:r>
        <w:rPr>
          <w:rFonts w:hint="default" w:ascii="仿宋_GB2312" w:hAnsi="仿宋" w:eastAsia="仿宋_GB2312" w:cs="仿宋"/>
          <w:sz w:val="32"/>
          <w:szCs w:val="32"/>
        </w:rPr>
        <w:t>《中华人民共和国政府信息公开条例》《税务机关政府信息公开申请办理规范》</w:t>
      </w:r>
      <w:r>
        <w:rPr>
          <w:rFonts w:hint="eastAsia" w:ascii="仿宋_GB2312" w:hAnsi="仿宋" w:eastAsia="仿宋_GB2312" w:cs="仿宋"/>
          <w:sz w:val="32"/>
          <w:szCs w:val="32"/>
          <w:lang w:eastAsia="zh-CN"/>
        </w:rPr>
        <w:t>依法依规</w:t>
      </w:r>
      <w:r>
        <w:rPr>
          <w:rFonts w:hint="eastAsia" w:ascii="仿宋_GB2312" w:eastAsia="仿宋_GB2312"/>
          <w:sz w:val="32"/>
          <w:szCs w:val="32"/>
        </w:rPr>
        <w:t>开展依申请公开工作</w:t>
      </w:r>
      <w:r>
        <w:rPr>
          <w:rFonts w:hint="eastAsia" w:ascii="仿宋_GB2312" w:eastAsia="仿宋_GB2312"/>
          <w:sz w:val="32"/>
          <w:szCs w:val="32"/>
          <w:lang w:eastAsia="zh-CN"/>
        </w:rPr>
        <w:t>，并按时办结</w:t>
      </w:r>
      <w:r>
        <w:rPr>
          <w:rFonts w:hint="eastAsia" w:ascii="仿宋_GB2312" w:hAnsi="仿宋" w:eastAsia="仿宋_GB2312" w:cs="仿宋"/>
          <w:sz w:val="32"/>
          <w:szCs w:val="32"/>
          <w:lang w:eastAsia="zh-CN"/>
        </w:rPr>
        <w:t>。</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（三）政府信息管理情况。</w:t>
      </w:r>
      <w:r>
        <w:rPr>
          <w:rFonts w:hint="eastAsia" w:ascii="仿宋_GB2312" w:hAnsi="仿宋" w:eastAsia="仿宋_GB2312" w:cs="仿宋"/>
          <w:kern w:val="2"/>
          <w:sz w:val="32"/>
          <w:szCs w:val="32"/>
          <w:lang w:val="en-US" w:eastAsia="zh-CN" w:bidi="ar-SA"/>
        </w:rPr>
        <w:t>国家税务总局武汉市蔡甸区税务局严格遵循依法、及时、高效的原则，在公文的产生过程中，同步确定其主动公开、依申请公开、不予公开三种属性，公文拟制部门根据公文内容，注明公文属性，办公室审核公文拟制部门确定的属性是否符合规定，确保公开事项填写的规范性。</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（四）政府信息公开平台建设情况</w:t>
      </w:r>
      <w:r>
        <w:rPr>
          <w:rFonts w:hint="eastAsia" w:ascii="仿宋_GB2312" w:hAnsi="仿宋" w:eastAsia="仿宋_GB2312" w:cs="仿宋"/>
          <w:kern w:val="2"/>
          <w:sz w:val="32"/>
          <w:szCs w:val="32"/>
          <w:lang w:val="en-US" w:eastAsia="zh-CN" w:bidi="ar-SA"/>
        </w:rPr>
        <w:t>。国家税务总局武汉市蔡甸区税务局依托武汉市税务局网站政府信息公开栏目开展政府信息公开公示，主动公示区局政府信息公开指南、政府信息公开年报、政府信息公开规程、委托代征管理办法及个体工商户定期定额公示信息，并及时进行更新。</w:t>
      </w:r>
    </w:p>
    <w:p>
      <w:pPr>
        <w:pStyle w:val="4"/>
        <w:widowControl/>
        <w:spacing w:line="360" w:lineRule="auto"/>
        <w:ind w:firstLine="640" w:firstLineChars="200"/>
        <w:jc w:val="both"/>
        <w:rPr>
          <w:rFonts w:hint="eastAsia" w:ascii="仿宋_GB2312" w:hAnsi="宋体" w:eastAsia="仿宋_GB2312" w:cs="宋体"/>
          <w:kern w:val="0"/>
          <w:sz w:val="32"/>
          <w:szCs w:val="32"/>
        </w:rPr>
      </w:pPr>
      <w:r>
        <w:rPr>
          <w:rFonts w:hint="eastAsia" w:ascii="楷体_GB2312" w:hAnsi="楷体_GB2312" w:eastAsia="楷体_GB2312" w:cs="楷体_GB2312"/>
          <w:kern w:val="2"/>
          <w:sz w:val="32"/>
          <w:szCs w:val="32"/>
          <w:lang w:val="en-US" w:eastAsia="zh-CN" w:bidi="ar-SA"/>
        </w:rPr>
        <w:t>（五）监督保障情况。</w:t>
      </w:r>
      <w:r>
        <w:rPr>
          <w:rFonts w:hint="eastAsia" w:ascii="仿宋_GB2312" w:hAnsi="仿宋" w:eastAsia="仿宋_GB2312" w:cs="仿宋"/>
          <w:sz w:val="32"/>
          <w:szCs w:val="32"/>
          <w:highlight w:val="none"/>
          <w:lang w:val="en-US" w:eastAsia="zh-CN"/>
        </w:rPr>
        <w:t>国家税务总局</w:t>
      </w:r>
      <w:r>
        <w:rPr>
          <w:rFonts w:hint="eastAsia" w:ascii="仿宋_GB2312" w:hAnsi="仿宋" w:eastAsia="仿宋_GB2312" w:cs="仿宋"/>
          <w:sz w:val="32"/>
          <w:szCs w:val="32"/>
          <w:highlight w:val="none"/>
        </w:rPr>
        <w:t>武汉市蔡甸区税务局</w:t>
      </w:r>
      <w:r>
        <w:rPr>
          <w:rFonts w:hint="eastAsia" w:ascii="仿宋_GB2312" w:hAnsi="宋体" w:eastAsia="仿宋_GB2312" w:cs="宋体"/>
          <w:kern w:val="0"/>
          <w:sz w:val="32"/>
          <w:szCs w:val="32"/>
          <w:highlight w:val="none"/>
        </w:rPr>
        <w:t>将</w:t>
      </w:r>
      <w:r>
        <w:rPr>
          <w:rFonts w:hint="eastAsia" w:ascii="仿宋_GB2312" w:hAnsi="宋体" w:eastAsia="仿宋_GB2312" w:cs="宋体"/>
          <w:kern w:val="0"/>
          <w:sz w:val="32"/>
          <w:szCs w:val="32"/>
        </w:rPr>
        <w:t>政府信息公开纳入绩效考核管理，科学设置指标，</w:t>
      </w:r>
      <w:r>
        <w:rPr>
          <w:rFonts w:hint="eastAsia" w:ascii="仿宋_GB2312" w:hAnsi="宋体" w:eastAsia="仿宋_GB2312" w:cs="宋体"/>
          <w:kern w:val="0"/>
          <w:sz w:val="32"/>
          <w:szCs w:val="32"/>
          <w:lang w:eastAsia="zh-CN"/>
        </w:rPr>
        <w:t>按年度开展考核考评，并</w:t>
      </w:r>
      <w:r>
        <w:rPr>
          <w:rFonts w:hint="eastAsia" w:ascii="仿宋_GB2312" w:hAnsi="宋体" w:eastAsia="仿宋_GB2312" w:cs="宋体"/>
          <w:kern w:val="0"/>
          <w:sz w:val="32"/>
          <w:szCs w:val="32"/>
        </w:rPr>
        <w:t>按期在</w:t>
      </w:r>
      <w:r>
        <w:rPr>
          <w:rFonts w:hint="eastAsia" w:ascii="仿宋_GB2312" w:hAnsi="宋体" w:eastAsia="仿宋_GB2312" w:cs="宋体"/>
          <w:color w:val="auto"/>
          <w:kern w:val="0"/>
          <w:sz w:val="32"/>
          <w:szCs w:val="32"/>
        </w:rPr>
        <w:t>武汉市税务局网页</w:t>
      </w:r>
      <w:r>
        <w:rPr>
          <w:rFonts w:hint="eastAsia" w:ascii="仿宋_GB2312" w:hAnsi="宋体" w:eastAsia="仿宋_GB2312" w:cs="宋体"/>
          <w:kern w:val="0"/>
          <w:sz w:val="32"/>
          <w:szCs w:val="32"/>
        </w:rPr>
        <w:t>发布政府信息公开年度工作报告。</w:t>
      </w:r>
      <w:r>
        <w:rPr>
          <w:rFonts w:hint="eastAsia" w:ascii="仿宋_GB2312" w:hAnsi="宋体" w:eastAsia="仿宋_GB2312" w:cs="宋体"/>
          <w:kern w:val="0"/>
          <w:sz w:val="32"/>
          <w:szCs w:val="32"/>
          <w:lang w:eastAsia="zh-CN"/>
        </w:rPr>
        <w:t>通过对蔡甸区税务局</w:t>
      </w:r>
      <w:r>
        <w:rPr>
          <w:rFonts w:hint="eastAsia" w:ascii="仿宋_GB2312" w:hAnsi="宋体" w:eastAsia="仿宋_GB2312" w:cs="宋体"/>
          <w:kern w:val="0"/>
          <w:sz w:val="32"/>
          <w:szCs w:val="32"/>
          <w:lang w:val="zh-CN"/>
        </w:rPr>
        <w:t>政府信息公开工作开展自查整改，</w:t>
      </w:r>
      <w:r>
        <w:rPr>
          <w:rFonts w:hint="eastAsia" w:ascii="仿宋_GB2312" w:hAnsi="宋体" w:eastAsia="仿宋_GB2312" w:cs="宋体"/>
          <w:kern w:val="0"/>
          <w:sz w:val="32"/>
          <w:szCs w:val="32"/>
          <w:lang w:val="zh-CN" w:eastAsia="zh-CN"/>
        </w:rPr>
        <w:t>进一步完善政府信息公开内容，</w:t>
      </w:r>
      <w:r>
        <w:rPr>
          <w:rFonts w:hint="eastAsia" w:ascii="仿宋_GB2312" w:hAnsi="宋体" w:eastAsia="仿宋_GB2312" w:cs="宋体"/>
          <w:kern w:val="0"/>
          <w:sz w:val="32"/>
          <w:szCs w:val="32"/>
          <w:lang w:val="en-US" w:eastAsia="zh-CN"/>
        </w:rPr>
        <w:t>规范政府信息公开查收和办理。</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二、主动公开政府信息情况</w:t>
      </w:r>
    </w:p>
    <w:tbl>
      <w:tblPr>
        <w:tblStyle w:val="5"/>
        <w:tblW w:w="5000" w:type="pct"/>
        <w:jc w:val="center"/>
        <w:tblLayout w:type="autofit"/>
        <w:tblCellMar>
          <w:top w:w="0" w:type="dxa"/>
          <w:left w:w="0" w:type="dxa"/>
          <w:bottom w:w="0" w:type="dxa"/>
          <w:right w:w="0" w:type="dxa"/>
        </w:tblCellMar>
      </w:tblPr>
      <w:tblGrid>
        <w:gridCol w:w="2239"/>
        <w:gridCol w:w="2240"/>
        <w:gridCol w:w="2240"/>
        <w:gridCol w:w="2240"/>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第二十条第（一）项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w:t>
            </w:r>
            <w:r>
              <w:rPr>
                <w:rFonts w:hint="eastAsia" w:ascii="宋体" w:hAnsi="宋体" w:eastAsia="宋体" w:cs="宋体"/>
                <w:color w:val="333333"/>
                <w:kern w:val="0"/>
                <w:szCs w:val="21"/>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现行有效件</w:t>
            </w:r>
            <w:r>
              <w:rPr>
                <w:rFonts w:hint="eastAsia" w:ascii="宋体" w:hAnsi="宋体" w:eastAsia="宋体" w:cs="宋体"/>
                <w:color w:val="333333"/>
                <w:kern w:val="0"/>
                <w:szCs w:val="21"/>
              </w:rPr>
              <w:t>数</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Calibri" w:hAnsi="Calibri" w:eastAsia="宋体" w:cs="Calibri"/>
                <w:color w:val="333333"/>
                <w:szCs w:val="21"/>
                <w:lang w:val="en-US" w:eastAsia="zh-CN"/>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Calibri" w:hAnsi="Calibri" w:eastAsia="宋体" w:cs="Calibri"/>
                <w:color w:val="333333"/>
                <w:szCs w:val="21"/>
                <w:lang w:val="en-US" w:eastAsia="zh-CN"/>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第二十条第（五）项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default"/>
                <w:szCs w:val="21"/>
                <w:lang w:val="en-US"/>
              </w:rPr>
            </w:pPr>
            <w:r>
              <w:rPr>
                <w:rFonts w:hint="eastAsia" w:ascii="宋体" w:hAnsi="宋体" w:eastAsia="宋体" w:cs="宋体"/>
                <w:color w:val="333333"/>
                <w:szCs w:val="21"/>
                <w:lang w:val="en-US" w:eastAsia="zh-CN"/>
              </w:rPr>
              <w:t>2185</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第二十条第（六）项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default" w:eastAsiaTheme="minorEastAsia"/>
                <w:szCs w:val="21"/>
                <w:lang w:val="en-US" w:eastAsia="zh-CN"/>
              </w:rPr>
            </w:pPr>
            <w:r>
              <w:rPr>
                <w:rFonts w:hint="eastAsia" w:ascii="宋体" w:hAnsi="宋体" w:eastAsia="宋体" w:cs="宋体"/>
                <w:color w:val="333333"/>
                <w:szCs w:val="21"/>
                <w:lang w:val="en-US" w:eastAsia="zh-CN"/>
              </w:rPr>
              <w:t>1523</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szCs w:val="21"/>
                <w:lang w:val="en-US" w:eastAsia="zh-CN"/>
              </w:rPr>
            </w:pPr>
            <w:r>
              <w:rPr>
                <w:rFonts w:hint="eastAsia" w:ascii="宋体" w:hAnsi="宋体" w:eastAsia="宋体" w:cs="宋体"/>
                <w:color w:val="333333"/>
                <w:szCs w:val="21"/>
                <w:lang w:val="en-US" w:eastAsia="zh-CN"/>
              </w:rPr>
              <w:t>5</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第二十条第（八）项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本年收费金额（单位：万元）</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Cs w:val="21"/>
                <w:lang w:val="en-US" w:eastAsia="zh-CN"/>
              </w:rPr>
            </w:pPr>
            <w:r>
              <w:rPr>
                <w:rFonts w:hint="eastAsia" w:ascii="宋体" w:hAnsi="宋体" w:eastAsia="宋体" w:cs="宋体"/>
                <w:color w:val="333333"/>
                <w:szCs w:val="21"/>
                <w:lang w:val="en-US" w:eastAsia="zh-CN"/>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三、收到和处理政府信息公开申请情况</w:t>
      </w:r>
    </w:p>
    <w:tbl>
      <w:tblPr>
        <w:tblStyle w:val="5"/>
        <w:tblW w:w="484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57" w:type="dxa"/>
          <w:bottom w:w="0" w:type="dxa"/>
          <w:right w:w="57" w:type="dxa"/>
        </w:tblCellMar>
      </w:tblPr>
      <w:tblGrid>
        <w:gridCol w:w="668"/>
        <w:gridCol w:w="820"/>
        <w:gridCol w:w="2941"/>
        <w:gridCol w:w="610"/>
        <w:gridCol w:w="610"/>
        <w:gridCol w:w="610"/>
        <w:gridCol w:w="610"/>
        <w:gridCol w:w="610"/>
        <w:gridCol w:w="631"/>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widowControl/>
              <w:spacing w:line="30" w:lineRule="atLeast"/>
              <w:jc w:val="left"/>
            </w:pPr>
            <w:r>
              <w:rPr>
                <w:rFonts w:hint="eastAsia" w:ascii="楷体" w:hAnsi="楷体" w:eastAsia="楷体" w:cs="楷体"/>
                <w:color w:val="333333"/>
                <w:kern w:val="0"/>
                <w:sz w:val="20"/>
                <w:szCs w:val="20"/>
              </w:rPr>
              <w:t>（本列数据的勾稽关系为：第一项加第二项之和，等于第三项加第四项之和）</w:t>
            </w:r>
          </w:p>
        </w:tc>
        <w:tc>
          <w:tcPr>
            <w:tcW w:w="2464" w:type="pct"/>
            <w:gridSpan w:val="7"/>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49" w:type="pct"/>
            <w:vMerge w:val="restar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自然人</w:t>
            </w:r>
          </w:p>
        </w:tc>
        <w:tc>
          <w:tcPr>
            <w:tcW w:w="1757" w:type="pct"/>
            <w:gridSpan w:val="5"/>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法人或其他组织</w:t>
            </w:r>
          </w:p>
        </w:tc>
        <w:tc>
          <w:tcPr>
            <w:tcW w:w="358" w:type="pct"/>
            <w:vMerge w:val="restart"/>
            <w:tcBorders>
              <w:top w:val="single" w:color="auto" w:sz="8" w:space="0"/>
              <w:left w:val="nil"/>
              <w:bottom w:val="outset" w:color="auto" w:sz="6"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49" w:type="pct"/>
            <w:vMerge w:val="continue"/>
            <w:tcBorders>
              <w:top w:val="nil"/>
              <w:left w:val="nil"/>
              <w:bottom w:val="single" w:color="auto" w:sz="8" w:space="0"/>
              <w:right w:val="single" w:color="auto" w:sz="8" w:space="0"/>
            </w:tcBorders>
            <w:shd w:val="clear" w:color="auto" w:fill="auto"/>
            <w:vAlign w:val="center"/>
          </w:tcPr>
          <w:p>
            <w:pPr>
              <w:jc w:val="left"/>
              <w:rPr>
                <w:rFonts w:ascii="宋体" w:hAnsi="宋体" w:eastAsia="宋体" w:cs="宋体"/>
                <w:color w:val="333333"/>
                <w:szCs w:val="21"/>
              </w:rPr>
            </w:pP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商业</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企业</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科研</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机构</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社会公益组织</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法律服务机构</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其他</w:t>
            </w:r>
          </w:p>
        </w:tc>
        <w:tc>
          <w:tcPr>
            <w:tcW w:w="358"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ascii="宋体" w:hAnsi="宋体" w:eastAsia="宋体" w:cs="宋体"/>
                <w:color w:val="333333"/>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一、本年新收政府信息公开申请数量</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8</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二、上年结转政府信息公开申请数量</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restart"/>
            <w:tcBorders>
              <w:top w:val="nil"/>
              <w:left w:val="single" w:color="auto" w:sz="8" w:space="0"/>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（一）予以公开</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（二）部分公开（区分处理的，只计这一情形，不计其他情形）</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（三）不予公开</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1.属于国家秘密</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2.其他法律行政法规禁止公开</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3.危及“三安全一稳定”</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4.保护第三方合法权益</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5.属于三类内部事务信息</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6.属于四类过程性信息</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7.属于行政执法案卷</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8.属于行政查询事项</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（四）无法提供</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1.本机关不掌握相关政府信息</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2.没有现成信息需要另行制作</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3.补正后申请内容仍不明确</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（五）不予处理</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1.信访举报投诉类申请</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3.要求提供公开出版物</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4.无正当理由大量反复申请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outset" w:color="auto" w:sz="6"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5.要求行政机关确认或重新出具已获取信息</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outset" w:color="auto" w:sz="6" w:space="0"/>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（六）其他处理</w:t>
            </w: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1.申请人无正当理由逾期不补正、行政机关不再处理其政府信息公开申请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2.申请人逾期未按收费通知要求缴纳费用、行政机关不再处理其政府信息公开申请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3.其他</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（七）总计</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四、结转下年度继续办理</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bl>
    <w:p>
      <w:pPr>
        <w:widowControl/>
        <w:spacing w:line="432" w:lineRule="auto"/>
        <w:jc w:val="both"/>
        <w:rPr>
          <w:rFonts w:ascii="宋体" w:hAnsi="宋体" w:eastAsia="宋体" w:cs="宋体"/>
          <w:color w:val="333333"/>
          <w:sz w:val="24"/>
        </w:rPr>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四、政府信息公开行政复议、行政诉讼情况</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601"/>
        <w:gridCol w:w="601"/>
        <w:gridCol w:w="601"/>
        <w:gridCol w:w="612"/>
        <w:gridCol w:w="602"/>
        <w:gridCol w:w="602"/>
        <w:gridCol w:w="602"/>
        <w:gridCol w:w="602"/>
        <w:gridCol w:w="612"/>
        <w:gridCol w:w="602"/>
        <w:gridCol w:w="602"/>
        <w:gridCol w:w="602"/>
        <w:gridCol w:w="603"/>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行政复议</w:t>
            </w:r>
          </w:p>
        </w:tc>
        <w:tc>
          <w:tcPr>
            <w:tcW w:w="3333"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未经复议直接起诉</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lang w:val="en-US" w:eastAsia="zh-CN"/>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lang w:val="en-US" w:eastAsia="zh-CN"/>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五、存在的主要问题及改进情况</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仿宋_GB2312" w:hAnsi="仿宋" w:eastAsia="仿宋_GB2312" w:cs="仿宋"/>
          <w:sz w:val="32"/>
          <w:szCs w:val="32"/>
          <w:lang w:val="en-US" w:eastAsia="zh-CN"/>
        </w:rPr>
        <w:t>2023年，</w:t>
      </w:r>
      <w:r>
        <w:rPr>
          <w:rFonts w:hint="eastAsia" w:ascii="仿宋_GB2312" w:hAnsi="仿宋" w:eastAsia="仿宋_GB2312" w:cs="仿宋"/>
          <w:kern w:val="2"/>
          <w:sz w:val="32"/>
          <w:szCs w:val="32"/>
          <w:lang w:val="en-US" w:eastAsia="zh-CN" w:bidi="ar-SA"/>
        </w:rPr>
        <w:t>国家税务总局武汉市蔡甸区税务局针对上一年度政府信息公开工作存在的问题，在加强工作规范、健全工作制度、强化监督检查、及时跟踪问效上下功夫，取得一定成效。但在工作中仍存在部分信息更新不够及时、政府信息公开工作力量有待加强的问题。2024年，国家税务总局武汉市蔡甸区税务局将从两个方面加强工作：一是充分认识做好政府信息公开工作的重要意义，加大对</w:t>
      </w:r>
      <w:r>
        <w:rPr>
          <w:rFonts w:hint="eastAsia" w:ascii="仿宋_GB2312" w:hAnsi="宋体" w:eastAsia="仿宋_GB2312" w:cs="宋体"/>
          <w:color w:val="auto"/>
          <w:kern w:val="0"/>
          <w:sz w:val="32"/>
          <w:szCs w:val="32"/>
        </w:rPr>
        <w:t>《中华人民共和国政府信息公开条例》《国家税务总局关于进一步加强税务系统政府信息公开工作的通知》</w:t>
      </w:r>
      <w:r>
        <w:rPr>
          <w:rFonts w:hint="eastAsia" w:ascii="仿宋_GB2312" w:hAnsi="宋体" w:eastAsia="仿宋_GB2312" w:cs="宋体"/>
          <w:color w:val="auto"/>
          <w:kern w:val="0"/>
          <w:sz w:val="32"/>
          <w:szCs w:val="32"/>
          <w:lang w:eastAsia="zh-CN"/>
        </w:rPr>
        <w:t>等</w:t>
      </w:r>
      <w:r>
        <w:rPr>
          <w:rFonts w:hint="eastAsia" w:ascii="仿宋_GB2312" w:hAnsi="仿宋" w:eastAsia="仿宋_GB2312" w:cs="仿宋"/>
          <w:kern w:val="2"/>
          <w:sz w:val="32"/>
          <w:szCs w:val="32"/>
          <w:lang w:val="en-US" w:eastAsia="zh-CN" w:bidi="ar-SA"/>
        </w:rPr>
        <w:t>政策法规的学习，提升对政策法规的理解和把握能力，转变思想观念，增强信息公开工作的主动性和自觉性。二是建强</w:t>
      </w:r>
      <w:r>
        <w:rPr>
          <w:rFonts w:hint="eastAsia" w:ascii="仿宋_GB2312" w:hAnsi="仿宋" w:eastAsia="仿宋_GB2312" w:cs="仿宋_GB2312"/>
          <w:sz w:val="32"/>
          <w:szCs w:val="32"/>
        </w:rPr>
        <w:t>信息公开联络员队伍</w:t>
      </w:r>
      <w:r>
        <w:rPr>
          <w:rFonts w:hint="eastAsia" w:ascii="仿宋_GB2312" w:hAnsi="仿宋" w:eastAsia="仿宋_GB2312" w:cs="仿宋"/>
          <w:kern w:val="2"/>
          <w:sz w:val="32"/>
          <w:szCs w:val="32"/>
          <w:lang w:val="en-US" w:eastAsia="zh-CN" w:bidi="ar-SA"/>
        </w:rPr>
        <w:t>，加强业务培训与交流，提升</w:t>
      </w:r>
      <w:r>
        <w:rPr>
          <w:rFonts w:hint="eastAsia" w:ascii="仿宋_GB2312" w:hAnsi="仿宋" w:eastAsia="仿宋_GB2312" w:cs="仿宋_GB2312"/>
          <w:sz w:val="32"/>
          <w:szCs w:val="32"/>
        </w:rPr>
        <w:t>信息公开联络员</w:t>
      </w:r>
      <w:r>
        <w:rPr>
          <w:rFonts w:hint="eastAsia" w:ascii="仿宋_GB2312" w:hAnsi="仿宋" w:eastAsia="仿宋_GB2312" w:cs="仿宋_GB2312"/>
          <w:sz w:val="32"/>
          <w:szCs w:val="32"/>
          <w:lang w:eastAsia="zh-CN"/>
        </w:rPr>
        <w:t>的信息采集、编辑能力，</w:t>
      </w:r>
      <w:r>
        <w:rPr>
          <w:rFonts w:hint="eastAsia" w:ascii="仿宋_GB2312" w:hAnsi="仿宋" w:eastAsia="仿宋_GB2312" w:cs="仿宋"/>
          <w:kern w:val="2"/>
          <w:sz w:val="32"/>
          <w:szCs w:val="32"/>
          <w:lang w:val="en-US" w:eastAsia="zh-CN" w:bidi="ar-SA"/>
        </w:rPr>
        <w:t>提高政府信息公开工作质量。</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line="360" w:lineRule="auto"/>
        <w:ind w:firstLine="640" w:firstLineChars="200"/>
        <w:jc w:val="both"/>
        <w:rPr>
          <w:rFonts w:hint="eastAsia" w:ascii="仿宋_GB2312" w:hAnsi="仿宋" w:eastAsia="仿宋_GB2312" w:cs="仿宋"/>
          <w:sz w:val="32"/>
          <w:szCs w:val="32"/>
          <w:lang w:eastAsia="zh-CN"/>
        </w:rPr>
      </w:pPr>
      <w:bookmarkStart w:id="0" w:name="_GoBack"/>
      <w:r>
        <w:rPr>
          <w:rFonts w:hint="eastAsia" w:ascii="仿宋_GB2312" w:hAnsi="仿宋" w:eastAsia="仿宋_GB2312" w:cs="仿宋"/>
          <w:sz w:val="32"/>
          <w:szCs w:val="32"/>
          <w:lang w:eastAsia="zh-CN"/>
        </w:rPr>
        <w:t>无</w:t>
      </w:r>
    </w:p>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35EA3"/>
    <w:rsid w:val="05196EFD"/>
    <w:rsid w:val="07B70E29"/>
    <w:rsid w:val="0BF33FFF"/>
    <w:rsid w:val="0D495EC7"/>
    <w:rsid w:val="0EF73AB6"/>
    <w:rsid w:val="18451C8E"/>
    <w:rsid w:val="18A35EA3"/>
    <w:rsid w:val="193E0A65"/>
    <w:rsid w:val="1B712E8A"/>
    <w:rsid w:val="1BD24608"/>
    <w:rsid w:val="215D0427"/>
    <w:rsid w:val="23D554DA"/>
    <w:rsid w:val="24EE4A2D"/>
    <w:rsid w:val="25F52C35"/>
    <w:rsid w:val="2D783E1A"/>
    <w:rsid w:val="36FB0344"/>
    <w:rsid w:val="383341D2"/>
    <w:rsid w:val="38E7436C"/>
    <w:rsid w:val="39403545"/>
    <w:rsid w:val="3B5409B4"/>
    <w:rsid w:val="3BDB26C6"/>
    <w:rsid w:val="453362FB"/>
    <w:rsid w:val="45A47F9D"/>
    <w:rsid w:val="45E640E1"/>
    <w:rsid w:val="46B475FA"/>
    <w:rsid w:val="4A97718D"/>
    <w:rsid w:val="4C9D28F2"/>
    <w:rsid w:val="4D0A721D"/>
    <w:rsid w:val="4E484BB8"/>
    <w:rsid w:val="568550E4"/>
    <w:rsid w:val="575975E8"/>
    <w:rsid w:val="5C037FB1"/>
    <w:rsid w:val="5D8E4BC9"/>
    <w:rsid w:val="5F494A7D"/>
    <w:rsid w:val="5F654D49"/>
    <w:rsid w:val="64FA3634"/>
    <w:rsid w:val="666544C1"/>
    <w:rsid w:val="66F90BAC"/>
    <w:rsid w:val="6973284C"/>
    <w:rsid w:val="6F4A270E"/>
    <w:rsid w:val="6F5C7DBB"/>
    <w:rsid w:val="78F741A6"/>
    <w:rsid w:val="7CDE27E3"/>
    <w:rsid w:val="7CFB159D"/>
    <w:rsid w:val="7EDB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方正小标宋简体" w:cs="Times New Roman"/>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jc w:val="left"/>
    </w:pPr>
    <w:rPr>
      <w:rFonts w:cs="Times New Roman"/>
      <w:kern w:val="0"/>
      <w:sz w:val="24"/>
    </w:rPr>
  </w:style>
  <w:style w:type="paragraph" w:customStyle="1" w:styleId="7">
    <w:name w:val="大标题"/>
    <w:basedOn w:val="1"/>
    <w:qFormat/>
    <w:uiPriority w:val="0"/>
    <w:pPr>
      <w:adjustRightInd w:val="0"/>
      <w:snapToGrid w:val="0"/>
      <w:spacing w:after="100" w:afterLines="100" w:line="360" w:lineRule="auto"/>
      <w:ind w:firstLine="640" w:firstLineChars="200"/>
      <w:jc w:val="center"/>
    </w:pPr>
    <w:rPr>
      <w:rFonts w:hint="eastAsia" w:ascii="仿宋_GB2312" w:hAnsi="仿宋_GB2312" w:eastAsia="方正小标宋简体" w:cs="仿宋_GB2312"/>
      <w:b/>
      <w:sz w:val="44"/>
      <w:szCs w:val="32"/>
    </w:rPr>
  </w:style>
  <w:style w:type="paragraph" w:customStyle="1" w:styleId="8">
    <w:name w:val="一级标题"/>
    <w:basedOn w:val="1"/>
    <w:qFormat/>
    <w:uiPriority w:val="0"/>
    <w:pPr>
      <w:adjustRightInd w:val="0"/>
      <w:snapToGrid w:val="0"/>
      <w:spacing w:line="360" w:lineRule="auto"/>
      <w:ind w:firstLine="640" w:firstLineChars="200"/>
    </w:pPr>
    <w:rPr>
      <w:rFonts w:hint="eastAsia" w:ascii="Calibri" w:hAnsi="Calibri" w:eastAsia="黑体" w:cs="Times New Roman"/>
      <w:sz w:val="32"/>
      <w:lang w:val="zh-CN"/>
    </w:rPr>
  </w:style>
  <w:style w:type="paragraph" w:customStyle="1" w:styleId="9">
    <w:name w:val="大标题1"/>
    <w:basedOn w:val="1"/>
    <w:qFormat/>
    <w:uiPriority w:val="0"/>
    <w:pPr>
      <w:spacing w:line="220" w:lineRule="atLeast"/>
    </w:pPr>
    <w:rPr>
      <w:rFonts w:ascii="Tahoma" w:hAnsi="Tahoma" w:eastAsia="方正小标宋简体"/>
      <w:sz w:val="44"/>
      <w:szCs w:val="22"/>
    </w:rPr>
  </w:style>
  <w:style w:type="paragraph" w:customStyle="1" w:styleId="10">
    <w:name w:val="二级标题"/>
    <w:basedOn w:val="1"/>
    <w:qFormat/>
    <w:uiPriority w:val="0"/>
    <w:pPr>
      <w:spacing w:line="560" w:lineRule="exact"/>
      <w:ind w:firstLine="643" w:firstLineChars="200"/>
    </w:pPr>
    <w:rPr>
      <w:rFonts w:hint="eastAsia" w:ascii="楷体_GB2312" w:hAnsi="楷体_GB2312" w:eastAsia="楷体_GB2312" w:cs="楷体_GB2312"/>
      <w:b/>
      <w:bCs/>
      <w:sz w:val="32"/>
      <w:szCs w:val="32"/>
      <w:lang w:val="zh-CN"/>
    </w:rPr>
  </w:style>
  <w:style w:type="paragraph" w:customStyle="1" w:styleId="11">
    <w:name w:val="三级标题"/>
    <w:basedOn w:val="1"/>
    <w:link w:val="13"/>
    <w:qFormat/>
    <w:uiPriority w:val="0"/>
    <w:pPr>
      <w:spacing w:line="560" w:lineRule="exact"/>
      <w:jc w:val="left"/>
    </w:pPr>
    <w:rPr>
      <w:rFonts w:hint="eastAsia" w:ascii="仿宋_GB2312" w:hAnsi="仿宋_GB2312" w:eastAsia="仿宋_GB2312" w:cs="仿宋_GB2312"/>
      <w:b/>
      <w:bCs/>
      <w:sz w:val="32"/>
      <w:szCs w:val="32"/>
      <w:u w:val="none"/>
    </w:rPr>
  </w:style>
  <w:style w:type="paragraph" w:customStyle="1" w:styleId="12">
    <w:name w:val="正文格式11"/>
    <w:basedOn w:val="1"/>
    <w:qFormat/>
    <w:uiPriority w:val="0"/>
    <w:pPr>
      <w:spacing w:line="560" w:lineRule="exact"/>
      <w:ind w:firstLine="440" w:firstLineChars="200"/>
      <w:jc w:val="left"/>
    </w:pPr>
    <w:rPr>
      <w:rFonts w:hint="eastAsia" w:ascii="方正小标宋简体" w:hAnsi="方正小标宋简体" w:eastAsia="仿宋_GB2312"/>
      <w:sz w:val="32"/>
      <w:szCs w:val="32"/>
    </w:rPr>
  </w:style>
  <w:style w:type="character" w:customStyle="1" w:styleId="13">
    <w:name w:val="三级标题 Char"/>
    <w:link w:val="11"/>
    <w:qFormat/>
    <w:uiPriority w:val="0"/>
    <w:rPr>
      <w:rFonts w:hint="eastAsia" w:ascii="仿宋_GB2312" w:hAnsi="仿宋_GB2312" w:eastAsia="仿宋_GB2312" w:cs="仿宋_GB2312"/>
      <w:b/>
      <w:bCs/>
      <w:sz w:val="32"/>
      <w:szCs w:val="32"/>
      <w:u w:val="none"/>
    </w:rPr>
  </w:style>
  <w:style w:type="paragraph" w:customStyle="1" w:styleId="14">
    <w:name w:val="1大标题"/>
    <w:basedOn w:val="1"/>
    <w:qFormat/>
    <w:uiPriority w:val="0"/>
    <w:pPr>
      <w:adjustRightInd w:val="0"/>
      <w:snapToGrid w:val="0"/>
      <w:spacing w:after="100" w:afterLines="100" w:line="560" w:lineRule="exact"/>
      <w:ind w:firstLine="640" w:firstLineChars="200"/>
      <w:jc w:val="center"/>
    </w:pPr>
    <w:rPr>
      <w:rFonts w:hint="eastAsia" w:ascii="仿宋_GB2312" w:hAnsi="仿宋_GB2312" w:eastAsia="方正小标宋简体" w:cs="仿宋_GB2312"/>
      <w:b/>
      <w:sz w:val="44"/>
      <w:szCs w:val="32"/>
    </w:rPr>
  </w:style>
  <w:style w:type="paragraph" w:customStyle="1" w:styleId="15">
    <w:name w:val="3二级标题"/>
    <w:basedOn w:val="1"/>
    <w:qFormat/>
    <w:uiPriority w:val="0"/>
    <w:pPr>
      <w:spacing w:line="560" w:lineRule="exact"/>
      <w:ind w:firstLine="643" w:firstLineChars="200"/>
    </w:pPr>
    <w:rPr>
      <w:rFonts w:hint="eastAsia" w:ascii="楷体_GB2312" w:hAnsi="楷体_GB2312" w:eastAsia="楷体_GB2312" w:cs="楷体_GB2312"/>
      <w:b/>
      <w:bCs/>
      <w:sz w:val="32"/>
      <w:szCs w:val="32"/>
      <w:lang w:val="zh-CN"/>
    </w:rPr>
  </w:style>
  <w:style w:type="paragraph" w:customStyle="1" w:styleId="16">
    <w:name w:val="2一级标题"/>
    <w:basedOn w:val="1"/>
    <w:qFormat/>
    <w:uiPriority w:val="0"/>
    <w:pPr>
      <w:adjustRightInd w:val="0"/>
      <w:snapToGrid w:val="0"/>
      <w:spacing w:line="560" w:lineRule="exact"/>
      <w:ind w:firstLine="640" w:firstLineChars="200"/>
    </w:pPr>
    <w:rPr>
      <w:rFonts w:hint="eastAsia" w:ascii="黑体" w:hAnsi="黑体" w:eastAsia="黑体" w:cs="黑体"/>
      <w:sz w:val="32"/>
      <w:szCs w:val="22"/>
      <w:lang w:val="zh-CN"/>
    </w:rPr>
  </w:style>
  <w:style w:type="paragraph" w:customStyle="1" w:styleId="17">
    <w:name w:val="5正文格式11"/>
    <w:basedOn w:val="1"/>
    <w:qFormat/>
    <w:uiPriority w:val="0"/>
    <w:pPr>
      <w:spacing w:line="560" w:lineRule="exact"/>
      <w:ind w:firstLine="440" w:firstLineChars="200"/>
      <w:jc w:val="left"/>
    </w:pPr>
    <w:rPr>
      <w:rFonts w:hint="eastAsia" w:ascii="仿宋_GB2312" w:hAnsi="仿宋_GB2312" w:eastAsia="仿宋_GB2312" w:cs="Arial"/>
      <w:sz w:val="32"/>
      <w:szCs w:val="32"/>
    </w:rPr>
  </w:style>
  <w:style w:type="paragraph" w:customStyle="1" w:styleId="18">
    <w:name w:val="4三级标题"/>
    <w:basedOn w:val="1"/>
    <w:qFormat/>
    <w:uiPriority w:val="0"/>
    <w:pPr>
      <w:spacing w:line="560" w:lineRule="exact"/>
      <w:jc w:val="left"/>
    </w:pPr>
    <w:rPr>
      <w:rFonts w:hint="eastAsia" w:ascii="仿宋_GB2312" w:hAnsi="仿宋_GB2312" w:eastAsia="仿宋_GB2312" w:cs="仿宋_GB2312"/>
      <w:b/>
      <w:bCs/>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2024-01-16T01:19:00Z</dcterms:created>
  <dc:creator>谢学勤</dc:creator>
  <cp:lastModifiedBy>谢学勤</cp:lastModifiedBy>
  <dcterms:modified xsi:type="dcterms:W3CDTF">2024-01-16T06:56:43Z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