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0"/>
        </w:tabs>
        <w:spacing w:line="440" w:lineRule="atLeast"/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附件2：</w:t>
      </w:r>
    </w:p>
    <w:p>
      <w:pPr>
        <w:widowControl/>
        <w:spacing w:before="240" w:beforeLines="100" w:line="510" w:lineRule="atLeast"/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湖北省主要污染物当量数</w:t>
      </w:r>
    </w:p>
    <w:bookmarkEnd w:id="0"/>
    <w:p>
      <w:pPr>
        <w:widowControl/>
        <w:spacing w:after="240" w:afterLines="100" w:line="510" w:lineRule="atLeast"/>
        <w:jc w:val="center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表1湖北省部分小型第三产业水污染物当量数表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4"/>
        <w:gridCol w:w="1161"/>
        <w:gridCol w:w="1389"/>
        <w:gridCol w:w="2545"/>
        <w:gridCol w:w="18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27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kern w:val="0"/>
                <w:sz w:val="24"/>
              </w:rPr>
              <w:t>行业类型</w:t>
            </w:r>
          </w:p>
        </w:tc>
        <w:tc>
          <w:tcPr>
            <w:tcW w:w="400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kern w:val="0"/>
                <w:sz w:val="24"/>
              </w:rPr>
              <w:t>特征指标</w:t>
            </w:r>
          </w:p>
        </w:tc>
        <w:tc>
          <w:tcPr>
            <w:tcW w:w="19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kern w:val="0"/>
                <w:sz w:val="24"/>
              </w:rPr>
              <w:t>污染当量数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8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餐饮业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营业面积（平方米）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100以下（含100）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70/月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100-300（含300）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230/月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300-500（含500）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470/月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500-1500（含1500）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1100/月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住宿业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床位（床）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6/月·床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8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洗染服务业（衣物类）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干洗机（台）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65/月·台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水洗机（台）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37/月·台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8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美容美发保健业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床位（张）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22/月·张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座位（个）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6/月·个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8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洗浴业（洗脚、泡澡）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床位（张）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15/月·张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座位（个）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20/月·个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衣柜（个）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4/月·个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8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汽车、摩托车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维修与保养业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提升机（台）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85/月·台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地沟（条）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43/月·条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水枪（支）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36/月·支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5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摄影扩印服务业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彩扩机（台）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70/月·台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7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小型医院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消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kern w:val="0"/>
                <w:sz w:val="24"/>
              </w:rPr>
              <w:t>毒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床位（床）（20床以下）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7/月·床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不消毒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床位（床）（20床以下）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14/月·床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869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备注：</w:t>
            </w:r>
          </w:p>
          <w:p>
            <w:pPr>
              <w:widowControl/>
              <w:spacing w:line="380" w:lineRule="atLeast"/>
              <w:ind w:firstLine="482" w:firstLineChars="200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餐饮业的营业面积可参照《消防意见审核书》的面积计算；其余行业的收费特征物按实际情况计算；</w:t>
            </w:r>
          </w:p>
        </w:tc>
      </w:tr>
    </w:tbl>
    <w:p>
      <w:pPr>
        <w:widowControl/>
        <w:spacing w:after="240" w:afterLines="100" w:line="510" w:lineRule="atLeast"/>
        <w:ind w:firstLine="629"/>
        <w:jc w:val="center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表2畜禽养殖业水污染物当量值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978"/>
        <w:gridCol w:w="1595"/>
        <w:gridCol w:w="43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6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kern w:val="0"/>
                <w:sz w:val="24"/>
              </w:rPr>
              <w:t>类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 xml:space="preserve">  </w:t>
            </w:r>
            <w:r>
              <w:rPr>
                <w:rFonts w:ascii="黑体" w:hAnsi="黑体" w:eastAsia="黑体" w:cs="宋体"/>
                <w:b/>
                <w:kern w:val="0"/>
                <w:sz w:val="24"/>
              </w:rPr>
              <w:t>型</w:t>
            </w:r>
          </w:p>
        </w:tc>
        <w:tc>
          <w:tcPr>
            <w:tcW w:w="16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kern w:val="0"/>
                <w:sz w:val="24"/>
              </w:rPr>
              <w:t>污染当量值</w:t>
            </w:r>
          </w:p>
        </w:tc>
        <w:tc>
          <w:tcPr>
            <w:tcW w:w="44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kern w:val="0"/>
                <w:sz w:val="24"/>
              </w:rPr>
              <w:t>规模标准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畜禽养殖场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羊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3只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仅对存栏规模大于100只羊的畜禽养殖场征收。</w:t>
            </w:r>
          </w:p>
        </w:tc>
      </w:tr>
    </w:tbl>
    <w:p>
      <w:pPr>
        <w:widowControl/>
        <w:spacing w:before="600" w:beforeLines="250" w:after="600" w:afterLines="250" w:line="510" w:lineRule="atLeast"/>
        <w:ind w:firstLine="629"/>
        <w:jc w:val="center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表3屠宰加工业水污染物当量数表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2"/>
        <w:gridCol w:w="2123"/>
        <w:gridCol w:w="2063"/>
        <w:gridCol w:w="19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kern w:val="0"/>
                <w:sz w:val="24"/>
              </w:rPr>
              <w:t>行业类型</w:t>
            </w:r>
          </w:p>
        </w:tc>
        <w:tc>
          <w:tcPr>
            <w:tcW w:w="21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kern w:val="0"/>
                <w:sz w:val="24"/>
              </w:rPr>
              <w:t>特征指标</w:t>
            </w:r>
          </w:p>
        </w:tc>
        <w:tc>
          <w:tcPr>
            <w:tcW w:w="20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kern w:val="0"/>
                <w:sz w:val="24"/>
              </w:rPr>
              <w:t>污染因子</w:t>
            </w:r>
          </w:p>
        </w:tc>
        <w:tc>
          <w:tcPr>
            <w:tcW w:w="1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kern w:val="0"/>
                <w:sz w:val="24"/>
              </w:rPr>
              <w:t>污染当量数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畜类屠宰加工企业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活屠量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污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kern w:val="0"/>
                <w:sz w:val="24"/>
              </w:rPr>
              <w:t>水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1.00/吨产品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禽类屠宰加工企业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活屠量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污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kern w:val="0"/>
                <w:sz w:val="24"/>
              </w:rPr>
              <w:t>水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2.25/吨产品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865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备注：畜、禽类屠宰加工企业的生产能力按屠宰畜、禽类活重能力计。</w:t>
            </w:r>
          </w:p>
        </w:tc>
      </w:tr>
    </w:tbl>
    <w:p>
      <w:pPr>
        <w:widowControl/>
        <w:spacing w:before="600" w:beforeLines="250" w:after="600" w:afterLines="250" w:line="510" w:lineRule="atLeast"/>
        <w:ind w:firstLine="629"/>
        <w:jc w:val="center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表4非金属露天矿山爆破当量数表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1682"/>
        <w:gridCol w:w="1285"/>
        <w:gridCol w:w="1735"/>
        <w:gridCol w:w="22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kern w:val="0"/>
                <w:sz w:val="24"/>
              </w:rPr>
              <w:t>行业类型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kern w:val="0"/>
                <w:sz w:val="24"/>
              </w:rPr>
              <w:t>特征指标</w:t>
            </w:r>
          </w:p>
        </w:tc>
        <w:tc>
          <w:tcPr>
            <w:tcW w:w="13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kern w:val="0"/>
                <w:sz w:val="24"/>
              </w:rPr>
              <w:t>污染因子</w:t>
            </w:r>
          </w:p>
        </w:tc>
        <w:tc>
          <w:tcPr>
            <w:tcW w:w="17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kern w:val="0"/>
                <w:sz w:val="24"/>
              </w:rPr>
              <w:t>污染控制措施</w:t>
            </w:r>
          </w:p>
        </w:tc>
        <w:tc>
          <w:tcPr>
            <w:tcW w:w="23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kern w:val="0"/>
                <w:sz w:val="24"/>
              </w:rPr>
              <w:t>污染当量数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矿山爆破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爆破矿石量</w:t>
            </w: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粉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kern w:val="0"/>
                <w:sz w:val="24"/>
              </w:rPr>
              <w:t>尘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湿式除尘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0.0011/吨矿石量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无措施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0.0028/吨矿石量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8696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备注：湿式除尘是指爆破过程采用水封、注水等方式除尘。</w:t>
            </w:r>
          </w:p>
        </w:tc>
      </w:tr>
    </w:tbl>
    <w:p>
      <w:pPr>
        <w:widowControl/>
        <w:spacing w:before="120" w:beforeLines="50" w:after="240" w:afterLines="100" w:line="510" w:lineRule="atLeast"/>
        <w:ind w:firstLine="629"/>
        <w:jc w:val="center"/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</w:p>
    <w:p>
      <w:pPr>
        <w:widowControl/>
        <w:spacing w:before="120" w:beforeLines="50" w:after="600" w:afterLines="250" w:line="510" w:lineRule="atLeast"/>
        <w:ind w:firstLine="629"/>
        <w:jc w:val="center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表5非金属矿堆场粉尘污染当量数表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492"/>
        <w:gridCol w:w="1270"/>
        <w:gridCol w:w="2199"/>
        <w:gridCol w:w="22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kern w:val="0"/>
                <w:sz w:val="24"/>
              </w:rPr>
              <w:t>类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 xml:space="preserve">  </w:t>
            </w:r>
            <w:r>
              <w:rPr>
                <w:rFonts w:ascii="黑体" w:hAnsi="黑体" w:eastAsia="黑体" w:cs="宋体"/>
                <w:b/>
                <w:kern w:val="0"/>
                <w:sz w:val="24"/>
              </w:rPr>
              <w:t>别</w:t>
            </w:r>
          </w:p>
        </w:tc>
        <w:tc>
          <w:tcPr>
            <w:tcW w:w="1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kern w:val="0"/>
                <w:sz w:val="24"/>
              </w:rPr>
              <w:t>特征指标</w:t>
            </w:r>
          </w:p>
        </w:tc>
        <w:tc>
          <w:tcPr>
            <w:tcW w:w="13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kern w:val="0"/>
                <w:sz w:val="24"/>
              </w:rPr>
              <w:t>污染因子</w:t>
            </w:r>
          </w:p>
        </w:tc>
        <w:tc>
          <w:tcPr>
            <w:tcW w:w="22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kern w:val="0"/>
                <w:sz w:val="24"/>
              </w:rPr>
              <w:t>污染控制措施</w:t>
            </w:r>
          </w:p>
        </w:tc>
        <w:tc>
          <w:tcPr>
            <w:tcW w:w="22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kern w:val="0"/>
                <w:sz w:val="24"/>
              </w:rPr>
              <w:t>污染当量数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堆场装卸</w:t>
            </w:r>
          </w:p>
        </w:tc>
        <w:tc>
          <w:tcPr>
            <w:tcW w:w="15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堆料装卸量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粉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kern w:val="0"/>
                <w:sz w:val="24"/>
              </w:rPr>
              <w:t>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三边用围挡遮围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0.41×10</w:t>
            </w:r>
            <w:r>
              <w:rPr>
                <w:rFonts w:ascii="仿宋" w:hAnsi="仿宋" w:eastAsia="仿宋" w:cs="宋体"/>
                <w:b/>
                <w:kern w:val="0"/>
                <w:sz w:val="24"/>
                <w:vertAlign w:val="superscript"/>
              </w:rPr>
              <w:t>-4</w:t>
            </w:r>
            <w:r>
              <w:rPr>
                <w:rFonts w:ascii="仿宋" w:hAnsi="仿宋" w:eastAsia="仿宋" w:cs="宋体"/>
                <w:b/>
                <w:kern w:val="0"/>
                <w:sz w:val="24"/>
              </w:rPr>
              <w:t>/吨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5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连续洒水操作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1.07×10</w:t>
            </w:r>
            <w:r>
              <w:rPr>
                <w:rFonts w:ascii="仿宋" w:hAnsi="仿宋" w:eastAsia="仿宋" w:cs="宋体"/>
                <w:b/>
                <w:kern w:val="0"/>
                <w:sz w:val="24"/>
                <w:vertAlign w:val="superscript"/>
              </w:rPr>
              <w:t>-4</w:t>
            </w:r>
            <w:r>
              <w:rPr>
                <w:rFonts w:ascii="仿宋" w:hAnsi="仿宋" w:eastAsia="仿宋" w:cs="宋体"/>
                <w:b/>
                <w:kern w:val="0"/>
                <w:sz w:val="24"/>
              </w:rPr>
              <w:t>/吨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5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无措施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4.12×10</w:t>
            </w:r>
            <w:r>
              <w:rPr>
                <w:rFonts w:ascii="仿宋" w:hAnsi="仿宋" w:eastAsia="仿宋" w:cs="宋体"/>
                <w:b/>
                <w:kern w:val="0"/>
                <w:sz w:val="24"/>
                <w:vertAlign w:val="superscript"/>
              </w:rPr>
              <w:t>-4</w:t>
            </w:r>
            <w:r>
              <w:rPr>
                <w:rFonts w:ascii="仿宋" w:hAnsi="仿宋" w:eastAsia="仿宋" w:cs="宋体"/>
                <w:b/>
                <w:kern w:val="0"/>
                <w:sz w:val="24"/>
              </w:rPr>
              <w:t>/吨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堆场风蚀</w:t>
            </w:r>
          </w:p>
        </w:tc>
        <w:tc>
          <w:tcPr>
            <w:tcW w:w="15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堆料表面积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粉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kern w:val="0"/>
                <w:sz w:val="24"/>
              </w:rPr>
              <w:t>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化学覆盖剂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0.15/平方米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5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编织布覆盖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0.28/平方米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5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定期洒水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0.61/平方米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5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无措施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1.26/平方米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873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备注：1.多种措施同时开展的，系数取最小值；</w:t>
            </w:r>
          </w:p>
          <w:p>
            <w:pPr>
              <w:widowControl/>
              <w:spacing w:line="400" w:lineRule="atLeast"/>
              <w:ind w:left="42" w:leftChars="20" w:firstLine="723" w:firstLineChars="300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2.化学覆盖剂指喷洒于物料堆上能使其表面形成固态薄膜的覆盖材料；</w:t>
            </w:r>
          </w:p>
          <w:p>
            <w:pPr>
              <w:widowControl/>
              <w:spacing w:line="400" w:lineRule="atLeast"/>
              <w:ind w:left="42" w:leftChars="20" w:firstLine="723" w:firstLineChars="300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3.本当量数表不适用于磷石膏堆场。</w:t>
            </w:r>
          </w:p>
        </w:tc>
      </w:tr>
    </w:tbl>
    <w:p>
      <w:pPr>
        <w:widowControl/>
        <w:spacing w:line="510" w:lineRule="atLeast"/>
        <w:ind w:firstLine="480"/>
        <w:jc w:val="left"/>
        <w:rPr>
          <w:rFonts w:ascii="仿宋" w:hAnsi="仿宋" w:eastAsia="仿宋" w:cs="宋体"/>
          <w:b/>
          <w:color w:val="333333"/>
          <w:kern w:val="0"/>
          <w:sz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其他堆（料）场粉尘污染当量数参照非金属矿堆场粉尘污染当量数确定（表5）。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C2B04"/>
    <w:rsid w:val="5B3C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2023-10-25T03:13:00Z</dcterms:created>
  <dc:creator>罗云</dc:creator>
  <cp:lastModifiedBy>罗云</cp:lastModifiedBy>
  <dcterms:modified xsi:type="dcterms:W3CDTF">2023-10-25T03:13:27Z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