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襄阳市</w:t>
      </w:r>
      <w:r>
        <w:rPr>
          <w:rFonts w:hint="eastAsia" w:ascii="华文中宋" w:hAnsi="华文中宋" w:eastAsia="华文中宋"/>
          <w:color w:val="auto"/>
          <w:sz w:val="48"/>
          <w:szCs w:val="48"/>
          <w:highlight w:val="none"/>
          <w:u w:val="none"/>
        </w:rPr>
        <w:t>税务局</w:t>
      </w:r>
      <w:r>
        <w:rPr>
          <w:rFonts w:hint="eastAsia" w:ascii="华文中宋" w:hAnsi="华文中宋" w:eastAsia="华文中宋"/>
          <w:color w:val="auto"/>
          <w:sz w:val="48"/>
          <w:szCs w:val="48"/>
          <w:highlight w:val="none"/>
          <w:u w:val="none"/>
          <w:lang w:eastAsia="zh-CN"/>
        </w:rPr>
        <w:t>第二</w:t>
      </w:r>
      <w:r>
        <w:rPr>
          <w:rFonts w:hint="eastAsia" w:ascii="华文中宋" w:hAnsi="华文中宋" w:eastAsia="华文中宋"/>
          <w:color w:val="auto"/>
          <w:sz w:val="48"/>
          <w:szCs w:val="48"/>
          <w:highlight w:val="none"/>
          <w:u w:val="none"/>
        </w:rPr>
        <w:t>稽查局</w:t>
      </w:r>
    </w:p>
    <w:p>
      <w:pPr>
        <w:pStyle w:val="5"/>
        <w:keepNext w:val="0"/>
        <w:keepLines w:val="0"/>
        <w:pageBreakBefore w:val="0"/>
        <w:kinsoku/>
        <w:wordWrap/>
        <w:overflowPunct/>
        <w:topLinePunct w:val="0"/>
        <w:autoSpaceDE/>
        <w:autoSpaceDN/>
        <w:bidi w:val="0"/>
        <w:adjustRightInd/>
        <w:snapToGrid/>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5"/>
        <w:keepNext w:val="0"/>
        <w:keepLines w:val="0"/>
        <w:pageBreakBefore w:val="0"/>
        <w:kinsoku/>
        <w:wordWrap/>
        <w:overflowPunct/>
        <w:topLinePunct w:val="0"/>
        <w:autoSpaceDE/>
        <w:autoSpaceDN/>
        <w:bidi w:val="0"/>
        <w:adjustRightInd/>
        <w:snapToGrid/>
        <w:textAlignment w:val="auto"/>
        <w:rPr>
          <w:rFonts w:hint="eastAsia" w:ascii="华文中宋" w:hAnsi="华文中宋" w:eastAsia="华文中宋"/>
          <w:color w:val="auto"/>
          <w:sz w:val="36"/>
          <w:szCs w:val="36"/>
          <w:highlight w:val="none"/>
          <w:u w:val="none"/>
          <w:lang w:eastAsia="zh-CN"/>
        </w:rPr>
      </w:pPr>
      <w:r>
        <w:rPr>
          <w:rFonts w:hint="eastAsia" w:ascii="华文中宋" w:hAnsi="华文中宋" w:eastAsia="华文中宋"/>
          <w:color w:val="auto"/>
          <w:sz w:val="36"/>
          <w:szCs w:val="36"/>
          <w:highlight w:val="none"/>
          <w:u w:val="none"/>
          <w:lang w:eastAsia="zh-CN"/>
        </w:rPr>
        <w:t>（重大税收违法失信主体确定适用）</w:t>
      </w:r>
    </w:p>
    <w:p>
      <w:pPr>
        <w:pStyle w:val="5"/>
        <w:keepNext w:val="0"/>
        <w:keepLines w:val="0"/>
        <w:pageBreakBefore w:val="0"/>
        <w:kinsoku/>
        <w:wordWrap/>
        <w:overflowPunct/>
        <w:topLinePunct w:val="0"/>
        <w:autoSpaceDE/>
        <w:autoSpaceDN/>
        <w:bidi w:val="0"/>
        <w:adjustRightInd/>
        <w:snapToGrid/>
        <w:textAlignment w:val="auto"/>
        <w:rPr>
          <w:rFonts w:ascii="仿宋_GB2312" w:hAnsi="仿宋" w:eastAsia="仿宋_GB2312"/>
          <w:b w:val="0"/>
          <w:color w:val="auto"/>
          <w:kern w:val="2"/>
          <w:highlight w:val="none"/>
          <w:u w:val="none"/>
        </w:rPr>
      </w:pPr>
      <w:r>
        <w:rPr>
          <w:rFonts w:hint="default" w:ascii="仿宋_GB2312" w:hAnsi="仿宋" w:eastAsia="仿宋_GB2312"/>
          <w:b w:val="0"/>
          <w:bCs/>
          <w:color w:val="auto"/>
          <w:spacing w:val="-20"/>
          <w:kern w:val="10"/>
          <w:highlight w:val="none"/>
          <w:u w:val="none"/>
          <w:lang w:val="en-US"/>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389890</wp:posOffset>
                </wp:positionV>
                <wp:extent cx="5643880" cy="6350"/>
                <wp:effectExtent l="0" t="20320" r="10160" b="3429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9.75pt;margin-top:30.7pt;height:0.5pt;width:444.4pt;z-index:251659264;mso-width-relative:page;mso-height-relative:page;" filled="f" stroked="t" coordsize="21600,21600" o:gfxdata="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WV4dgAAAAJAQAADwAAAAAAAAABACAAAAAiAAAAZHJz&#10;L2Rvd25yZXYueG1sUEsBAhQAFAAAAAgAh07iQPdRT8QEAgAA2gMAAA4AAAAAAAAAAQAgAAAAJwEA&#10;AGRycy9lMm9Eb2MueG1sUEsFBgAAAAAGAAYAWQEAAJ0FAAAAAA==&#10;">
                <v:fill on="f" focussize="0,0"/>
                <v:stroke weight="3.25pt" color="#000000" joinstyle="round"/>
                <v:imagedata o:title=""/>
                <o:lock v:ext="edit" aspectratio="f"/>
              </v:shape>
            </w:pict>
          </mc:Fallback>
        </mc:AlternateContent>
      </w:r>
      <w:r>
        <w:rPr>
          <w:rFonts w:hint="eastAsia" w:ascii="仿宋_GB2312" w:hAnsi="仿宋" w:eastAsia="仿宋_GB2312"/>
          <w:b w:val="0"/>
          <w:bCs/>
          <w:color w:val="auto"/>
          <w:spacing w:val="-20"/>
          <w:kern w:val="10"/>
          <w:highlight w:val="none"/>
          <w:u w:val="none"/>
          <w:lang w:val="en-US" w:eastAsia="zh-CN"/>
        </w:rPr>
        <w:t>襄</w:t>
      </w:r>
      <w:r>
        <w:rPr>
          <w:rFonts w:hint="default" w:ascii="仿宋_GB2312" w:hAnsi="仿宋" w:eastAsia="仿宋_GB2312"/>
          <w:b w:val="0"/>
          <w:bCs/>
          <w:color w:val="auto"/>
          <w:spacing w:val="-20"/>
          <w:kern w:val="10"/>
          <w:highlight w:val="none"/>
          <w:u w:val="none"/>
          <w:lang w:val="en-US"/>
        </w:rPr>
        <w:t>税</w:t>
      </w:r>
      <w:r>
        <w:rPr>
          <w:rFonts w:hint="eastAsia" w:ascii="仿宋_GB2312" w:hAnsi="仿宋" w:eastAsia="仿宋_GB2312"/>
          <w:b w:val="0"/>
          <w:bCs/>
          <w:color w:val="auto"/>
          <w:spacing w:val="-20"/>
          <w:kern w:val="10"/>
          <w:highlight w:val="none"/>
          <w:u w:val="none"/>
          <w:lang w:val="en-US" w:eastAsia="zh-CN"/>
        </w:rPr>
        <w:t>二</w:t>
      </w:r>
      <w:r>
        <w:rPr>
          <w:rFonts w:hint="default" w:ascii="仿宋_GB2312" w:hAnsi="仿宋" w:eastAsia="仿宋_GB2312"/>
          <w:b w:val="0"/>
          <w:bCs/>
          <w:color w:val="auto"/>
          <w:spacing w:val="-20"/>
          <w:kern w:val="10"/>
          <w:highlight w:val="none"/>
          <w:u w:val="none"/>
          <w:lang w:val="en-US"/>
        </w:rPr>
        <w:t>稽税通</w:t>
      </w:r>
      <w:r>
        <w:rPr>
          <w:rFonts w:hint="eastAsia" w:ascii="仿宋_GB2312" w:hAnsi="仿宋" w:eastAsia="仿宋_GB2312"/>
          <w:b w:val="0"/>
          <w:color w:val="auto"/>
          <w:kern w:val="2"/>
          <w:highlight w:val="none"/>
          <w:u w:val="none"/>
        </w:rPr>
        <w:t>〔</w:t>
      </w:r>
      <w:r>
        <w:rPr>
          <w:rFonts w:hint="eastAsia" w:ascii="仿宋_GB2312" w:hAnsi="仿宋" w:eastAsia="仿宋_GB2312"/>
          <w:b w:val="0"/>
          <w:color w:val="auto"/>
          <w:kern w:val="2"/>
          <w:highlight w:val="none"/>
          <w:u w:val="none"/>
          <w:lang w:val="en-US" w:eastAsia="zh-CN"/>
        </w:rPr>
        <w:t>2024</w:t>
      </w:r>
      <w:r>
        <w:rPr>
          <w:rFonts w:hint="eastAsia" w:ascii="仿宋_GB2312" w:hAnsi="仿宋" w:eastAsia="仿宋_GB2312"/>
          <w:b w:val="0"/>
          <w:color w:val="auto"/>
          <w:kern w:val="2"/>
          <w:highlight w:val="none"/>
          <w:u w:val="none"/>
        </w:rPr>
        <w:t>〕</w:t>
      </w:r>
      <w:r>
        <w:rPr>
          <w:rFonts w:hint="eastAsia" w:ascii="仿宋_GB2312" w:hAnsi="仿宋" w:eastAsia="仿宋_GB2312"/>
          <w:b w:val="0"/>
          <w:color w:val="auto"/>
          <w:kern w:val="2"/>
          <w:highlight w:val="none"/>
          <w:u w:val="none"/>
          <w:lang w:val="en-US" w:eastAsia="zh-CN"/>
        </w:rPr>
        <w:t>64</w:t>
      </w:r>
      <w:r>
        <w:rPr>
          <w:rFonts w:hint="eastAsia" w:ascii="仿宋_GB2312" w:hAnsi="仿宋" w:eastAsia="仿宋_GB2312"/>
          <w:b w:val="0"/>
          <w:color w:val="auto"/>
          <w:kern w:val="2"/>
          <w:highlight w:val="none"/>
          <w:u w:val="none"/>
        </w:rPr>
        <w:t>号</w:t>
      </w:r>
    </w:p>
    <w:p>
      <w:pPr>
        <w:keepNext w:val="0"/>
        <w:keepLines w:val="0"/>
        <w:pageBreakBefore w:val="0"/>
        <w:widowControl w:val="0"/>
        <w:kinsoku/>
        <w:wordWrap/>
        <w:overflowPunct/>
        <w:topLinePunct w:val="0"/>
        <w:autoSpaceDE/>
        <w:autoSpaceDN/>
        <w:bidi w:val="0"/>
        <w:adjustRightInd/>
        <w:snapToGrid/>
        <w:spacing w:before="156" w:beforeLines="50" w:line="520" w:lineRule="exact"/>
        <w:jc w:val="left"/>
        <w:textAlignment w:val="auto"/>
        <w:rPr>
          <w:rFonts w:hint="eastAsia"/>
          <w:lang w:eastAsia="zh-CN"/>
        </w:rPr>
      </w:pPr>
      <w:r>
        <w:rPr>
          <w:rFonts w:hint="eastAsia" w:ascii="仿宋_GB2312" w:hAnsi="仿宋_GB2312" w:eastAsia="仿宋_GB2312" w:cs="仿宋_GB2312"/>
          <w:color w:val="auto"/>
          <w:sz w:val="32"/>
          <w:highlight w:val="none"/>
          <w:u w:val="none"/>
          <w:lang w:eastAsia="zh-CN"/>
        </w:rPr>
        <w:t>襄阳易德顺商贸有限公司</w:t>
      </w:r>
      <w:r>
        <w:rPr>
          <w:rFonts w:hint="eastAsia" w:ascii="仿宋_GB2312" w:hAnsi="宋体" w:eastAsia="仿宋_GB2312"/>
          <w:color w:val="auto"/>
          <w:sz w:val="32"/>
          <w:szCs w:val="24"/>
          <w:highlight w:val="none"/>
          <w:u w:val="none"/>
        </w:rPr>
        <w:t>（</w:t>
      </w:r>
      <w:r>
        <w:rPr>
          <w:rFonts w:hint="eastAsia" w:ascii="仿宋_GB2312" w:hAnsi="宋体" w:eastAsia="仿宋_GB2312"/>
          <w:color w:val="auto"/>
          <w:sz w:val="32"/>
          <w:szCs w:val="24"/>
          <w:highlight w:val="none"/>
          <w:u w:val="none"/>
          <w:lang w:eastAsia="zh-CN"/>
        </w:rPr>
        <w:t>纳税人识别</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w:t>
      </w:r>
      <w:r>
        <w:rPr>
          <w:rFonts w:hint="eastAsia" w:ascii="仿宋_GB2312" w:hAnsi="宋体" w:eastAsia="仿宋_GB2312"/>
          <w:color w:val="auto"/>
          <w:sz w:val="32"/>
          <w:szCs w:val="24"/>
          <w:highlight w:val="none"/>
          <w:u w:val="none"/>
          <w:lang w:val="en-US" w:eastAsia="zh-CN"/>
        </w:rPr>
        <w:t>91420600MA497LAD8E</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_GB2312" w:hAnsi="宋体" w:eastAsia="仿宋_GB2312"/>
          <w:color w:val="auto"/>
          <w:sz w:val="32"/>
          <w:szCs w:val="24"/>
          <w:highlight w:val="none"/>
          <w:u w:val="none"/>
        </w:rPr>
      </w:pPr>
      <w:r>
        <w:rPr>
          <w:rFonts w:hint="eastAsia" w:ascii="仿宋_GB2312" w:hAnsi="宋体" w:eastAsia="仿宋_GB2312"/>
          <w:color w:val="auto"/>
          <w:sz w:val="32"/>
          <w:szCs w:val="24"/>
          <w:highlight w:val="none"/>
          <w:u w:val="none"/>
        </w:rPr>
        <w:t>事由</w:t>
      </w:r>
      <w:r>
        <w:rPr>
          <w:rFonts w:hint="eastAsia" w:ascii="仿宋_GB2312" w:hAnsi="宋体" w:eastAsia="仿宋_GB2312"/>
          <w:color w:val="auto"/>
          <w:sz w:val="32"/>
          <w:szCs w:val="24"/>
          <w:highlight w:val="none"/>
          <w:u w:val="none"/>
          <w:lang w:eastAsia="zh-CN"/>
        </w:rPr>
        <w:t>:将你单位确定为重大税收违法失信主体。</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rPr>
        <w:t>依据</w:t>
      </w:r>
      <w:r>
        <w:rPr>
          <w:rFonts w:hint="eastAsia" w:ascii="仿宋_GB2312" w:hAnsi="宋体" w:eastAsia="仿宋_GB2312"/>
          <w:color w:val="auto"/>
          <w:sz w:val="32"/>
          <w:szCs w:val="24"/>
          <w:highlight w:val="none"/>
          <w:u w:val="none"/>
          <w:lang w:eastAsia="zh-CN"/>
        </w:rPr>
        <w:t>:根据《重大税收违法失信主体信息公布管理办法》（国家税务总局令第54号）第十条等规定。</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_GB2312" w:hAnsi="宋体" w:eastAsia="仿宋_GB2312"/>
          <w:b/>
          <w:bCs/>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你单位符合《重大税收违法失信主体信息公布管理办法》（国家税务总局令第54号）第六条相关规定，我局将你单位确定为重大税收违法失信主体，向社会公布失信信息（详细信息见附件），将你单位失信信息在国家公共信用信息中心“信用中国”网站公示，并推送至参与联合惩戒部门依法依规采取惩戒措施，税务机关适用 D 级纳税人管理措施（由税务机关纳税信用管理部门按纳税信用相关制度执行）。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olor w:val="auto"/>
          <w:sz w:val="32"/>
          <w:szCs w:val="24"/>
          <w:highlight w:val="none"/>
          <w:u w:val="none"/>
          <w:lang w:eastAsia="zh-CN"/>
        </w:rPr>
      </w:pPr>
      <w:r>
        <w:rPr>
          <w:rFonts w:hint="eastAsia" w:ascii="仿宋_GB2312" w:hAnsi="宋体" w:eastAsia="仿宋_GB2312"/>
          <w:color w:val="auto"/>
          <w:sz w:val="32"/>
          <w:szCs w:val="24"/>
          <w:highlight w:val="none"/>
          <w:u w:val="none"/>
          <w:lang w:eastAsia="zh-CN"/>
        </w:rPr>
        <w:t>你单位如对本通知书不服，可以自收到本通知书之日起六十日内依法向</w:t>
      </w:r>
      <w:r>
        <w:rPr>
          <w:rFonts w:hint="eastAsia" w:ascii="仿宋_GB2312" w:hAnsi="宋体" w:eastAsia="仿宋_GB2312"/>
          <w:color w:val="auto"/>
          <w:sz w:val="32"/>
          <w:szCs w:val="24"/>
          <w:highlight w:val="none"/>
          <w:u w:val="none"/>
          <w:lang w:val="en-US" w:eastAsia="zh-CN"/>
        </w:rPr>
        <w:t>襄阳市</w:t>
      </w:r>
      <w:r>
        <w:rPr>
          <w:rFonts w:hint="eastAsia" w:ascii="仿宋_GB2312" w:hAnsi="宋体" w:eastAsia="仿宋_GB2312"/>
          <w:color w:val="auto"/>
          <w:sz w:val="32"/>
          <w:szCs w:val="24"/>
          <w:highlight w:val="none"/>
          <w:u w:val="none"/>
          <w:lang w:eastAsia="zh-CN"/>
        </w:rPr>
        <w:t>税务局申请行政复议，或者自收到本通知书之日起六个月内依法向人民法院起诉。</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ascii="仿宋_GB2312" w:hAnsi="宋体" w:eastAsia="仿宋_GB2312"/>
          <w:color w:val="auto"/>
          <w:sz w:val="32"/>
          <w:szCs w:val="24"/>
          <w:highlight w:val="none"/>
          <w:u w:val="none"/>
        </w:rPr>
      </w:pPr>
      <w:r>
        <w:rPr>
          <w:rFonts w:hint="eastAsia" w:ascii="仿宋_GB2312" w:hAnsi="宋体" w:eastAsia="仿宋_GB2312"/>
          <w:color w:val="auto"/>
          <w:sz w:val="32"/>
          <w:szCs w:val="24"/>
          <w:highlight w:val="none"/>
          <w:u w:val="none"/>
          <w:lang w:eastAsia="zh-CN"/>
        </w:rPr>
        <w:t>附件:公布的失信信息</w:t>
      </w:r>
      <w:r>
        <w:rPr>
          <w:rFonts w:ascii="仿宋_GB2312" w:hAnsi="宋体" w:eastAsia="仿宋_GB2312"/>
          <w:color w:val="auto"/>
          <w:sz w:val="32"/>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hint="eastAsia" w:ascii="仿宋_GB2312" w:hAnsi="宋体" w:eastAsia="仿宋_GB2312"/>
          <w:color w:val="auto"/>
          <w:sz w:val="32"/>
          <w:szCs w:val="24"/>
          <w:highlight w:val="none"/>
          <w:u w:val="none"/>
        </w:rPr>
      </w:pPr>
      <w:r>
        <w:rPr>
          <w:rFonts w:ascii="仿宋_GB2312" w:hAnsi="宋体" w:eastAsia="仿宋_GB2312"/>
          <w:color w:val="auto"/>
          <w:sz w:val="32"/>
          <w:szCs w:val="24"/>
          <w:highlight w:val="none"/>
          <w:u w:val="none"/>
        </w:rPr>
        <w:t xml:space="preserve">             </w:t>
      </w:r>
      <w:r>
        <w:rPr>
          <w:rFonts w:hint="eastAsia" w:ascii="仿宋_GB2312" w:hAnsi="宋体" w:eastAsia="仿宋_GB2312"/>
          <w:color w:val="auto"/>
          <w:sz w:val="32"/>
          <w:szCs w:val="24"/>
          <w:highlight w:val="none"/>
          <w:u w:val="none"/>
        </w:rPr>
        <w:t>国家税务总局</w:t>
      </w:r>
      <w:r>
        <w:rPr>
          <w:rFonts w:hint="eastAsia" w:ascii="仿宋_GB2312" w:hAnsi="宋体" w:eastAsia="仿宋_GB2312"/>
          <w:color w:val="auto"/>
          <w:sz w:val="32"/>
          <w:szCs w:val="24"/>
          <w:highlight w:val="none"/>
          <w:u w:val="none"/>
          <w:lang w:eastAsia="zh-CN"/>
        </w:rPr>
        <w:t>襄阳市</w:t>
      </w:r>
      <w:r>
        <w:rPr>
          <w:rFonts w:hint="eastAsia" w:ascii="仿宋_GB2312" w:hAnsi="宋体" w:eastAsia="仿宋_GB2312"/>
          <w:color w:val="auto"/>
          <w:sz w:val="32"/>
          <w:szCs w:val="24"/>
          <w:highlight w:val="none"/>
          <w:u w:val="none"/>
        </w:rPr>
        <w:t>税务局</w:t>
      </w:r>
      <w:r>
        <w:rPr>
          <w:rFonts w:hint="eastAsia" w:ascii="仿宋_GB2312" w:hAnsi="宋体" w:eastAsia="仿宋_GB2312"/>
          <w:color w:val="auto"/>
          <w:sz w:val="32"/>
          <w:szCs w:val="24"/>
          <w:highlight w:val="none"/>
          <w:u w:val="none"/>
          <w:lang w:eastAsia="zh-CN"/>
        </w:rPr>
        <w:t>第二</w:t>
      </w:r>
      <w:r>
        <w:rPr>
          <w:rFonts w:hint="eastAsia" w:ascii="仿宋_GB2312" w:hAnsi="宋体" w:eastAsia="仿宋_GB2312"/>
          <w:color w:val="auto"/>
          <w:sz w:val="32"/>
          <w:szCs w:val="24"/>
          <w:highlight w:val="none"/>
          <w:u w:val="none"/>
        </w:rPr>
        <w:t>稽查局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28"/>
          <w:szCs w:val="28"/>
          <w:highlight w:val="none"/>
          <w:u w:val="none"/>
          <w:lang w:eastAsia="zh-CN"/>
        </w:rPr>
      </w:pPr>
      <w:r>
        <w:rPr>
          <w:rFonts w:hint="eastAsia" w:ascii="仿宋_GB2312" w:hAnsi="宋体" w:eastAsia="仿宋_GB2312"/>
          <w:color w:val="auto"/>
          <w:sz w:val="32"/>
          <w:szCs w:val="24"/>
          <w:highlight w:val="none"/>
          <w:u w:val="none"/>
        </w:rPr>
        <w:t xml:space="preserve">                         </w:t>
      </w:r>
      <w:r>
        <w:rPr>
          <w:rFonts w:hint="eastAsia" w:ascii="仿宋_GB2312" w:hAnsi="宋体" w:eastAsia="仿宋_GB2312"/>
          <w:color w:val="auto"/>
          <w:sz w:val="32"/>
          <w:szCs w:val="24"/>
          <w:highlight w:val="none"/>
          <w:u w:val="none"/>
          <w:lang w:val="en-US" w:eastAsia="zh-CN"/>
        </w:rPr>
        <w:t>2024</w:t>
      </w:r>
      <w:r>
        <w:rPr>
          <w:rFonts w:hint="eastAsia" w:ascii="仿宋_GB2312" w:hAnsi="宋体" w:eastAsia="仿宋_GB2312"/>
          <w:color w:val="auto"/>
          <w:sz w:val="32"/>
          <w:szCs w:val="24"/>
          <w:highlight w:val="none"/>
          <w:u w:val="none"/>
        </w:rPr>
        <w:t>年</w:t>
      </w:r>
      <w:r>
        <w:rPr>
          <w:rFonts w:hint="eastAsia" w:ascii="仿宋_GB2312" w:hAnsi="宋体" w:eastAsia="仿宋_GB2312"/>
          <w:color w:val="auto"/>
          <w:sz w:val="32"/>
          <w:szCs w:val="24"/>
          <w:highlight w:val="none"/>
          <w:u w:val="none"/>
          <w:lang w:val="en-US" w:eastAsia="zh-CN"/>
        </w:rPr>
        <w:t>6</w:t>
      </w:r>
      <w:r>
        <w:rPr>
          <w:rFonts w:hint="eastAsia" w:ascii="仿宋_GB2312" w:hAnsi="宋体" w:eastAsia="仿宋_GB2312"/>
          <w:color w:val="auto"/>
          <w:sz w:val="32"/>
          <w:szCs w:val="24"/>
          <w:highlight w:val="none"/>
          <w:u w:val="none"/>
        </w:rPr>
        <w:t>月</w:t>
      </w:r>
      <w:r>
        <w:rPr>
          <w:rFonts w:hint="eastAsia" w:ascii="仿宋_GB2312" w:hAnsi="宋体" w:eastAsia="仿宋_GB2312"/>
          <w:color w:val="auto"/>
          <w:sz w:val="32"/>
          <w:szCs w:val="24"/>
          <w:highlight w:val="none"/>
          <w:u w:val="none"/>
          <w:lang w:val="en-US" w:eastAsia="zh-CN"/>
        </w:rPr>
        <w:t>5</w:t>
      </w:r>
      <w:r>
        <w:rPr>
          <w:rFonts w:hint="eastAsia" w:ascii="仿宋_GB2312" w:hAnsi="宋体" w:eastAsia="仿宋_GB2312"/>
          <w:color w:val="auto"/>
          <w:sz w:val="32"/>
          <w:szCs w:val="24"/>
          <w:highlight w:val="none"/>
          <w:u w:val="none"/>
        </w:rPr>
        <w:t>日</w:t>
      </w:r>
    </w:p>
    <w:p>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color w:val="auto"/>
          <w:sz w:val="28"/>
          <w:szCs w:val="28"/>
          <w:highlight w:val="none"/>
          <w:u w:val="none"/>
          <w:lang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color w:val="auto"/>
          <w:sz w:val="28"/>
          <w:szCs w:val="28"/>
          <w:highlight w:val="none"/>
          <w:u w:val="none"/>
          <w:lang w:eastAsia="zh-CN"/>
        </w:rPr>
      </w:pPr>
      <w:bookmarkStart w:id="0" w:name="_GoBack"/>
      <w:bookmarkEnd w:id="0"/>
      <w:r>
        <w:rPr>
          <w:rFonts w:hint="eastAsia" w:ascii="黑体" w:hAnsi="黑体" w:eastAsia="黑体" w:cs="黑体"/>
          <w:color w:val="auto"/>
          <w:sz w:val="28"/>
          <w:szCs w:val="28"/>
          <w:highlight w:val="none"/>
          <w:u w:val="none"/>
          <w:lang w:eastAsia="zh-CN"/>
        </w:rPr>
        <w:t>附件:</w:t>
      </w:r>
    </w:p>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b/>
          <w:bCs/>
          <w:color w:val="auto"/>
          <w:sz w:val="36"/>
          <w:szCs w:val="36"/>
          <w:highlight w:val="none"/>
          <w:u w:val="none"/>
          <w:lang w:eastAsia="zh-CN"/>
        </w:rPr>
      </w:pPr>
      <w:r>
        <w:rPr>
          <w:rFonts w:hint="eastAsia" w:ascii="仿宋" w:hAnsi="仿宋" w:eastAsia="仿宋" w:cs="仿宋"/>
          <w:b/>
          <w:bCs/>
          <w:color w:val="auto"/>
          <w:sz w:val="36"/>
          <w:szCs w:val="36"/>
          <w:highlight w:val="none"/>
          <w:u w:val="none"/>
          <w:lang w:eastAsia="zh-CN"/>
        </w:rPr>
        <w:t>拟公布的失信信息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纳税人名称:</w:t>
      </w:r>
      <w:r>
        <w:rPr>
          <w:rFonts w:hint="eastAsia" w:ascii="仿宋_GB2312" w:hAnsi="仿宋_GB2312" w:eastAsia="仿宋_GB2312" w:cs="仿宋_GB2312"/>
          <w:b w:val="0"/>
          <w:bCs w:val="0"/>
          <w:color w:val="auto"/>
          <w:sz w:val="32"/>
          <w:szCs w:val="32"/>
          <w:highlight w:val="none"/>
          <w:u w:val="none"/>
          <w:lang w:val="en-US" w:eastAsia="zh-CN"/>
        </w:rPr>
        <w:t xml:space="preserve"> 襄阳易德顺商贸有限公司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统一社会信用代码（纳税人识别号）:91420600MA497LAD8E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注册地址:襄阳市高新区长虹北路万达广场写字楼17层11号（住所申报）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法定代表人:杨豪，男，</w:t>
      </w:r>
      <w:r>
        <w:rPr>
          <w:rFonts w:hint="eastAsia" w:ascii="仿宋_GB2312" w:hAnsi="仿宋_GB2312" w:eastAsia="仿宋_GB2312" w:cs="仿宋_GB2312"/>
          <w:b w:val="0"/>
          <w:bCs w:val="0"/>
          <w:color w:val="000000"/>
          <w:sz w:val="32"/>
          <w:szCs w:val="32"/>
          <w:highlight w:val="none"/>
          <w:u w:val="none"/>
          <w:lang w:val="en-US" w:eastAsia="zh-CN"/>
        </w:rPr>
        <w:t>422802********6036</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案件性质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虚开增值税专用发票或者虚开用于骗取出口退税、抵扣税款的其他发票。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主要违法事实</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经国家税务总局襄阳市税务局第二稽查局检查，发现其在2019年1月1日至2023年4月30日期间，主要存在以下问题:让他人为自己开具与实际经营业务情况不符的增值税专用发票2份，金额4.9万元，税额0.6万元。为他人开具与实际经营业务情况不符的增值税专用发票20份，金额199万元，税额25.9万元。</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643" w:firstLineChars="200"/>
        <w:jc w:val="both"/>
        <w:textAlignment w:val="auto"/>
        <w:rPr>
          <w:rFonts w:hint="eastAsia" w:ascii="宋体" w:hAnsi="宋体" w:eastAsia="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相关法律依据及税务处理处罚情况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eastAsia="zh-CN"/>
        </w:rPr>
      </w:pPr>
      <w:r>
        <w:rPr>
          <w:rFonts w:hint="eastAsia" w:ascii="仿宋_GB2312" w:hAnsi="仿宋_GB2312" w:eastAsia="仿宋_GB2312" w:cs="仿宋_GB2312"/>
          <w:b w:val="0"/>
          <w:bCs w:val="0"/>
          <w:color w:val="auto"/>
          <w:sz w:val="32"/>
          <w:szCs w:val="32"/>
          <w:highlight w:val="none"/>
          <w:u w:val="none"/>
          <w:lang w:eastAsia="zh-CN"/>
        </w:rPr>
        <w:t>根据《国家税务总局关于走逃(失联）企业开具增值税专用发票认定处理有关问题的公告》相关规定，判定</w:t>
      </w:r>
      <w:r>
        <w:rPr>
          <w:rFonts w:hint="eastAsia" w:ascii="仿宋_GB2312" w:hAnsi="仿宋_GB2312" w:eastAsia="仿宋_GB2312" w:cs="仿宋_GB2312"/>
          <w:b w:val="0"/>
          <w:bCs w:val="0"/>
          <w:color w:val="auto"/>
          <w:sz w:val="32"/>
          <w:szCs w:val="32"/>
          <w:highlight w:val="none"/>
          <w:u w:val="none"/>
          <w:lang w:val="en-US" w:eastAsia="zh-CN"/>
        </w:rPr>
        <w:t>其</w:t>
      </w:r>
      <w:r>
        <w:rPr>
          <w:rFonts w:hint="eastAsia" w:ascii="仿宋_GB2312" w:hAnsi="仿宋_GB2312" w:eastAsia="仿宋_GB2312" w:cs="仿宋_GB2312"/>
          <w:b w:val="0"/>
          <w:bCs w:val="0"/>
          <w:color w:val="auto"/>
          <w:sz w:val="32"/>
          <w:szCs w:val="32"/>
          <w:highlight w:val="none"/>
          <w:u w:val="none"/>
          <w:lang w:eastAsia="zh-CN"/>
        </w:rPr>
        <w:t>为走逃（失联）企业。根据《最高人民检察院公安部关于公安机关管辖的刑事案件立案追诉标准的规定（二）》以及《行政执法机关移送涉嫌犯罪案件的规定》，</w:t>
      </w:r>
      <w:r>
        <w:rPr>
          <w:rFonts w:hint="eastAsia" w:ascii="仿宋_GB2312" w:hAnsi="仿宋_GB2312" w:eastAsia="仿宋_GB2312" w:cs="仿宋_GB2312"/>
          <w:b w:val="0"/>
          <w:bCs w:val="0"/>
          <w:color w:val="auto"/>
          <w:sz w:val="32"/>
          <w:szCs w:val="32"/>
          <w:highlight w:val="none"/>
          <w:u w:val="none"/>
          <w:lang w:val="en-US" w:eastAsia="zh-CN"/>
        </w:rPr>
        <w:t>该公司</w:t>
      </w:r>
      <w:r>
        <w:rPr>
          <w:rFonts w:hint="eastAsia" w:ascii="仿宋_GB2312" w:hAnsi="仿宋_GB2312" w:eastAsia="仿宋_GB2312" w:cs="仿宋_GB2312"/>
          <w:b w:val="0"/>
          <w:bCs w:val="0"/>
          <w:color w:val="auto"/>
          <w:sz w:val="32"/>
          <w:szCs w:val="32"/>
          <w:highlight w:val="none"/>
          <w:u w:val="none"/>
          <w:lang w:eastAsia="zh-CN"/>
        </w:rPr>
        <w:t>已涉嫌构成虚开增值税专用发票罪，此案已移送公安机关。</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6EBA"/>
    <w:multiLevelType w:val="singleLevel"/>
    <w:tmpl w:val="DBFB6E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62808"/>
    <w:rsid w:val="03216B90"/>
    <w:rsid w:val="0DCC3C4F"/>
    <w:rsid w:val="12084C43"/>
    <w:rsid w:val="341D1660"/>
    <w:rsid w:val="3A283ACC"/>
    <w:rsid w:val="3F567D8F"/>
    <w:rsid w:val="47213498"/>
    <w:rsid w:val="47D20654"/>
    <w:rsid w:val="5EFF0169"/>
    <w:rsid w:val="66342BAC"/>
    <w:rsid w:val="6AFE76DF"/>
    <w:rsid w:val="730E0859"/>
    <w:rsid w:val="731E749C"/>
    <w:rsid w:val="79B62808"/>
    <w:rsid w:val="7BED7DE8"/>
    <w:rsid w:val="8DF6C065"/>
    <w:rsid w:val="D5AFCA35"/>
    <w:rsid w:val="D9FB6063"/>
    <w:rsid w:val="FFDF7D01"/>
    <w:rsid w:val="FFDFCD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2023-05-17T09:07:00Z</dcterms:created>
  <dc:creator>guest</dc:creator>
  <cp:lastModifiedBy>贾丽洁</cp:lastModifiedBy>
  <cp:lastPrinted>2023-07-21T00:48:00Z</cp:lastPrinted>
  <dcterms:modified xsi:type="dcterms:W3CDTF">2024-07-05T08:40:59Z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