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150" w:afterAutospacing="0" w:line="450" w:lineRule="atLeast"/>
        <w:ind w:right="0"/>
        <w:rPr>
          <w:rFonts w:hint="eastAsia" w:ascii="黑体" w:hAnsi="黑体" w:eastAsia="黑体" w:cs="黑体"/>
          <w:sz w:val="32"/>
          <w:szCs w:val="32"/>
        </w:rPr>
      </w:pPr>
      <w:r>
        <w:rPr>
          <w:rFonts w:hint="eastAsia" w:ascii="黑体" w:hAnsi="黑体" w:eastAsia="黑体" w:cs="黑体"/>
          <w:color w:val="333333"/>
          <w:sz w:val="32"/>
          <w:szCs w:val="32"/>
        </w:rPr>
        <w:t>附件 </w:t>
      </w:r>
    </w:p>
    <w:p>
      <w:pPr>
        <w:jc w:val="center"/>
        <w:rPr>
          <w:rFonts w:hint="eastAsia" w:ascii="宋体" w:hAnsi="宋体" w:eastAsia="宋体"/>
          <w:b/>
          <w:color w:val="000000"/>
          <w:spacing w:val="20"/>
          <w:sz w:val="40"/>
          <w:szCs w:val="40"/>
          <w:lang w:eastAsia="zh-CN"/>
        </w:rPr>
      </w:pPr>
      <w:bookmarkStart w:id="0" w:name="xgswjg"/>
      <w:bookmarkEnd w:id="0"/>
      <w:bookmarkStart w:id="1" w:name="swjgmc"/>
      <w:bookmarkEnd w:id="1"/>
      <w:bookmarkStart w:id="14" w:name="_GoBack"/>
      <w:r>
        <w:rPr>
          <w:rFonts w:hint="eastAsia" w:ascii="宋体" w:hAnsi="宋体"/>
          <w:b/>
          <w:color w:val="000000"/>
          <w:spacing w:val="20"/>
          <w:sz w:val="40"/>
          <w:szCs w:val="40"/>
          <w:lang w:eastAsia="zh-CN"/>
        </w:rPr>
        <w:t>国家税务总局洪湖市税务局新滩税务分局</w:t>
      </w:r>
    </w:p>
    <w:p>
      <w:pPr>
        <w:jc w:val="center"/>
        <w:rPr>
          <w:rFonts w:hint="eastAsia" w:ascii="宋体" w:hAnsi="宋体"/>
          <w:b/>
          <w:color w:val="000000"/>
          <w:spacing w:val="20"/>
          <w:sz w:val="48"/>
          <w:szCs w:val="48"/>
        </w:rPr>
      </w:pPr>
      <w:r>
        <w:rPr>
          <w:rFonts w:hint="eastAsia" w:ascii="宋体" w:hAnsi="宋体"/>
          <w:b/>
          <w:color w:val="000000"/>
          <w:spacing w:val="20"/>
          <w:sz w:val="48"/>
          <w:szCs w:val="48"/>
        </w:rPr>
        <w:t>税务事项通知书</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仿宋" w:hAnsi="仿宋" w:eastAsia="仿宋" w:cs="仿宋"/>
          <w:color w:val="000000"/>
          <w:spacing w:val="20"/>
          <w:sz w:val="32"/>
          <w:lang w:eastAsia="zh-CN"/>
        </w:rPr>
      </w:pPr>
      <w:r>
        <w:rPr>
          <w:rFonts w:hint="eastAsia" w:ascii="仿宋" w:hAnsi="仿宋" w:eastAsia="仿宋" w:cs="仿宋"/>
          <w:color w:val="000000"/>
          <w:spacing w:val="20"/>
          <w:sz w:val="32"/>
          <w:lang w:eastAsia="zh-CN"/>
        </w:rPr>
        <w:t>洪税滩通〔2024〕70号</w:t>
      </w:r>
    </w:p>
    <w:bookmarkEnd w:id="14"/>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spacing w:val="20"/>
          <w:sz w:val="32"/>
        </w:rPr>
      </w:pPr>
    </w:p>
    <w:p>
      <w:pPr>
        <w:keepNext w:val="0"/>
        <w:keepLines w:val="0"/>
        <w:pageBreakBefore w:val="0"/>
        <w:kinsoku/>
        <w:wordWrap/>
        <w:overflowPunct/>
        <w:topLinePunct w:val="0"/>
        <w:autoSpaceDE/>
        <w:autoSpaceDN/>
        <w:bidi w:val="0"/>
        <w:adjustRightInd/>
        <w:snapToGrid/>
        <w:spacing w:line="600" w:lineRule="exact"/>
        <w:ind w:firstLine="0"/>
        <w:jc w:val="left"/>
        <w:textAlignment w:val="auto"/>
        <w:rPr>
          <w:rFonts w:hint="eastAsia" w:ascii="仿宋" w:hAnsi="仿宋" w:eastAsia="仿宋" w:cs="仿宋"/>
          <w:sz w:val="32"/>
          <w:szCs w:val="22"/>
          <w:lang w:eastAsia="zh-CN"/>
        </w:rPr>
      </w:pPr>
      <w:bookmarkStart w:id="2" w:name="nsrmc"/>
      <w:bookmarkEnd w:id="2"/>
      <w:r>
        <w:rPr>
          <w:rFonts w:hint="eastAsia" w:ascii="仿宋" w:hAnsi="仿宋" w:eastAsia="仿宋" w:cs="仿宋"/>
          <w:sz w:val="32"/>
          <w:szCs w:val="22"/>
          <w:lang w:eastAsia="zh-CN"/>
        </w:rPr>
        <w:t>湖北联合方程式摩擦材料有限公司：（纳税人识别号：421083695119023）</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lang w:eastAsia="zh-CN"/>
        </w:rPr>
      </w:pPr>
      <w:r>
        <w:rPr>
          <w:rFonts w:hint="eastAsia" w:ascii="仿宋" w:hAnsi="仿宋" w:eastAsia="仿宋" w:cs="仿宋"/>
          <w:color w:val="000000"/>
          <w:sz w:val="32"/>
        </w:rPr>
        <w:t>事由：</w:t>
      </w:r>
      <w:bookmarkStart w:id="3" w:name="sy"/>
      <w:bookmarkEnd w:id="3"/>
      <w:r>
        <w:rPr>
          <w:rFonts w:hint="eastAsia" w:ascii="仿宋" w:hAnsi="仿宋" w:eastAsia="仿宋" w:cs="仿宋"/>
          <w:color w:val="000000"/>
          <w:sz w:val="32"/>
          <w:lang w:eastAsia="zh-CN"/>
        </w:rPr>
        <w:t>责令限期缴纳税款</w:t>
      </w:r>
    </w:p>
    <w:p>
      <w:pPr>
        <w:pStyle w:val="19"/>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000000"/>
          <w:sz w:val="32"/>
          <w:szCs w:val="24"/>
          <w:lang w:eastAsia="zh-CN"/>
        </w:rPr>
      </w:pPr>
      <w:r>
        <w:rPr>
          <w:rFonts w:hint="eastAsia" w:ascii="仿宋" w:hAnsi="仿宋" w:eastAsia="仿宋" w:cs="仿宋"/>
          <w:color w:val="000000"/>
          <w:sz w:val="32"/>
        </w:rPr>
        <w:t>依据：</w:t>
      </w:r>
      <w:bookmarkStart w:id="4" w:name="yj"/>
      <w:bookmarkEnd w:id="4"/>
      <w:r>
        <w:rPr>
          <w:rFonts w:hint="eastAsia" w:ascii="仿宋" w:hAnsi="仿宋" w:eastAsia="仿宋" w:cs="仿宋"/>
          <w:color w:val="000000"/>
          <w:sz w:val="32"/>
          <w:lang w:eastAsia="zh-CN"/>
        </w:rPr>
        <w:t>《中华人民共和国税收征收管理法》（主席令〔2001〕第49号）第三十二条、第三十八条第一款、第四十条第一款、第六十八条《中华人民共和国税收征收管理法实施细则》（中华人民共和国国务院令〔2002〕第362号）第七十三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rPr>
      </w:pPr>
      <w:r>
        <w:rPr>
          <w:rFonts w:hint="eastAsia" w:ascii="仿宋" w:hAnsi="仿宋" w:eastAsia="仿宋" w:cs="仿宋"/>
          <w:color w:val="000000"/>
          <w:sz w:val="32"/>
        </w:rPr>
        <w:t>通知内容：</w:t>
      </w:r>
      <w:r>
        <w:rPr>
          <w:rFonts w:hint="eastAsia" w:ascii="仿宋" w:hAnsi="仿宋" w:eastAsia="仿宋" w:cs="仿宋"/>
          <w:color w:val="000000"/>
          <w:sz w:val="32"/>
          <w:szCs w:val="32"/>
        </w:rPr>
        <w:t>你（单位）</w:t>
      </w:r>
      <w:r>
        <w:rPr>
          <w:rFonts w:hint="eastAsia" w:ascii="仿宋" w:hAnsi="仿宋" w:eastAsia="仿宋" w:cs="仿宋"/>
          <w:color w:val="000000"/>
          <w:sz w:val="32"/>
          <w:szCs w:val="32"/>
          <w:lang w:eastAsia="zh-CN"/>
        </w:rPr>
        <w:t>2016年2月1日</w:t>
      </w:r>
      <w:r>
        <w:rPr>
          <w:rFonts w:hint="eastAsia" w:ascii="仿宋" w:hAnsi="仿宋" w:eastAsia="仿宋" w:cs="仿宋"/>
          <w:color w:val="000000"/>
          <w:sz w:val="32"/>
          <w:szCs w:val="32"/>
        </w:rPr>
        <w:t>至</w:t>
      </w:r>
      <w:r>
        <w:rPr>
          <w:rFonts w:hint="eastAsia" w:ascii="仿宋" w:hAnsi="仿宋" w:eastAsia="仿宋" w:cs="仿宋"/>
          <w:color w:val="000000"/>
          <w:sz w:val="32"/>
          <w:szCs w:val="32"/>
          <w:lang w:eastAsia="zh-CN"/>
        </w:rPr>
        <w:t>2016年2月29日所属期</w:t>
      </w:r>
      <w:r>
        <w:rPr>
          <w:rFonts w:hint="eastAsia" w:ascii="仿宋" w:hAnsi="仿宋" w:eastAsia="仿宋" w:cs="仿宋"/>
          <w:color w:val="000000"/>
          <w:sz w:val="32"/>
        </w:rPr>
        <w:t>应缴纳</w:t>
      </w:r>
      <w:r>
        <w:rPr>
          <w:rFonts w:hint="eastAsia" w:ascii="仿宋" w:hAnsi="仿宋" w:eastAsia="仿宋" w:cs="仿宋"/>
          <w:color w:val="000000"/>
          <w:sz w:val="32"/>
          <w:szCs w:val="32"/>
          <w:lang w:eastAsia="zh-CN"/>
        </w:rPr>
        <w:t>税款</w:t>
      </w:r>
      <w:r>
        <w:rPr>
          <w:rFonts w:hint="eastAsia" w:ascii="仿宋" w:hAnsi="仿宋" w:eastAsia="仿宋" w:cs="仿宋"/>
          <w:color w:val="000000"/>
          <w:sz w:val="32"/>
          <w:szCs w:val="32"/>
        </w:rPr>
        <w:t>(大写)</w:t>
      </w:r>
      <w:r>
        <w:rPr>
          <w:rFonts w:hint="eastAsia" w:ascii="仿宋" w:hAnsi="仿宋" w:eastAsia="仿宋" w:cs="仿宋"/>
          <w:color w:val="000000"/>
          <w:sz w:val="32"/>
          <w:szCs w:val="32"/>
          <w:lang w:eastAsia="zh-CN"/>
        </w:rPr>
        <w:t>壹佰壹拾陆万陆仟玖佰壹拾叁元壹角柒分</w:t>
      </w:r>
      <w:r>
        <w:rPr>
          <w:rFonts w:hint="eastAsia" w:ascii="仿宋" w:hAnsi="仿宋" w:eastAsia="仿宋" w:cs="仿宋"/>
          <w:color w:val="000000"/>
          <w:sz w:val="32"/>
          <w:szCs w:val="32"/>
        </w:rPr>
        <w:t>(￥：</w:t>
      </w:r>
      <w:bookmarkStart w:id="5" w:name="xxje"/>
      <w:bookmarkEnd w:id="5"/>
      <w:r>
        <w:rPr>
          <w:rFonts w:hint="eastAsia" w:ascii="仿宋" w:hAnsi="仿宋" w:eastAsia="仿宋" w:cs="仿宋"/>
          <w:color w:val="000000"/>
          <w:sz w:val="32"/>
          <w:szCs w:val="32"/>
          <w:lang w:eastAsia="zh-CN"/>
        </w:rPr>
        <w:t>1166913.17</w:t>
      </w:r>
      <w:r>
        <w:rPr>
          <w:rFonts w:hint="eastAsia" w:ascii="仿宋" w:hAnsi="仿宋" w:eastAsia="仿宋" w:cs="仿宋"/>
          <w:color w:val="000000"/>
          <w:sz w:val="32"/>
          <w:szCs w:val="32"/>
        </w:rPr>
        <w:t>)元，</w:t>
      </w:r>
      <w:r>
        <w:rPr>
          <w:rFonts w:hint="eastAsia" w:ascii="仿宋" w:hAnsi="仿宋" w:eastAsia="仿宋" w:cs="仿宋"/>
          <w:color w:val="000000"/>
          <w:sz w:val="32"/>
          <w:szCs w:val="32"/>
          <w:lang w:eastAsia="zh-CN"/>
        </w:rPr>
        <w:t>缴款期限2016年3月15日，并从税款滞纳之日起至缴纳或解缴之日止，按日加收滞纳税款万分之五的滞纳金</w:t>
      </w:r>
      <w:r>
        <w:rPr>
          <w:rFonts w:hint="eastAsia" w:ascii="仿宋" w:hAnsi="仿宋" w:eastAsia="仿宋" w:cs="仿宋"/>
          <w:sz w:val="32"/>
          <w:szCs w:val="32"/>
        </w:rPr>
        <w:t>。</w:t>
      </w:r>
      <w:r>
        <w:rPr>
          <w:rFonts w:hint="eastAsia" w:ascii="仿宋" w:hAnsi="仿宋" w:eastAsia="仿宋" w:cs="仿宋"/>
          <w:color w:val="000000"/>
          <w:sz w:val="32"/>
          <w:szCs w:val="32"/>
          <w:lang w:eastAsia="zh-CN"/>
        </w:rPr>
        <w:t>应在收到《税务事项通知书》后5日内向主管税务机关办理缴税有关事项</w:t>
      </w:r>
      <w:r>
        <w:rPr>
          <w:rFonts w:hint="eastAsia" w:ascii="仿宋" w:hAnsi="仿宋" w:eastAsia="仿宋" w:cs="仿宋"/>
          <w:sz w:val="32"/>
          <w:szCs w:val="22"/>
          <w:lang w:eastAsia="zh-CN"/>
        </w:rPr>
        <w:t>。</w:t>
      </w:r>
      <w:r>
        <w:rPr>
          <w:rFonts w:hint="eastAsia" w:ascii="仿宋" w:hAnsi="仿宋" w:eastAsia="仿宋" w:cs="仿宋"/>
          <w:color w:val="000000"/>
          <w:sz w:val="32"/>
          <w:szCs w:val="32"/>
          <w:lang w:eastAsia="zh-CN"/>
        </w:rPr>
        <w:t>逾期不缴将按《中华人民共和国税收征收管理法》有关规定处理</w:t>
      </w:r>
      <w:r>
        <w:rPr>
          <w:rFonts w:hint="eastAsia" w:ascii="仿宋" w:hAnsi="仿宋" w:eastAsia="仿宋" w:cs="仿宋"/>
          <w:color w:val="000000"/>
          <w:sz w:val="32"/>
          <w:szCs w:val="32"/>
        </w:rPr>
        <w:t>。</w:t>
      </w:r>
      <w:r>
        <w:rPr>
          <w:rFonts w:hint="eastAsia" w:ascii="仿宋" w:hAnsi="仿宋" w:eastAsia="仿宋" w:cs="仿宋"/>
          <w:color w:val="000000"/>
          <w:sz w:val="32"/>
        </w:rPr>
        <w:t>具体欠税（费）情况如下:</w:t>
      </w:r>
    </w:p>
    <w:p>
      <w:pPr>
        <w:jc w:val="right"/>
        <w:rPr>
          <w:rFonts w:hint="eastAsia" w:ascii="仿宋_GB2312" w:hAnsi="仿宋" w:eastAsia="仿宋_GB2312"/>
          <w:color w:val="000000"/>
          <w:sz w:val="32"/>
        </w:rPr>
      </w:pPr>
      <w:r>
        <w:rPr>
          <w:rFonts w:hint="eastAsia" w:ascii="仿宋_GB2312" w:hAnsi="仿宋" w:eastAsia="仿宋_GB2312"/>
          <w:color w:val="000000"/>
          <w:sz w:val="32"/>
        </w:rPr>
        <w:t xml:space="preserve">       </w:t>
      </w:r>
    </w:p>
    <w:p>
      <w:pPr>
        <w:jc w:val="right"/>
        <w:rPr>
          <w:rFonts w:hint="eastAsia" w:ascii="仿宋_GB2312" w:hAnsi="仿宋" w:eastAsia="仿宋_GB2312"/>
          <w:color w:val="000000"/>
          <w:sz w:val="32"/>
        </w:rPr>
      </w:pPr>
      <w:r>
        <w:rPr>
          <w:rFonts w:hint="eastAsia" w:ascii="仿宋_GB2312" w:hAnsi="仿宋" w:eastAsia="仿宋_GB2312"/>
          <w:color w:val="000000"/>
          <w:sz w:val="32"/>
        </w:rPr>
        <w:t>单位：元</w:t>
      </w:r>
    </w:p>
    <w:tbl>
      <w:tblPr>
        <w:tblStyle w:val="7"/>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356"/>
        <w:gridCol w:w="1420"/>
        <w:gridCol w:w="1500"/>
        <w:gridCol w:w="1465"/>
        <w:gridCol w:w="130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35"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税    种</w:t>
            </w:r>
          </w:p>
        </w:tc>
        <w:tc>
          <w:tcPr>
            <w:tcW w:w="1356"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税    目</w:t>
            </w:r>
          </w:p>
        </w:tc>
        <w:tc>
          <w:tcPr>
            <w:tcW w:w="1420"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限期缴纳税款所属期起</w:t>
            </w:r>
          </w:p>
        </w:tc>
        <w:tc>
          <w:tcPr>
            <w:tcW w:w="1500"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限期缴纳税款所属期止</w:t>
            </w:r>
          </w:p>
        </w:tc>
        <w:tc>
          <w:tcPr>
            <w:tcW w:w="1465"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限期缴纳税款金额(小写)</w:t>
            </w:r>
          </w:p>
        </w:tc>
        <w:tc>
          <w:tcPr>
            <w:tcW w:w="1304"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限期缴纳税款金额(大写)</w:t>
            </w:r>
          </w:p>
        </w:tc>
        <w:tc>
          <w:tcPr>
            <w:tcW w:w="1418"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税款滞纳日期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noWrap w:val="0"/>
            <w:vAlign w:val="center"/>
          </w:tcPr>
          <w:p>
            <w:pPr>
              <w:jc w:val="center"/>
              <w:rPr>
                <w:rFonts w:hint="eastAsia" w:ascii="仿宋_GB2312" w:hAnsi="仿宋" w:eastAsia="仿宋_GB2312"/>
                <w:color w:val="000000"/>
                <w:sz w:val="24"/>
                <w:lang w:eastAsia="zh-CN"/>
              </w:rPr>
            </w:pPr>
            <w:bookmarkStart w:id="6" w:name="xzmc"/>
            <w:bookmarkEnd w:id="6"/>
            <w:r>
              <w:rPr>
                <w:rFonts w:hint="eastAsia" w:ascii="仿宋_GB2312" w:hAnsi="仿宋" w:eastAsia="仿宋_GB2312"/>
                <w:color w:val="000000"/>
                <w:sz w:val="24"/>
                <w:lang w:eastAsia="zh-CN"/>
              </w:rPr>
              <w:t>增值税</w:t>
            </w:r>
          </w:p>
        </w:tc>
        <w:tc>
          <w:tcPr>
            <w:tcW w:w="1356" w:type="dxa"/>
            <w:noWrap w:val="0"/>
            <w:vAlign w:val="center"/>
          </w:tcPr>
          <w:p>
            <w:pPr>
              <w:jc w:val="center"/>
              <w:rPr>
                <w:rFonts w:hint="eastAsia" w:ascii="仿宋_GB2312" w:hAnsi="仿宋" w:eastAsia="仿宋_GB2312"/>
                <w:color w:val="000000"/>
                <w:sz w:val="24"/>
                <w:lang w:eastAsia="zh-CN"/>
              </w:rPr>
            </w:pPr>
            <w:bookmarkStart w:id="7" w:name="zspmmc"/>
            <w:bookmarkEnd w:id="7"/>
            <w:r>
              <w:rPr>
                <w:rFonts w:hint="eastAsia" w:ascii="仿宋_GB2312" w:hAnsi="仿宋" w:eastAsia="仿宋_GB2312"/>
                <w:color w:val="000000"/>
                <w:sz w:val="24"/>
                <w:lang w:eastAsia="zh-CN"/>
              </w:rPr>
              <w:t>其他交通运输工具（17%、16%、13%）</w:t>
            </w:r>
          </w:p>
        </w:tc>
        <w:tc>
          <w:tcPr>
            <w:tcW w:w="1420" w:type="dxa"/>
            <w:noWrap w:val="0"/>
            <w:vAlign w:val="center"/>
          </w:tcPr>
          <w:p>
            <w:pPr>
              <w:jc w:val="center"/>
              <w:rPr>
                <w:rFonts w:hint="eastAsia" w:ascii="仿宋_GB2312" w:hAnsi="仿宋" w:eastAsia="仿宋_GB2312"/>
                <w:color w:val="000000"/>
                <w:sz w:val="24"/>
                <w:lang w:eastAsia="zh-CN"/>
              </w:rPr>
            </w:pPr>
            <w:bookmarkStart w:id="8" w:name="sssqq"/>
            <w:bookmarkEnd w:id="8"/>
            <w:r>
              <w:rPr>
                <w:rFonts w:hint="eastAsia" w:ascii="仿宋_GB2312" w:hAnsi="仿宋" w:eastAsia="仿宋_GB2312"/>
                <w:color w:val="000000"/>
                <w:sz w:val="24"/>
                <w:lang w:eastAsia="zh-CN"/>
              </w:rPr>
              <w:t>2016-02-01</w:t>
            </w:r>
          </w:p>
        </w:tc>
        <w:tc>
          <w:tcPr>
            <w:tcW w:w="1500" w:type="dxa"/>
            <w:noWrap w:val="0"/>
            <w:vAlign w:val="center"/>
          </w:tcPr>
          <w:p>
            <w:pPr>
              <w:jc w:val="center"/>
              <w:rPr>
                <w:rFonts w:hint="eastAsia" w:ascii="仿宋_GB2312" w:hAnsi="仿宋" w:eastAsia="仿宋_GB2312"/>
                <w:color w:val="000000"/>
                <w:sz w:val="24"/>
                <w:lang w:eastAsia="zh-CN"/>
              </w:rPr>
            </w:pPr>
            <w:bookmarkStart w:id="9" w:name="sssqz"/>
            <w:bookmarkEnd w:id="9"/>
            <w:r>
              <w:rPr>
                <w:rFonts w:hint="eastAsia" w:ascii="仿宋_GB2312" w:hAnsi="仿宋" w:eastAsia="仿宋_GB2312"/>
                <w:color w:val="000000"/>
                <w:sz w:val="24"/>
                <w:lang w:eastAsia="zh-CN"/>
              </w:rPr>
              <w:t>2016-02-29</w:t>
            </w:r>
          </w:p>
        </w:tc>
        <w:tc>
          <w:tcPr>
            <w:tcW w:w="1465" w:type="dxa"/>
            <w:noWrap w:val="0"/>
            <w:vAlign w:val="center"/>
          </w:tcPr>
          <w:p>
            <w:pPr>
              <w:jc w:val="center"/>
              <w:rPr>
                <w:rFonts w:hint="eastAsia" w:ascii="仿宋_GB2312" w:hAnsi="仿宋" w:eastAsia="仿宋_GB2312"/>
                <w:color w:val="000000"/>
                <w:sz w:val="24"/>
                <w:lang w:eastAsia="zh-CN"/>
              </w:rPr>
            </w:pPr>
            <w:bookmarkStart w:id="10" w:name="fxzcfje"/>
            <w:bookmarkEnd w:id="10"/>
            <w:r>
              <w:rPr>
                <w:rFonts w:hint="eastAsia" w:ascii="仿宋_GB2312" w:hAnsi="仿宋" w:eastAsia="仿宋_GB2312"/>
                <w:color w:val="000000"/>
                <w:sz w:val="24"/>
                <w:lang w:eastAsia="zh-CN"/>
              </w:rPr>
              <w:t>1166913.17</w:t>
            </w:r>
          </w:p>
        </w:tc>
        <w:tc>
          <w:tcPr>
            <w:tcW w:w="1304" w:type="dxa"/>
            <w:noWrap w:val="0"/>
            <w:vAlign w:val="center"/>
          </w:tcPr>
          <w:p>
            <w:pPr>
              <w:jc w:val="center"/>
              <w:rPr>
                <w:rFonts w:hint="eastAsia" w:ascii="仿宋_GB2312" w:hAnsi="仿宋" w:eastAsia="仿宋_GB2312"/>
                <w:color w:val="000000"/>
                <w:sz w:val="24"/>
                <w:lang w:eastAsia="zh-CN"/>
              </w:rPr>
            </w:pPr>
            <w:bookmarkStart w:id="11" w:name="dxje"/>
            <w:bookmarkEnd w:id="11"/>
            <w:r>
              <w:rPr>
                <w:rFonts w:hint="eastAsia" w:ascii="仿宋_GB2312" w:hAnsi="仿宋" w:eastAsia="仿宋_GB2312"/>
                <w:color w:val="000000"/>
                <w:sz w:val="24"/>
                <w:lang w:eastAsia="zh-CN"/>
              </w:rPr>
              <w:t>壹佰壹拾陆万陆仟玖佰壹拾叁元壹角柒分</w:t>
            </w:r>
          </w:p>
        </w:tc>
        <w:tc>
          <w:tcPr>
            <w:tcW w:w="1418" w:type="dxa"/>
            <w:noWrap w:val="0"/>
            <w:vAlign w:val="center"/>
          </w:tcPr>
          <w:p>
            <w:pPr>
              <w:jc w:val="center"/>
              <w:rPr>
                <w:rFonts w:hint="eastAsia" w:ascii="仿宋_GB2312" w:hAnsi="仿宋" w:eastAsia="仿宋_GB2312"/>
                <w:color w:val="000000"/>
                <w:sz w:val="24"/>
                <w:lang w:eastAsia="zh-CN"/>
              </w:rPr>
            </w:pPr>
            <w:bookmarkStart w:id="12" w:name="skznrq"/>
            <w:bookmarkEnd w:id="12"/>
            <w:r>
              <w:rPr>
                <w:rFonts w:hint="eastAsia" w:ascii="仿宋_GB2312" w:hAnsi="仿宋" w:eastAsia="仿宋_GB2312"/>
                <w:color w:val="000000"/>
                <w:sz w:val="24"/>
                <w:lang w:eastAsia="zh-CN"/>
              </w:rPr>
              <w:t>2016-03-16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5"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合计金额</w:t>
            </w:r>
          </w:p>
        </w:tc>
        <w:tc>
          <w:tcPr>
            <w:tcW w:w="1356"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420"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500"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465" w:type="dxa"/>
            <w:noWrap w:val="0"/>
            <w:vAlign w:val="center"/>
          </w:tcPr>
          <w:p>
            <w:pPr>
              <w:jc w:val="center"/>
              <w:rPr>
                <w:rFonts w:hint="eastAsia" w:ascii="仿宋_GB2312" w:hAnsi="仿宋" w:eastAsia="仿宋_GB2312"/>
                <w:color w:val="000000"/>
                <w:sz w:val="24"/>
                <w:lang w:eastAsia="zh-CN"/>
              </w:rPr>
            </w:pPr>
            <w:bookmarkStart w:id="13" w:name="hjje"/>
            <w:bookmarkEnd w:id="13"/>
            <w:r>
              <w:rPr>
                <w:rFonts w:hint="eastAsia" w:ascii="仿宋_GB2312" w:hAnsi="仿宋" w:eastAsia="仿宋_GB2312"/>
                <w:color w:val="000000"/>
                <w:sz w:val="24"/>
                <w:lang w:eastAsia="zh-CN"/>
              </w:rPr>
              <w:t>1166913.17</w:t>
            </w:r>
          </w:p>
        </w:tc>
        <w:tc>
          <w:tcPr>
            <w:tcW w:w="1304"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w:t>
            </w:r>
          </w:p>
        </w:tc>
        <w:tc>
          <w:tcPr>
            <w:tcW w:w="1418" w:type="dxa"/>
            <w:noWrap w:val="0"/>
            <w:vAlign w:val="center"/>
          </w:tcPr>
          <w:p>
            <w:pPr>
              <w:jc w:val="center"/>
              <w:rPr>
                <w:rFonts w:hint="eastAsia" w:ascii="仿宋_GB2312" w:hAnsi="仿宋" w:eastAsia="仿宋_GB2312"/>
                <w:color w:val="000000"/>
                <w:sz w:val="24"/>
              </w:rPr>
            </w:pPr>
            <w:r>
              <w:rPr>
                <w:rFonts w:hint="eastAsia" w:ascii="仿宋_GB2312" w:hAnsi="仿宋" w:eastAsia="仿宋_GB2312"/>
                <w:color w:val="000000"/>
                <w:sz w:val="24"/>
              </w:rPr>
              <w:t>——</w:t>
            </w:r>
          </w:p>
        </w:tc>
      </w:tr>
    </w:tbl>
    <w:p>
      <w:pPr>
        <w:ind w:firstLine="640" w:firstLineChars="200"/>
        <w:rPr>
          <w:rFonts w:hint="eastAsia" w:ascii="仿宋_GB2312" w:hAnsi="仿宋" w:eastAsia="仿宋_GB2312"/>
          <w:color w:val="000000"/>
          <w:sz w:val="32"/>
          <w:lang w:eastAsia="zh-CN"/>
        </w:rPr>
      </w:pPr>
      <w:r>
        <w:rPr>
          <w:rFonts w:hint="eastAsia" w:ascii="仿宋_GB2312" w:hAnsi="仿宋" w:eastAsia="仿宋_GB2312"/>
          <w:color w:val="000000"/>
          <w:sz w:val="32"/>
          <w:lang w:eastAsia="zh-CN"/>
        </w:rPr>
        <w:t>是否正常申报逾期未缴纳:是</w:t>
      </w:r>
    </w:p>
    <w:p>
      <w:pPr>
        <w:ind w:firstLine="640" w:firstLineChars="200"/>
        <w:rPr>
          <w:rFonts w:hint="eastAsia" w:ascii="仿宋_GB2312" w:hAnsi="仿宋" w:eastAsia="仿宋_GB2312"/>
          <w:color w:val="000000"/>
          <w:sz w:val="32"/>
          <w:lang w:eastAsia="zh-CN"/>
        </w:rPr>
      </w:pPr>
      <w:r>
        <w:rPr>
          <w:rFonts w:hint="eastAsia" w:ascii="仿宋_GB2312" w:hAnsi="仿宋" w:eastAsia="仿宋_GB2312"/>
          <w:color w:val="000000"/>
          <w:sz w:val="32"/>
          <w:lang w:eastAsia="zh-CN"/>
        </w:rPr>
        <w:t>你（单位）若同我局（所）在纳税上有争议，必须先依照本通知的期限缴纳税款及滞纳金或者提供相应的担保，然后可自上述款项缴清或者提供相应担保被税务机关确认之日起六十日内依法向国家税务总局洪湖市税务局申请行政复议。</w:t>
      </w:r>
    </w:p>
    <w:p>
      <w:pPr>
        <w:ind w:firstLine="640" w:firstLineChars="200"/>
        <w:rPr>
          <w:rFonts w:hint="eastAsia" w:ascii="仿宋_GB2312" w:hAnsi="仿宋" w:eastAsia="仿宋_GB2312"/>
          <w:color w:val="000000"/>
          <w:sz w:val="32"/>
          <w:lang w:eastAsia="zh-CN"/>
        </w:rPr>
      </w:pPr>
    </w:p>
    <w:p>
      <w:pPr>
        <w:keepNext w:val="0"/>
        <w:keepLines w:val="0"/>
        <w:pageBreakBefore w:val="0"/>
        <w:kinsoku/>
        <w:wordWrap/>
        <w:overflowPunct/>
        <w:topLinePunct w:val="0"/>
        <w:autoSpaceDE/>
        <w:autoSpaceDN/>
        <w:bidi w:val="0"/>
        <w:adjustRightInd/>
        <w:snapToGrid/>
        <w:spacing w:line="240" w:lineRule="auto"/>
        <w:jc w:val="right"/>
        <w:textAlignment w:val="auto"/>
        <w:rPr>
          <w:rFonts w:hint="eastAsia" w:ascii="仿宋_GB2312" w:eastAsia="仿宋_GB2312"/>
          <w:color w:val="000000"/>
          <w:sz w:val="32"/>
          <w:lang w:eastAsia="zh-CN"/>
        </w:rPr>
      </w:pPr>
      <w:r>
        <w:rPr>
          <w:rFonts w:hint="eastAsia" w:ascii="仿宋_GB2312" w:eastAsia="仿宋_GB2312"/>
          <w:color w:val="000000"/>
          <w:sz w:val="32"/>
          <w:lang w:eastAsia="zh-CN"/>
        </w:rPr>
        <w:t>国家税务总局洪湖市税务局新滩税务分局</w:t>
      </w:r>
    </w:p>
    <w:p>
      <w:pPr>
        <w:ind w:right="840" w:rightChars="400"/>
        <w:jc w:val="center"/>
        <w:rPr>
          <w:rFonts w:hint="eastAsia" w:ascii="仿宋_GB2312" w:hAnsi="仿宋" w:eastAsia="仿宋_GB2312"/>
          <w:color w:val="000000"/>
          <w:sz w:val="32"/>
          <w:lang w:eastAsia="zh-CN"/>
        </w:rPr>
      </w:pPr>
      <w:r>
        <w:rPr>
          <w:rFonts w:hint="eastAsia" w:ascii="仿宋_GB2312" w:hAnsi="仿宋" w:eastAsia="仿宋_GB2312"/>
          <w:color w:val="000000"/>
          <w:sz w:val="32"/>
          <w:lang w:val="en-US" w:eastAsia="zh-CN"/>
        </w:rPr>
        <w:t xml:space="preserve">                     2024</w:t>
      </w:r>
      <w:r>
        <w:rPr>
          <w:rFonts w:hint="eastAsia" w:ascii="仿宋_GB2312" w:hAnsi="仿宋" w:eastAsia="仿宋_GB2312"/>
          <w:color w:val="000000"/>
          <w:sz w:val="32"/>
          <w:lang w:eastAsia="zh-CN"/>
        </w:rPr>
        <w:t>年</w:t>
      </w:r>
      <w:r>
        <w:rPr>
          <w:rFonts w:hint="eastAsia" w:ascii="仿宋_GB2312" w:hAnsi="仿宋" w:eastAsia="仿宋_GB2312"/>
          <w:color w:val="000000"/>
          <w:sz w:val="32"/>
          <w:lang w:val="en-US" w:eastAsia="zh-CN"/>
        </w:rPr>
        <w:t>1</w:t>
      </w:r>
      <w:r>
        <w:rPr>
          <w:rFonts w:hint="eastAsia" w:ascii="仿宋_GB2312" w:hAnsi="仿宋" w:eastAsia="仿宋_GB2312"/>
          <w:color w:val="000000"/>
          <w:sz w:val="32"/>
          <w:lang w:eastAsia="zh-CN"/>
        </w:rPr>
        <w:t>月</w:t>
      </w:r>
      <w:r>
        <w:rPr>
          <w:rFonts w:hint="eastAsia" w:ascii="仿宋_GB2312" w:hAnsi="仿宋" w:eastAsia="仿宋_GB2312"/>
          <w:color w:val="000000"/>
          <w:sz w:val="32"/>
          <w:lang w:val="en-US" w:eastAsia="zh-CN"/>
        </w:rPr>
        <w:t>29</w:t>
      </w:r>
      <w:r>
        <w:rPr>
          <w:rFonts w:hint="eastAsia" w:ascii="仿宋_GB2312" w:hAnsi="仿宋" w:eastAsia="仿宋_GB2312"/>
          <w:color w:val="000000"/>
          <w:sz w:val="32"/>
          <w:lang w:eastAsia="zh-CN"/>
        </w:rPr>
        <w:t>日</w:t>
      </w:r>
    </w:p>
    <w:p>
      <w:pPr>
        <w:pStyle w:val="6"/>
        <w:keepNext w:val="0"/>
        <w:keepLines w:val="0"/>
        <w:widowControl/>
        <w:suppressLineNumbers w:val="0"/>
        <w:spacing w:before="0" w:beforeAutospacing="0" w:after="150" w:afterAutospacing="0" w:line="450" w:lineRule="atLeast"/>
        <w:ind w:left="0" w:right="0"/>
        <w:jc w:val="center"/>
        <w:rPr>
          <w:rFonts w:hint="eastAsia"/>
          <w:color w:val="333333"/>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54D4C"/>
    <w:rsid w:val="000467EA"/>
    <w:rsid w:val="00CB1B03"/>
    <w:rsid w:val="014F5A3A"/>
    <w:rsid w:val="01C21F99"/>
    <w:rsid w:val="0A782945"/>
    <w:rsid w:val="0B49677F"/>
    <w:rsid w:val="0B9363AC"/>
    <w:rsid w:val="0CA903F4"/>
    <w:rsid w:val="0FC70C5A"/>
    <w:rsid w:val="114F6D59"/>
    <w:rsid w:val="127F7DAC"/>
    <w:rsid w:val="1A4C6717"/>
    <w:rsid w:val="24352783"/>
    <w:rsid w:val="25B10DC6"/>
    <w:rsid w:val="28FC5139"/>
    <w:rsid w:val="303C0B8B"/>
    <w:rsid w:val="341A5539"/>
    <w:rsid w:val="3CA86C48"/>
    <w:rsid w:val="3DA87A3E"/>
    <w:rsid w:val="4B1D6FBD"/>
    <w:rsid w:val="4B8729B1"/>
    <w:rsid w:val="4E4329E4"/>
    <w:rsid w:val="51B77489"/>
    <w:rsid w:val="579652CE"/>
    <w:rsid w:val="5B35104B"/>
    <w:rsid w:val="5CF80505"/>
    <w:rsid w:val="6120403F"/>
    <w:rsid w:val="685A31F1"/>
    <w:rsid w:val="69E52954"/>
    <w:rsid w:val="6A444FFA"/>
    <w:rsid w:val="6BE42820"/>
    <w:rsid w:val="700E6788"/>
    <w:rsid w:val="70654D4C"/>
    <w:rsid w:val="7A8C44CB"/>
    <w:rsid w:val="7B3056F6"/>
    <w:rsid w:val="7C5633C1"/>
    <w:rsid w:val="7C691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bCs/>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9">
    <w:name w:val="FollowedHyperlink"/>
    <w:basedOn w:val="8"/>
    <w:qFormat/>
    <w:uiPriority w:val="0"/>
    <w:rPr>
      <w:rFonts w:hint="eastAsia" w:ascii="微软雅黑" w:hAnsi="微软雅黑" w:eastAsia="微软雅黑" w:cs="微软雅黑"/>
      <w:color w:val="333333"/>
      <w:u w:val="none"/>
    </w:rPr>
  </w:style>
  <w:style w:type="character" w:styleId="10">
    <w:name w:val="Emphasis"/>
    <w:basedOn w:val="8"/>
    <w:qFormat/>
    <w:uiPriority w:val="0"/>
    <w:rPr>
      <w:rFonts w:hint="eastAsia" w:ascii="微软雅黑" w:hAnsi="微软雅黑" w:eastAsia="微软雅黑" w:cs="微软雅黑"/>
      <w:i/>
    </w:rPr>
  </w:style>
  <w:style w:type="character" w:styleId="11">
    <w:name w:val="Hyperlink"/>
    <w:basedOn w:val="8"/>
    <w:qFormat/>
    <w:uiPriority w:val="0"/>
    <w:rPr>
      <w:rFonts w:hint="eastAsia" w:ascii="微软雅黑" w:hAnsi="微软雅黑" w:eastAsia="微软雅黑" w:cs="微软雅黑"/>
      <w:color w:val="333333"/>
      <w:u w:val="none"/>
    </w:rPr>
  </w:style>
  <w:style w:type="character" w:customStyle="1" w:styleId="12">
    <w:name w:val="midtitle"/>
    <w:basedOn w:val="8"/>
    <w:qFormat/>
    <w:uiPriority w:val="0"/>
  </w:style>
  <w:style w:type="character" w:customStyle="1" w:styleId="13">
    <w:name w:val="rightdate"/>
    <w:basedOn w:val="8"/>
    <w:qFormat/>
    <w:uiPriority w:val="0"/>
  </w:style>
  <w:style w:type="character" w:customStyle="1" w:styleId="14">
    <w:name w:val="bg"/>
    <w:basedOn w:val="8"/>
    <w:qFormat/>
    <w:uiPriority w:val="0"/>
    <w:rPr>
      <w:shd w:val="clear" w:fill="000000"/>
    </w:rPr>
  </w:style>
  <w:style w:type="character" w:customStyle="1" w:styleId="15">
    <w:name w:val="bg-box"/>
    <w:basedOn w:val="8"/>
    <w:qFormat/>
    <w:uiPriority w:val="0"/>
    <w:rPr>
      <w:color w:val="FFFFFF"/>
      <w:sz w:val="21"/>
      <w:szCs w:val="21"/>
    </w:rPr>
  </w:style>
  <w:style w:type="character" w:customStyle="1" w:styleId="16">
    <w:name w:val="leftindex"/>
    <w:basedOn w:val="8"/>
    <w:qFormat/>
    <w:uiPriority w:val="0"/>
  </w:style>
  <w:style w:type="character" w:customStyle="1" w:styleId="17">
    <w:name w:val="fl3"/>
    <w:basedOn w:val="8"/>
    <w:qFormat/>
    <w:uiPriority w:val="0"/>
    <w:rPr>
      <w:color w:val="999999"/>
      <w:sz w:val="21"/>
      <w:szCs w:val="21"/>
    </w:rPr>
  </w:style>
  <w:style w:type="paragraph" w:customStyle="1" w:styleId="18">
    <w:name w:val="表单名称"/>
    <w:basedOn w:val="1"/>
    <w:qFormat/>
    <w:uiPriority w:val="0"/>
    <w:pPr>
      <w:widowControl/>
      <w:spacing w:line="360" w:lineRule="auto"/>
      <w:jc w:val="center"/>
    </w:pPr>
    <w:rPr>
      <w:rFonts w:ascii="宋体" w:hAnsi="宋体"/>
      <w:b/>
      <w:kern w:val="0"/>
      <w:sz w:val="28"/>
      <w:szCs w:val="28"/>
    </w:rPr>
  </w:style>
  <w:style w:type="paragraph" w:customStyle="1" w:styleId="19">
    <w:name w:val="正文 首行缩进 Char"/>
    <w:basedOn w:val="1"/>
    <w:qFormat/>
    <w:uiPriority w:val="0"/>
    <w:pPr>
      <w:widowControl/>
      <w:spacing w:line="360" w:lineRule="auto"/>
      <w:ind w:firstLine="420" w:firstLineChars="200"/>
    </w:pPr>
    <w:rPr>
      <w:rFonts w:ascii="Arial" w:hAnsi="Arial"/>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2023-11-08T01:37:00Z</dcterms:created>
  <dc:creator>Administrator</dc:creator>
  <cp:lastModifiedBy>蔡冰月</cp:lastModifiedBy>
  <dcterms:modified xsi:type="dcterms:W3CDTF">2024-01-30T08:35:48Z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