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国家税务总局武汉市江夏区税务局</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年度行政执法统计年报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一、行政执法主体概况</w:t>
      </w: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（一）行政执法主体的名称和数量情况。</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国家税务总局武汉市江夏区税务局设有</w:t>
      </w:r>
      <w:r>
        <w:rPr>
          <w:rFonts w:hint="eastAsia" w:ascii="仿宋_GB2312" w:hAnsi="仿宋_GB2312" w:eastAsia="仿宋_GB2312" w:cs="仿宋_GB2312"/>
          <w:sz w:val="32"/>
          <w:szCs w:val="32"/>
          <w:lang w:val="en-US" w:eastAsia="zh-CN"/>
        </w:rPr>
        <w:t>17个内设机构，2个事业单位；下辖9个派出机构（第一税务所（办税服务厅）、第二税务所、第三税务所、纸坊税务所、郑店税务所、金口税务所、乌龙泉税务所、五里界税务所、山坡税务所）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主要负责所辖区域内各项税收、社会保险费和有关非税收入的征收管理。截至</w:t>
      </w:r>
      <w:r>
        <w:rPr>
          <w:rFonts w:hint="eastAsia" w:ascii="仿宋_GB2312" w:hAnsi="仿宋_GB2312" w:eastAsia="仿宋_GB2312" w:cs="仿宋_GB2312"/>
          <w:sz w:val="32"/>
          <w:szCs w:val="32"/>
          <w:lang w:val="en-US" w:eastAsia="zh-CN"/>
        </w:rPr>
        <w:t>2023年底，除2023年录用的2人和军转的5人以外，均已通过税务执法资格考试。</w:t>
      </w:r>
    </w:p>
    <w:p>
      <w:pPr>
        <w:keepNext w:val="0"/>
        <w:keepLines w:val="0"/>
        <w:pageBreakBefore w:val="0"/>
        <w:numPr>
          <w:ilvl w:val="0"/>
          <w:numId w:val="0"/>
        </w:numPr>
        <w:tabs>
          <w:tab w:val="left" w:pos="1470"/>
        </w:tabs>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行政执法机关及各执法主体的执法岗位设置数量及在岗执法人员数量。</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2023年底，江夏区税务局执法岗位设置数量为14个，在岗执法人员174人。</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（三）国家税务总局武汉市江夏区税务局主要职责</w:t>
      </w:r>
      <w:r>
        <w:rPr>
          <w:rFonts w:hint="eastAsia" w:ascii="楷体_GB2312" w:hAnsi="楷体_GB2312" w:eastAsia="楷体_GB2312" w:cs="楷体_GB2312"/>
          <w:b/>
          <w:bCs/>
          <w:sz w:val="32"/>
          <w:szCs w:val="32"/>
        </w:rPr>
        <w:t>。</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1.负责贯彻执行党的路线、方针、政策，加强党的全面领导，履行全面从严治党责任，负责党的建设和思想政治建设工作。</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2.负责贯彻执行税收、社会保险费和有关非税收入法律、法规、规章和规范性文件，研究制定具体实施办法。组织落实国家规定的税收优惠政策。</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研究拟定本地区税收、社会保险费和有关非税收入中长期规划，参与拟定税收、社会保险费和有关非税收入预算目标并依法组织实施。负责本局税收、社会保险费和有关非税收入的会统核算工作。组织开展收入分析预测。</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4.负责开展税收经济分析和税收政策效应分析，为武汉市税务局和当地党委、政府提供决策参考。</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5.负责所辖区域内各项税收、社会保险费和有关非税收入征收管理。组织实施税（费）源监控和风险管理，加强大企业和自然人税收管理。</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组织实施本局税收、社会保险费和有关非税收入服务体系建设。组织开展纳税服务、税收宣传工作，保护纳税人、缴费人合法权益。承担涉及税收、社会保险费和有关非税收入的行政处罚、行政复议和行政诉讼事项。</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7.负责所辖区域内国际税收和进出口税收管理工作，组织反避税调查和出口退税事项办理。</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8.负责增值税专用发票、普通发票和其他各类发票管理。负责税收、社会保险费和有关非税收入票证管理。</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9.负责组织实施本局各项税收、社会保险费和有关非税收入征管信息化建设和数据治理工作。</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10.负责本局内部控制机制建设工作，开展对本局贯彻执行党中央、国务院重大决策及上级工作部署情况的督查督办，组织实施税收执法督察。</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11.负责本局基层建设和干部队伍建设工作，加强领导班子和后备干部队伍建设，承担税务人才培养和干部教育培训工作。负责本局绩效管理和干部考核工作。</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12.负责本局机构、编制、经费和资产管理工作。</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13.完成武汉市税务局和当地党委、政府交办的其他工作。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二、202</w:t>
      </w:r>
      <w:r>
        <w:rPr>
          <w:rFonts w:hint="eastAsia" w:ascii="黑体" w:hAnsi="黑体" w:eastAsia="黑体" w:cs="黑体"/>
          <w:sz w:val="32"/>
          <w:szCs w:val="32"/>
          <w:lang w:val="en-US" w:eastAsia="zh-CN"/>
        </w:rPr>
        <w:t>3</w:t>
      </w:r>
      <w:r>
        <w:rPr>
          <w:rFonts w:hint="eastAsia" w:ascii="黑体" w:hAnsi="黑体" w:eastAsia="黑体" w:cs="黑体"/>
          <w:sz w:val="32"/>
          <w:szCs w:val="32"/>
        </w:rPr>
        <w:t>年度行政执法案件情况</w:t>
      </w:r>
    </w:p>
    <w:p>
      <w:pPr>
        <w:pStyle w:val="4"/>
        <w:keepNext w:val="0"/>
        <w:keepLines w:val="0"/>
        <w:pageBreakBefore w:val="0"/>
        <w:widowControl/>
        <w:kinsoku/>
        <w:wordWrap/>
        <w:overflowPunct/>
        <w:topLinePunct w:val="0"/>
        <w:bidi w:val="0"/>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年行政处罚实施情况统计表</w:t>
      </w:r>
    </w:p>
    <w:tbl>
      <w:tblPr>
        <w:tblStyle w:val="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93"/>
        <w:gridCol w:w="1216"/>
        <w:gridCol w:w="845"/>
        <w:gridCol w:w="875"/>
        <w:gridCol w:w="1075"/>
        <w:gridCol w:w="937"/>
        <w:gridCol w:w="941"/>
        <w:gridCol w:w="112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9000" w:type="dxa"/>
            <w:gridSpan w:val="9"/>
            <w:noWrap/>
            <w:tcMar>
              <w:top w:w="0" w:type="dxa"/>
              <w:left w:w="84" w:type="dxa"/>
              <w:bottom w:w="0" w:type="dxa"/>
              <w:right w:w="84" w:type="dxa"/>
            </w:tcMar>
            <w:vAlign w:val="center"/>
          </w:tcPr>
          <w:p>
            <w:pPr>
              <w:pStyle w:val="4"/>
              <w:keepNext w:val="0"/>
              <w:keepLines w:val="0"/>
              <w:pageBreakBefore w:val="0"/>
              <w:widowControl/>
              <w:tabs>
                <w:tab w:val="left" w:pos="3082"/>
              </w:tabs>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行政处罚实施数量（宗）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3" w:hRule="atLeast"/>
          <w:jc w:val="center"/>
        </w:trPr>
        <w:tc>
          <w:tcPr>
            <w:tcW w:w="793"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单位名称</w:t>
            </w:r>
          </w:p>
        </w:tc>
        <w:tc>
          <w:tcPr>
            <w:tcW w:w="121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警告</w:t>
            </w:r>
          </w:p>
        </w:tc>
        <w:tc>
          <w:tcPr>
            <w:tcW w:w="84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通报批评</w:t>
            </w:r>
          </w:p>
        </w:tc>
        <w:tc>
          <w:tcPr>
            <w:tcW w:w="8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罚款</w:t>
            </w:r>
          </w:p>
        </w:tc>
        <w:tc>
          <w:tcPr>
            <w:tcW w:w="10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没收违法所得</w:t>
            </w:r>
          </w:p>
        </w:tc>
        <w:tc>
          <w:tcPr>
            <w:tcW w:w="93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没收非法财物</w:t>
            </w:r>
          </w:p>
        </w:tc>
        <w:tc>
          <w:tcPr>
            <w:tcW w:w="9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暂扣许可证件</w:t>
            </w:r>
          </w:p>
        </w:tc>
        <w:tc>
          <w:tcPr>
            <w:tcW w:w="11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降低资质等级</w:t>
            </w:r>
          </w:p>
        </w:tc>
        <w:tc>
          <w:tcPr>
            <w:tcW w:w="118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吊销许可证件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jc w:val="center"/>
        </w:trPr>
        <w:tc>
          <w:tcPr>
            <w:tcW w:w="793"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江夏区税务局</w:t>
            </w:r>
          </w:p>
        </w:tc>
        <w:tc>
          <w:tcPr>
            <w:tcW w:w="121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4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1678</w:t>
            </w:r>
          </w:p>
        </w:tc>
        <w:tc>
          <w:tcPr>
            <w:tcW w:w="10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3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1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18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7" w:hRule="atLeast"/>
          <w:jc w:val="center"/>
        </w:trPr>
        <w:tc>
          <w:tcPr>
            <w:tcW w:w="793" w:type="dxa"/>
            <w:vMerge w:val="continue"/>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p>
        </w:tc>
        <w:tc>
          <w:tcPr>
            <w:tcW w:w="121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限制开展生产经营活动</w:t>
            </w:r>
          </w:p>
        </w:tc>
        <w:tc>
          <w:tcPr>
            <w:tcW w:w="84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责令停产停业</w:t>
            </w:r>
          </w:p>
        </w:tc>
        <w:tc>
          <w:tcPr>
            <w:tcW w:w="8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责令关闭</w:t>
            </w:r>
          </w:p>
        </w:tc>
        <w:tc>
          <w:tcPr>
            <w:tcW w:w="10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限制从业</w:t>
            </w:r>
          </w:p>
        </w:tc>
        <w:tc>
          <w:tcPr>
            <w:tcW w:w="93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行政拘留</w:t>
            </w:r>
          </w:p>
        </w:tc>
        <w:tc>
          <w:tcPr>
            <w:tcW w:w="9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其他行政处罚</w:t>
            </w:r>
          </w:p>
        </w:tc>
        <w:tc>
          <w:tcPr>
            <w:tcW w:w="11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（宗）</w:t>
            </w:r>
          </w:p>
        </w:tc>
        <w:tc>
          <w:tcPr>
            <w:tcW w:w="118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罚没金额（万元）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793" w:type="dxa"/>
            <w:vMerge w:val="continue"/>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rPr>
            </w:pPr>
          </w:p>
        </w:tc>
        <w:tc>
          <w:tcPr>
            <w:tcW w:w="121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4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07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3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1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1678</w:t>
            </w:r>
          </w:p>
        </w:tc>
        <w:tc>
          <w:tcPr>
            <w:tcW w:w="118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72.91</w:t>
            </w:r>
          </w:p>
        </w:tc>
      </w:tr>
    </w:tbl>
    <w:p>
      <w:pPr>
        <w:pStyle w:val="4"/>
        <w:keepNext w:val="0"/>
        <w:keepLines w:val="0"/>
        <w:pageBreakBefore w:val="0"/>
        <w:widowControl/>
        <w:kinsoku/>
        <w:wordWrap/>
        <w:overflowPunct/>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r>
        <w:rPr>
          <w:rFonts w:hint="eastAsia" w:ascii="仿宋_GB2312" w:hAnsi="仿宋_GB2312" w:eastAsia="仿宋_GB2312" w:cs="仿宋_GB2312"/>
          <w:sz w:val="32"/>
          <w:szCs w:val="32"/>
        </w:rPr>
        <w:t>1.行政处罚实施数量的统计范围为统计年度1月1日至12月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作出行政处罚决定的数量。2.单处一个类别行政处罚的，计入相应的行政处罚类别；并处两种以上行政处罚的，算一宗行政处罚，计入表格排序在后的行政处罚类别。如“没收违法所得，并处罚款”，计入“没收违法所得”类别；并处明确类别的行政处罚和其他行政处罚的，计入明确类别的行政处罚，如“处罚款，并处其他行政处罚”，计入“罚款”类别。行政处罚类别表格排序：（1）警告；（2）通报批评；（3）罚款；（4）没收违法所得；（5）没收非法财物；（6）暂扣许可证件；（7）降低资质等级；（8）吊销许可证件；（9）限制开展生产经营活动；（10）责令停产停业；（11）责令关闭；（12）限制从业；（13）行政拘留；（14）其他行政处罚。3.“没收非法财物”能通过评估、拍卖等手段确定金额的，计入“罚没金额”；不能确定金额的，不计入“罚没金额”。4.“罚没金额”以处罚决定书确定的金额为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年行政许可实施情况统计表</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59"/>
        <w:gridCol w:w="1581"/>
        <w:gridCol w:w="1638"/>
        <w:gridCol w:w="1583"/>
        <w:gridCol w:w="1531"/>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jc w:val="center"/>
        </w:trPr>
        <w:tc>
          <w:tcPr>
            <w:tcW w:w="9180" w:type="dxa"/>
            <w:gridSpan w:val="6"/>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行政许可实施数量（宗）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135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单位名称</w:t>
            </w:r>
          </w:p>
        </w:tc>
        <w:tc>
          <w:tcPr>
            <w:tcW w:w="158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申请数量</w:t>
            </w:r>
          </w:p>
        </w:tc>
        <w:tc>
          <w:tcPr>
            <w:tcW w:w="163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受理数量</w:t>
            </w:r>
          </w:p>
        </w:tc>
        <w:tc>
          <w:tcPr>
            <w:tcW w:w="1583"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许可数量</w:t>
            </w:r>
          </w:p>
        </w:tc>
        <w:tc>
          <w:tcPr>
            <w:tcW w:w="153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不予许可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数量</w:t>
            </w:r>
          </w:p>
        </w:tc>
        <w:tc>
          <w:tcPr>
            <w:tcW w:w="148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撤销许可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35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江夏区税务局</w:t>
            </w:r>
          </w:p>
        </w:tc>
        <w:tc>
          <w:tcPr>
            <w:tcW w:w="158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4073</w:t>
            </w:r>
          </w:p>
        </w:tc>
        <w:tc>
          <w:tcPr>
            <w:tcW w:w="163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4073</w:t>
            </w:r>
          </w:p>
        </w:tc>
        <w:tc>
          <w:tcPr>
            <w:tcW w:w="1583"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4073</w:t>
            </w:r>
          </w:p>
        </w:tc>
        <w:tc>
          <w:tcPr>
            <w:tcW w:w="153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48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说明：</w:t>
      </w:r>
      <w:r>
        <w:rPr>
          <w:rFonts w:hint="eastAsia" w:ascii="仿宋_GB2312" w:hAnsi="仿宋_GB2312" w:eastAsia="仿宋_GB2312" w:cs="仿宋_GB2312"/>
          <w:sz w:val="32"/>
          <w:szCs w:val="32"/>
        </w:rPr>
        <w:t>1.“申请数量”的统计范围为统计年度1月1日至12月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期间许可机关收到当事人许可申请的数量。2.“受理数量”、“许可数量”、“不予许可数量”、“撤销许可数量”的统计范围为统计年度1月1日至12月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期间许可机关作出受理决定、许可决定、不予许可决定和撤销许可决定的数量。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年行政强制实施情况统计表</w:t>
      </w:r>
    </w:p>
    <w:tbl>
      <w:tblPr>
        <w:tblStyle w:val="5"/>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3"/>
        <w:gridCol w:w="783"/>
        <w:gridCol w:w="758"/>
        <w:gridCol w:w="830"/>
        <w:gridCol w:w="698"/>
        <w:gridCol w:w="654"/>
        <w:gridCol w:w="792"/>
        <w:gridCol w:w="1249"/>
        <w:gridCol w:w="754"/>
        <w:gridCol w:w="498"/>
        <w:gridCol w:w="646"/>
        <w:gridCol w:w="70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2" w:hRule="atLeast"/>
          <w:jc w:val="center"/>
        </w:trPr>
        <w:tc>
          <w:tcPr>
            <w:tcW w:w="933"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名称</w:t>
            </w:r>
          </w:p>
        </w:tc>
        <w:tc>
          <w:tcPr>
            <w:tcW w:w="3069" w:type="dxa"/>
            <w:gridSpan w:val="4"/>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行政强制措施实施数量（宗）</w:t>
            </w:r>
          </w:p>
        </w:tc>
        <w:tc>
          <w:tcPr>
            <w:tcW w:w="5295" w:type="dxa"/>
            <w:gridSpan w:val="7"/>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行政强制执行实施数量（宗）</w:t>
            </w:r>
          </w:p>
        </w:tc>
        <w:tc>
          <w:tcPr>
            <w:tcW w:w="921"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合计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jc w:val="center"/>
        </w:trPr>
        <w:tc>
          <w:tcPr>
            <w:tcW w:w="933"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783"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查封场所、设施或者财物</w:t>
            </w:r>
          </w:p>
        </w:tc>
        <w:tc>
          <w:tcPr>
            <w:tcW w:w="758"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扣押财物</w:t>
            </w:r>
          </w:p>
        </w:tc>
        <w:tc>
          <w:tcPr>
            <w:tcW w:w="830"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冻结存款、汇款</w:t>
            </w:r>
          </w:p>
        </w:tc>
        <w:tc>
          <w:tcPr>
            <w:tcW w:w="698"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其他行政强制措施</w:t>
            </w:r>
          </w:p>
        </w:tc>
        <w:tc>
          <w:tcPr>
            <w:tcW w:w="4593" w:type="dxa"/>
            <w:gridSpan w:val="6"/>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行政机关强制执行</w:t>
            </w:r>
          </w:p>
        </w:tc>
        <w:tc>
          <w:tcPr>
            <w:tcW w:w="702"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申请法院强制执行</w:t>
            </w:r>
          </w:p>
        </w:tc>
        <w:tc>
          <w:tcPr>
            <w:tcW w:w="921"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58" w:hRule="atLeast"/>
          <w:jc w:val="center"/>
        </w:trPr>
        <w:tc>
          <w:tcPr>
            <w:tcW w:w="933"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783"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758"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830"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698"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65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加处罚款或者滞纳金</w:t>
            </w:r>
          </w:p>
        </w:tc>
        <w:tc>
          <w:tcPr>
            <w:tcW w:w="792"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划拨存款、汇款</w:t>
            </w:r>
          </w:p>
        </w:tc>
        <w:tc>
          <w:tcPr>
            <w:tcW w:w="124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拍卖或者依法处理查封、扣押的场所、设施或者财物</w:t>
            </w:r>
          </w:p>
        </w:tc>
        <w:tc>
          <w:tcPr>
            <w:tcW w:w="75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排除妨碍、恢复原状</w:t>
            </w:r>
          </w:p>
        </w:tc>
        <w:tc>
          <w:tcPr>
            <w:tcW w:w="49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代履行</w:t>
            </w:r>
          </w:p>
        </w:tc>
        <w:tc>
          <w:tcPr>
            <w:tcW w:w="64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其他强制执行</w:t>
            </w:r>
          </w:p>
        </w:tc>
        <w:tc>
          <w:tcPr>
            <w:tcW w:w="702"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921"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8" w:hRule="atLeast"/>
          <w:jc w:val="center"/>
        </w:trPr>
        <w:tc>
          <w:tcPr>
            <w:tcW w:w="933"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江夏区税务局</w:t>
            </w:r>
          </w:p>
        </w:tc>
        <w:tc>
          <w:tcPr>
            <w:tcW w:w="783"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75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830"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69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65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792"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124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75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498"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64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702"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92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说明：</w:t>
      </w:r>
      <w:r>
        <w:rPr>
          <w:rFonts w:hint="eastAsia" w:ascii="仿宋_GB2312" w:hAnsi="仿宋_GB2312" w:eastAsia="仿宋_GB2312" w:cs="仿宋_GB2312"/>
          <w:sz w:val="32"/>
          <w:szCs w:val="32"/>
        </w:rPr>
        <w:t>1.“行政强制措施实施数量”的统计范围为统计年度1月1日至12月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期间作出的表格所列各类行政强制措施决定的数量。2.“行政强制执行实施数量” 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期间表格所列各类行政强制执行行为执行完毕或者终结执行的数量。3.“申请法院强制执行”数量的统计范围为统计年度1月1日至12月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期间向法院申请强制执行的数量，时间以申请日期为准。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年其他行政执法行为实施情况统计表</w:t>
      </w:r>
    </w:p>
    <w:tbl>
      <w:tblPr>
        <w:tblStyle w:val="5"/>
        <w:tblW w:w="10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9"/>
        <w:gridCol w:w="541"/>
        <w:gridCol w:w="1166"/>
        <w:gridCol w:w="701"/>
        <w:gridCol w:w="626"/>
        <w:gridCol w:w="926"/>
        <w:gridCol w:w="596"/>
        <w:gridCol w:w="865"/>
        <w:gridCol w:w="870"/>
        <w:gridCol w:w="629"/>
        <w:gridCol w:w="964"/>
        <w:gridCol w:w="947"/>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6" w:hRule="atLeast"/>
          <w:jc w:val="center"/>
        </w:trPr>
        <w:tc>
          <w:tcPr>
            <w:tcW w:w="1089" w:type="dxa"/>
            <w:vMerge w:val="restart"/>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名称</w:t>
            </w:r>
          </w:p>
        </w:tc>
        <w:tc>
          <w:tcPr>
            <w:tcW w:w="1707" w:type="dxa"/>
            <w:gridSpan w:val="2"/>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行政征收</w:t>
            </w:r>
          </w:p>
        </w:tc>
        <w:tc>
          <w:tcPr>
            <w:tcW w:w="70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行政检查</w:t>
            </w:r>
          </w:p>
        </w:tc>
        <w:tc>
          <w:tcPr>
            <w:tcW w:w="1552" w:type="dxa"/>
            <w:gridSpan w:val="2"/>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行政裁决</w:t>
            </w:r>
          </w:p>
        </w:tc>
        <w:tc>
          <w:tcPr>
            <w:tcW w:w="1461" w:type="dxa"/>
            <w:gridSpan w:val="2"/>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行政给付</w:t>
            </w:r>
          </w:p>
        </w:tc>
        <w:tc>
          <w:tcPr>
            <w:tcW w:w="870"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行政确认</w:t>
            </w:r>
          </w:p>
        </w:tc>
        <w:tc>
          <w:tcPr>
            <w:tcW w:w="1593" w:type="dxa"/>
            <w:gridSpan w:val="2"/>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行政奖励</w:t>
            </w:r>
          </w:p>
        </w:tc>
        <w:tc>
          <w:tcPr>
            <w:tcW w:w="94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其他行政执法行为</w:t>
            </w:r>
          </w:p>
        </w:tc>
        <w:tc>
          <w:tcPr>
            <w:tcW w:w="77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合计</w:t>
            </w:r>
            <w:r>
              <w:rPr>
                <w:rStyle w:val="7"/>
                <w:rFonts w:hint="eastAsia" w:ascii="仿宋_GB2312" w:hAnsi="仿宋_GB2312" w:eastAsia="仿宋_GB2312" w:cs="仿宋_GB2312"/>
                <w:b w:val="0"/>
                <w:bCs/>
                <w:spacing w:val="-16"/>
                <w:w w:val="96"/>
                <w:sz w:val="24"/>
                <w:szCs w:val="24"/>
              </w:rPr>
              <w:t>（宗）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8" w:hRule="atLeast"/>
          <w:jc w:val="center"/>
        </w:trPr>
        <w:tc>
          <w:tcPr>
            <w:tcW w:w="1089" w:type="dxa"/>
            <w:vMerge w:val="continue"/>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c>
          <w:tcPr>
            <w:tcW w:w="5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宗数</w:t>
            </w:r>
          </w:p>
        </w:tc>
        <w:tc>
          <w:tcPr>
            <w:tcW w:w="116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征收总金额（万元）</w:t>
            </w:r>
          </w:p>
        </w:tc>
        <w:tc>
          <w:tcPr>
            <w:tcW w:w="70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w:t>
            </w:r>
          </w:p>
        </w:tc>
        <w:tc>
          <w:tcPr>
            <w:tcW w:w="62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w:t>
            </w:r>
          </w:p>
        </w:tc>
        <w:tc>
          <w:tcPr>
            <w:tcW w:w="92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涉及金额</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（万元）</w:t>
            </w:r>
          </w:p>
        </w:tc>
        <w:tc>
          <w:tcPr>
            <w:tcW w:w="59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w:t>
            </w:r>
          </w:p>
        </w:tc>
        <w:tc>
          <w:tcPr>
            <w:tcW w:w="86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给付总金额（万元）</w:t>
            </w:r>
          </w:p>
        </w:tc>
        <w:tc>
          <w:tcPr>
            <w:tcW w:w="870"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w:t>
            </w:r>
          </w:p>
        </w:tc>
        <w:tc>
          <w:tcPr>
            <w:tcW w:w="6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宗数</w:t>
            </w:r>
          </w:p>
        </w:tc>
        <w:tc>
          <w:tcPr>
            <w:tcW w:w="96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奖励总金额（万元）</w:t>
            </w:r>
          </w:p>
        </w:tc>
        <w:tc>
          <w:tcPr>
            <w:tcW w:w="94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Style w:val="7"/>
                <w:rFonts w:hint="eastAsia" w:ascii="仿宋_GB2312" w:hAnsi="仿宋_GB2312" w:eastAsia="仿宋_GB2312" w:cs="仿宋_GB2312"/>
                <w:b w:val="0"/>
                <w:bCs/>
                <w:sz w:val="24"/>
                <w:szCs w:val="24"/>
              </w:rPr>
            </w:pPr>
            <w:r>
              <w:rPr>
                <w:rStyle w:val="7"/>
                <w:rFonts w:hint="eastAsia" w:ascii="仿宋_GB2312" w:hAnsi="仿宋_GB2312" w:eastAsia="仿宋_GB2312" w:cs="仿宋_GB2312"/>
                <w:b w:val="0"/>
                <w:bCs/>
                <w:sz w:val="24"/>
                <w:szCs w:val="24"/>
              </w:rPr>
              <w:t>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rPr>
            </w:pPr>
            <w:r>
              <w:rPr>
                <w:rStyle w:val="7"/>
                <w:rFonts w:hint="eastAsia" w:ascii="仿宋_GB2312" w:hAnsi="仿宋_GB2312" w:eastAsia="仿宋_GB2312" w:cs="仿宋_GB2312"/>
                <w:b w:val="0"/>
                <w:bCs/>
                <w:sz w:val="24"/>
                <w:szCs w:val="24"/>
              </w:rPr>
              <w:t>数</w:t>
            </w:r>
          </w:p>
        </w:tc>
        <w:tc>
          <w:tcPr>
            <w:tcW w:w="774" w:type="dxa"/>
            <w:noWrap/>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2" w:hRule="atLeast"/>
          <w:jc w:val="center"/>
        </w:trPr>
        <w:tc>
          <w:tcPr>
            <w:tcW w:w="108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江夏区税务局</w:t>
            </w:r>
          </w:p>
        </w:tc>
        <w:tc>
          <w:tcPr>
            <w:tcW w:w="54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994</w:t>
            </w:r>
          </w:p>
        </w:tc>
        <w:tc>
          <w:tcPr>
            <w:tcW w:w="116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44283637</w:t>
            </w:r>
          </w:p>
        </w:tc>
        <w:tc>
          <w:tcPr>
            <w:tcW w:w="701"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62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92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596"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865"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870"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46298</w:t>
            </w:r>
          </w:p>
        </w:tc>
        <w:tc>
          <w:tcPr>
            <w:tcW w:w="629"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96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947"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c>
          <w:tcPr>
            <w:tcW w:w="774" w:type="dxa"/>
            <w:noWrap/>
            <w:tcMar>
              <w:top w:w="0" w:type="dxa"/>
              <w:left w:w="84" w:type="dxa"/>
              <w:bottom w:w="0" w:type="dxa"/>
              <w:right w:w="84"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说明：</w:t>
      </w:r>
      <w:r>
        <w:rPr>
          <w:rFonts w:hint="eastAsia" w:ascii="仿宋_GB2312" w:hAnsi="仿宋_GB2312" w:eastAsia="仿宋_GB2312" w:cs="仿宋_GB2312"/>
          <w:sz w:val="32"/>
          <w:szCs w:val="32"/>
        </w:rPr>
        <w:t>1.“行政征收次数”的统计范围为统计年度1月1日至12月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期间征收完毕的数量。2.“行政检查次数”的统计范围为统计年度1月1日至12月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开展行政检查的次数；检查1个检查对象，有完整、详细检查记录的，计为检查1次；无特定检查对象的巡查、巡逻，无完整、详细检查记录，检查后作出行政处罚等其他行政执法行为的，均不计为检查次数。3.“行政裁决宗数”、“行政确认宗数”、“行政奖励宗数”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期间作出决定的数量。4.“行政给付宗数”的统计范围为统计年度1月1日至12月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期间给付完毕的数量。5.“其他行政执法行为”的统计范围为统计年度1月1日至12月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期间完成的宗数。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年行政执法实施概况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96" w:firstLineChars="20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1.全面推行“三项制度”。探索推进行政执法“三项制度”制度化、规范化，有力促进行政执法公开透明、合法规范。截至目前，区局已公示25033条信息，税务执法音像平台已上传85条信息，发生重大执法决定法制审核事项案件1起，法审事项为行政强制案件</w:t>
      </w:r>
      <w:r>
        <w:rPr>
          <w:rFonts w:hint="eastAsia" w:ascii="仿宋_GB2312" w:hAnsi="仿宋_GB2312" w:eastAsia="仿宋_GB2312" w:cs="仿宋_GB2312"/>
          <w:spacing w:val="-1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92"/>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推广落实“首违不罚”清单制度。梳理《税务行政处罚“首违不罚”事项清单》，加强对《清单》的宣传和辅导，及时对纳税人易发生处罚的行为，提出合理建议，实现早预防、早改正，最大限度压缩自由裁量空间，保障纳税人的合法权益。2023年，通过电子税务局实现了纳税申报类违法行为“首违不罚”和简易处罚网上办理，同时严格落实3月份修订实施的《湖北省税务行政处罚裁量基准》，做到同案同罚，罚教结合，不断提高行政相对人税法遵从度。2023年区税务局共计处理首违不罚1288起，行政处罚1678起，罚款总计74.91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92"/>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3.完善权利救济纠纷化解机制。对于行政相对人、利益相关人等群体通过双</w:t>
      </w:r>
      <w:bookmarkStart w:id="0" w:name="_GoBack"/>
      <w:bookmarkEnd w:id="0"/>
      <w:r>
        <w:rPr>
          <w:rFonts w:hint="eastAsia" w:ascii="仿宋_GB2312" w:hAnsi="仿宋_GB2312" w:eastAsia="仿宋_GB2312" w:cs="仿宋_GB2312"/>
          <w:spacing w:val="-6"/>
          <w:sz w:val="32"/>
          <w:szCs w:val="32"/>
          <w:lang w:val="en-US" w:eastAsia="zh-CN"/>
        </w:rPr>
        <w:t>评议、投诉、复议诉讼等寻求权利救济的情况，区局依法保障权益，不断优化执法，积极化解矛盾。2023年，区局办结税务行政复议案件1起。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92"/>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4.2023江夏区税务局未发生行政检查、行政给付、行政裁决、行政奖励。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三、202</w:t>
      </w:r>
      <w:r>
        <w:rPr>
          <w:rFonts w:hint="eastAsia" w:ascii="黑体" w:hAnsi="黑体" w:eastAsia="黑体" w:cs="黑体"/>
          <w:sz w:val="32"/>
          <w:szCs w:val="32"/>
          <w:lang w:val="en-US" w:eastAsia="zh-CN"/>
        </w:rPr>
        <w:t>3</w:t>
      </w:r>
      <w:r>
        <w:rPr>
          <w:rFonts w:hint="eastAsia" w:ascii="黑体" w:hAnsi="黑体" w:eastAsia="黑体" w:cs="黑体"/>
          <w:sz w:val="32"/>
          <w:szCs w:val="32"/>
        </w:rPr>
        <w:t>年度行政执法投诉、举报案件情况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以及未接收到</w:t>
      </w:r>
      <w:r>
        <w:rPr>
          <w:rFonts w:hint="eastAsia" w:ascii="仿宋_GB2312" w:hAnsi="仿宋_GB2312" w:eastAsia="仿宋_GB2312" w:cs="仿宋_GB2312"/>
          <w:sz w:val="32"/>
          <w:szCs w:val="32"/>
        </w:rPr>
        <w:t>其他单位转办的涉及行政执法的投诉、举报案件。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国家税务总局武汉市江夏区税务局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6978"/>
    <w:rsid w:val="004C679D"/>
    <w:rsid w:val="04092FEC"/>
    <w:rsid w:val="055437F9"/>
    <w:rsid w:val="05E85863"/>
    <w:rsid w:val="06293792"/>
    <w:rsid w:val="0728798C"/>
    <w:rsid w:val="095B1852"/>
    <w:rsid w:val="0A0E108F"/>
    <w:rsid w:val="0ABC257F"/>
    <w:rsid w:val="0B9C5B37"/>
    <w:rsid w:val="10AE57C0"/>
    <w:rsid w:val="14175F5B"/>
    <w:rsid w:val="15E3155A"/>
    <w:rsid w:val="15F05FC9"/>
    <w:rsid w:val="15FC4248"/>
    <w:rsid w:val="175D06A0"/>
    <w:rsid w:val="1787451D"/>
    <w:rsid w:val="178E262E"/>
    <w:rsid w:val="18284197"/>
    <w:rsid w:val="18491270"/>
    <w:rsid w:val="18D114A2"/>
    <w:rsid w:val="1AFF53FD"/>
    <w:rsid w:val="1C1077EA"/>
    <w:rsid w:val="1D590E1A"/>
    <w:rsid w:val="1D9915E0"/>
    <w:rsid w:val="1E5534B0"/>
    <w:rsid w:val="234B22EF"/>
    <w:rsid w:val="239E20C9"/>
    <w:rsid w:val="2500672B"/>
    <w:rsid w:val="259B43A8"/>
    <w:rsid w:val="27E96A9F"/>
    <w:rsid w:val="296749F1"/>
    <w:rsid w:val="2A6A7E2A"/>
    <w:rsid w:val="2C1356C1"/>
    <w:rsid w:val="2DB96175"/>
    <w:rsid w:val="2DC139C6"/>
    <w:rsid w:val="2F8D0A0D"/>
    <w:rsid w:val="2FC74FC5"/>
    <w:rsid w:val="2FD86A69"/>
    <w:rsid w:val="311B499F"/>
    <w:rsid w:val="317924EF"/>
    <w:rsid w:val="332337B1"/>
    <w:rsid w:val="3422371D"/>
    <w:rsid w:val="34606E9C"/>
    <w:rsid w:val="35AC1D37"/>
    <w:rsid w:val="371A30E3"/>
    <w:rsid w:val="375429B2"/>
    <w:rsid w:val="37EF5F80"/>
    <w:rsid w:val="38002013"/>
    <w:rsid w:val="382F1C99"/>
    <w:rsid w:val="38F66978"/>
    <w:rsid w:val="39EE5887"/>
    <w:rsid w:val="3B0D6117"/>
    <w:rsid w:val="3CB46778"/>
    <w:rsid w:val="3EA018C6"/>
    <w:rsid w:val="41FD79AA"/>
    <w:rsid w:val="469630E5"/>
    <w:rsid w:val="4828028A"/>
    <w:rsid w:val="49BA6909"/>
    <w:rsid w:val="4A2F340D"/>
    <w:rsid w:val="4B293B98"/>
    <w:rsid w:val="4BF306D7"/>
    <w:rsid w:val="51AC315D"/>
    <w:rsid w:val="51D16C5C"/>
    <w:rsid w:val="53B629D9"/>
    <w:rsid w:val="545A3BF8"/>
    <w:rsid w:val="549F7F19"/>
    <w:rsid w:val="54DA0318"/>
    <w:rsid w:val="552C764A"/>
    <w:rsid w:val="55365869"/>
    <w:rsid w:val="55B00172"/>
    <w:rsid w:val="574300AE"/>
    <w:rsid w:val="5AEE0230"/>
    <w:rsid w:val="5C606FFB"/>
    <w:rsid w:val="61373E4B"/>
    <w:rsid w:val="61592AEE"/>
    <w:rsid w:val="61D66925"/>
    <w:rsid w:val="649A6372"/>
    <w:rsid w:val="671352C7"/>
    <w:rsid w:val="676D2B9E"/>
    <w:rsid w:val="68773121"/>
    <w:rsid w:val="69B6243D"/>
    <w:rsid w:val="6B126F2B"/>
    <w:rsid w:val="6B603998"/>
    <w:rsid w:val="6C034213"/>
    <w:rsid w:val="6C1F3401"/>
    <w:rsid w:val="6C821A66"/>
    <w:rsid w:val="6C8C5C94"/>
    <w:rsid w:val="6FE87F7F"/>
    <w:rsid w:val="70EC04C1"/>
    <w:rsid w:val="71B942CD"/>
    <w:rsid w:val="72D414DD"/>
    <w:rsid w:val="73584339"/>
    <w:rsid w:val="751B3A64"/>
    <w:rsid w:val="76842F0E"/>
    <w:rsid w:val="784858B2"/>
    <w:rsid w:val="79B04C8E"/>
    <w:rsid w:val="7ABF2815"/>
    <w:rsid w:val="7AE0462F"/>
    <w:rsid w:val="7B0C05B6"/>
    <w:rsid w:val="7C82058E"/>
    <w:rsid w:val="7DF02BDD"/>
    <w:rsid w:val="7E48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2023-12-26T02:33:00Z</dcterms:created>
  <dc:creator>罗精文</dc:creator>
  <cp:lastModifiedBy>孔祥朋</cp:lastModifiedBy>
  <dcterms:modified xsi:type="dcterms:W3CDTF">2024-01-25T09:12:16Z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