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32" w:lineRule="auto"/>
        <w:jc w:val="center"/>
        <w:rPr>
          <w:rFonts w:hint="eastAsia" w:ascii="宋体" w:hAnsi="宋体" w:eastAsia="宋体" w:cs="宋体"/>
          <w:b/>
          <w:bCs/>
          <w:color w:val="333333"/>
          <w:sz w:val="36"/>
          <w:szCs w:val="36"/>
        </w:rPr>
      </w:pPr>
    </w:p>
    <w:p>
      <w:pPr>
        <w:widowControl/>
        <w:spacing w:line="432" w:lineRule="auto"/>
        <w:jc w:val="center"/>
        <w:rPr>
          <w:rFonts w:hint="eastAsia" w:ascii="方正小标宋简体" w:hAnsi="宋体" w:eastAsia="方正小标宋简体" w:cs="宋体"/>
          <w:b/>
          <w:bCs/>
          <w:color w:val="333333"/>
          <w:kern w:val="0"/>
          <w:sz w:val="36"/>
          <w:szCs w:val="32"/>
          <w:lang w:eastAsia="zh-CN"/>
        </w:rPr>
      </w:pPr>
      <w:r>
        <w:rPr>
          <w:rFonts w:hint="eastAsia" w:ascii="方正小标宋简体" w:hAnsi="宋体" w:eastAsia="方正小标宋简体" w:cs="宋体"/>
          <w:b/>
          <w:bCs/>
          <w:color w:val="333333"/>
          <w:kern w:val="0"/>
          <w:sz w:val="36"/>
          <w:szCs w:val="32"/>
          <w:lang w:eastAsia="zh-CN"/>
        </w:rPr>
        <w:t>国家税务总局武汉东湖新技术开发区税务局</w:t>
      </w:r>
    </w:p>
    <w:p>
      <w:pPr>
        <w:pStyle w:val="2"/>
        <w:keepNext w:val="0"/>
        <w:keepLines w:val="0"/>
        <w:widowControl/>
        <w:suppressLineNumbers w:val="0"/>
        <w:spacing w:before="0" w:beforeAutospacing="0" w:after="0" w:afterAutospacing="0" w:line="432" w:lineRule="auto"/>
        <w:ind w:left="0" w:firstLine="420"/>
        <w:jc w:val="center"/>
        <w:rPr>
          <w:rFonts w:hint="eastAsia" w:ascii="宋体" w:hAnsi="宋体" w:eastAsia="宋体" w:cs="宋体"/>
        </w:rPr>
      </w:pPr>
      <w:r>
        <w:rPr>
          <w:rFonts w:hint="eastAsia" w:ascii="方正小标宋简体" w:hAnsi="宋体" w:eastAsia="方正小标宋简体" w:cs="宋体"/>
          <w:b/>
          <w:bCs/>
          <w:color w:val="333333"/>
          <w:kern w:val="0"/>
          <w:sz w:val="36"/>
          <w:szCs w:val="32"/>
          <w:lang w:val="en-US" w:eastAsia="zh-CN"/>
        </w:rPr>
        <w:t>2023年</w:t>
      </w:r>
      <w:r>
        <w:rPr>
          <w:rFonts w:hint="eastAsia" w:ascii="方正小标宋简体" w:hAnsi="宋体" w:eastAsia="方正小标宋简体" w:cs="宋体"/>
          <w:b/>
          <w:bCs/>
          <w:color w:val="333333"/>
          <w:kern w:val="0"/>
          <w:sz w:val="36"/>
          <w:szCs w:val="32"/>
        </w:rPr>
        <w:t>政府信息公开工作年度报告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color w:val="333333"/>
          <w:sz w:val="32"/>
          <w:szCs w:val="32"/>
        </w:rPr>
        <w:t>一、总体情况</w:t>
      </w:r>
    </w:p>
    <w:p>
      <w:pPr>
        <w:widowControl/>
        <w:spacing w:line="432" w:lineRule="auto"/>
        <w:ind w:firstLine="640" w:firstLineChars="200"/>
        <w:rPr>
          <w:rFonts w:hint="eastAsia" w:ascii="仿宋_GB2312" w:hAnsi="宋体" w:eastAsia="仿宋_GB2312" w:cs="宋体"/>
          <w:bCs/>
          <w:color w:val="333333"/>
          <w:kern w:val="0"/>
          <w:sz w:val="32"/>
          <w:szCs w:val="32"/>
          <w:lang w:val="en-US" w:eastAsia="zh-CN"/>
        </w:rPr>
      </w:pPr>
      <w:r>
        <w:rPr>
          <w:rFonts w:hint="eastAsia" w:ascii="仿宋_GB2312" w:hAnsi="宋体" w:eastAsia="仿宋_GB2312" w:cs="宋体"/>
          <w:bCs/>
          <w:color w:val="333333"/>
          <w:kern w:val="0"/>
          <w:sz w:val="32"/>
          <w:szCs w:val="32"/>
          <w:lang w:val="en-US" w:eastAsia="zh-CN"/>
        </w:rPr>
        <w:t>2023年，国家税务总局武汉东湖新技术开发区税务局（以下简称“区局”）深入落实《中华人民共和国政府信息公开条例》</w:t>
      </w:r>
      <w:r>
        <w:rPr>
          <w:rFonts w:hint="eastAsia" w:ascii="仿宋_GB2312" w:eastAsia="仿宋_GB2312"/>
          <w:sz w:val="32"/>
          <w:szCs w:val="32"/>
        </w:rPr>
        <w:t>《</w:t>
      </w:r>
      <w:r>
        <w:rPr>
          <w:rFonts w:hint="eastAsia" w:ascii="仿宋_GB2312" w:eastAsia="仿宋_GB2312"/>
          <w:sz w:val="32"/>
          <w:szCs w:val="32"/>
          <w:lang w:eastAsia="zh-CN"/>
        </w:rPr>
        <w:t>国务院办公厅政府信息与政府公开办公室关于印发中华人民共和国政务信息公开</w:t>
      </w:r>
      <w:r>
        <w:rPr>
          <w:rFonts w:hint="eastAsia" w:ascii="仿宋_GB2312" w:eastAsia="仿宋_GB2312"/>
          <w:sz w:val="32"/>
          <w:szCs w:val="32"/>
          <w:lang w:val="en-US" w:eastAsia="zh-CN"/>
        </w:rPr>
        <w:t>工作年度报告格式的通知</w:t>
      </w:r>
      <w:r>
        <w:rPr>
          <w:rFonts w:hint="eastAsia" w:ascii="仿宋_GB2312" w:eastAsia="仿宋_GB2312"/>
          <w:sz w:val="32"/>
          <w:szCs w:val="32"/>
        </w:rPr>
        <w:t>》</w:t>
      </w:r>
      <w:r>
        <w:rPr>
          <w:rFonts w:hint="eastAsia" w:ascii="仿宋_GB2312" w:eastAsia="仿宋_GB2312"/>
          <w:sz w:val="32"/>
          <w:szCs w:val="32"/>
          <w:lang w:eastAsia="zh-CN"/>
        </w:rPr>
        <w:t>和省、市相关工作</w:t>
      </w:r>
      <w:r>
        <w:rPr>
          <w:rFonts w:hint="eastAsia" w:ascii="仿宋_GB2312" w:eastAsia="仿宋_GB2312"/>
          <w:sz w:val="32"/>
          <w:szCs w:val="32"/>
        </w:rPr>
        <w:t>要求</w:t>
      </w:r>
      <w:r>
        <w:rPr>
          <w:rFonts w:hint="eastAsia" w:ascii="仿宋_GB2312" w:hAnsi="宋体" w:eastAsia="仿宋_GB2312" w:cs="宋体"/>
          <w:bCs/>
          <w:color w:val="333333"/>
          <w:kern w:val="0"/>
          <w:sz w:val="32"/>
          <w:szCs w:val="32"/>
          <w:lang w:val="en-US" w:eastAsia="zh-CN"/>
        </w:rPr>
        <w:t>，</w:t>
      </w:r>
      <w:r>
        <w:rPr>
          <w:rFonts w:hint="eastAsia" w:ascii="仿宋_GB2312" w:hAnsi="宋体" w:eastAsia="仿宋_GB2312"/>
          <w:sz w:val="32"/>
          <w:szCs w:val="32"/>
        </w:rPr>
        <w:t>坚持</w:t>
      </w:r>
      <w:r>
        <w:rPr>
          <w:rFonts w:hint="eastAsia" w:ascii="仿宋_GB2312" w:hAnsi="宋体" w:eastAsia="仿宋_GB2312"/>
          <w:sz w:val="32"/>
          <w:szCs w:val="32"/>
          <w:lang w:eastAsia="zh-CN"/>
        </w:rPr>
        <w:t>“</w:t>
      </w:r>
      <w:r>
        <w:rPr>
          <w:rFonts w:hint="eastAsia" w:ascii="仿宋_GB2312" w:hAnsi="宋体" w:eastAsia="仿宋_GB2312"/>
          <w:sz w:val="32"/>
          <w:szCs w:val="32"/>
        </w:rPr>
        <w:t>以</w:t>
      </w:r>
      <w:r>
        <w:rPr>
          <w:rFonts w:hint="eastAsia" w:ascii="仿宋_GB2312" w:hAnsi="宋体" w:eastAsia="仿宋_GB2312" w:cs="宋体"/>
          <w:bCs/>
          <w:color w:val="333333"/>
          <w:kern w:val="0"/>
          <w:sz w:val="32"/>
          <w:szCs w:val="32"/>
          <w:lang w:val="en-US" w:eastAsia="zh-CN"/>
        </w:rPr>
        <w:t>公开为常态、不公开为例外”，有序推进政务信息公开工作，更好地发挥信息公开对建设法治、创新、服务、廉洁税务机关的促进作用。</w:t>
      </w:r>
    </w:p>
    <w:p>
      <w:pPr>
        <w:numPr>
          <w:ilvl w:val="0"/>
          <w:numId w:val="0"/>
        </w:numPr>
        <w:ind w:firstLine="643" w:firstLineChars="200"/>
        <w:rPr>
          <w:rFonts w:hint="eastAsia" w:ascii="仿宋" w:hAnsi="仿宋" w:eastAsia="仿宋" w:cs="仿宋"/>
          <w:sz w:val="32"/>
          <w:szCs w:val="32"/>
        </w:rPr>
      </w:pPr>
      <w:r>
        <w:rPr>
          <w:rFonts w:hint="eastAsia" w:ascii="楷体_GB2312" w:eastAsia="楷体_GB2312"/>
          <w:b/>
          <w:sz w:val="32"/>
          <w:szCs w:val="32"/>
        </w:rPr>
        <w:t>（</w:t>
      </w:r>
      <w:r>
        <w:rPr>
          <w:rFonts w:hint="eastAsia" w:ascii="楷体_GB2312" w:eastAsia="楷体_GB2312"/>
          <w:b/>
          <w:sz w:val="32"/>
          <w:szCs w:val="32"/>
          <w:lang w:eastAsia="zh-CN"/>
        </w:rPr>
        <w:t>一</w:t>
      </w:r>
      <w:r>
        <w:rPr>
          <w:rFonts w:hint="eastAsia" w:ascii="楷体_GB2312" w:eastAsia="楷体_GB2312"/>
          <w:b/>
          <w:sz w:val="32"/>
          <w:szCs w:val="32"/>
        </w:rPr>
        <w:t>）主动公开情况。</w:t>
      </w:r>
      <w:r>
        <w:rPr>
          <w:rFonts w:hint="eastAsia" w:ascii="仿宋_GB2312" w:eastAsia="仿宋_GB2312"/>
          <w:sz w:val="32"/>
          <w:szCs w:val="32"/>
        </w:rPr>
        <w:t>区局通过武汉市税务局门户网站、湖北省税务局、湖北税务行政执法信息公示平台、内部办公网等渠道，</w:t>
      </w:r>
      <w:r>
        <w:rPr>
          <w:rFonts w:hint="eastAsia" w:ascii="仿宋_GB2312" w:hAnsi="仿宋_GB2312" w:eastAsia="仿宋_GB2312" w:cs="仿宋_GB2312"/>
          <w:color w:val="000000" w:themeColor="text1"/>
          <w:sz w:val="32"/>
          <w:szCs w:val="32"/>
          <w14:textFill>
            <w14:solidFill>
              <w14:schemeClr w14:val="tx1"/>
            </w14:solidFill>
          </w14:textFill>
        </w:rPr>
        <w:t>主动公开政府信息，包括机构职能、领导简介、工作动态</w:t>
      </w:r>
      <w:r>
        <w:rPr>
          <w:rFonts w:hint="eastAsia" w:ascii="仿宋" w:hAnsi="仿宋" w:eastAsia="仿宋" w:cs="仿宋"/>
          <w:sz w:val="32"/>
          <w:szCs w:val="32"/>
        </w:rPr>
        <w:t>、办公地址、办公时间、联系方式</w:t>
      </w:r>
      <w:r>
        <w:rPr>
          <w:rFonts w:hint="eastAsia" w:ascii="仿宋_GB2312" w:hAnsi="仿宋_GB2312" w:eastAsia="仿宋_GB2312" w:cs="仿宋_GB2312"/>
          <w:color w:val="000000" w:themeColor="text1"/>
          <w:sz w:val="32"/>
          <w:szCs w:val="32"/>
          <w14:textFill>
            <w14:solidFill>
              <w14:schemeClr w14:val="tx1"/>
            </w14:solidFill>
          </w14:textFill>
        </w:rPr>
        <w:t>等政府信息</w:t>
      </w:r>
      <w:r>
        <w:rPr>
          <w:rFonts w:hint="eastAsia" w:ascii="仿宋" w:hAnsi="仿宋" w:eastAsia="仿宋" w:cs="仿宋"/>
          <w:sz w:val="32"/>
          <w:szCs w:val="32"/>
          <w:lang w:eastAsia="zh-CN"/>
        </w:rPr>
        <w:t>。区局202</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年发布“行政许可的信息”</w:t>
      </w:r>
      <w:r>
        <w:rPr>
          <w:rFonts w:hint="eastAsia" w:ascii="仿宋" w:hAnsi="仿宋" w:eastAsia="仿宋" w:cs="仿宋"/>
          <w:sz w:val="32"/>
          <w:szCs w:val="32"/>
          <w:lang w:val="en-US" w:eastAsia="zh-CN"/>
        </w:rPr>
        <w:t>12455</w:t>
      </w:r>
      <w:r>
        <w:rPr>
          <w:rFonts w:hint="eastAsia" w:ascii="仿宋" w:hAnsi="仿宋" w:eastAsia="仿宋" w:cs="仿宋"/>
          <w:sz w:val="32"/>
          <w:szCs w:val="32"/>
          <w:lang w:eastAsia="zh-CN"/>
        </w:rPr>
        <w:t>户次，执法信息公示平台202</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年发布“税务行政处罚信息”</w:t>
      </w:r>
      <w:r>
        <w:rPr>
          <w:rFonts w:hint="eastAsia" w:ascii="仿宋" w:hAnsi="仿宋" w:eastAsia="仿宋" w:cs="仿宋"/>
          <w:sz w:val="32"/>
          <w:szCs w:val="32"/>
          <w:lang w:val="en-US" w:eastAsia="zh-CN"/>
        </w:rPr>
        <w:t>3556</w:t>
      </w:r>
      <w:r>
        <w:rPr>
          <w:rFonts w:hint="eastAsia" w:ascii="仿宋" w:hAnsi="仿宋" w:eastAsia="仿宋" w:cs="仿宋"/>
          <w:sz w:val="32"/>
          <w:szCs w:val="32"/>
          <w:lang w:eastAsia="zh-CN"/>
        </w:rPr>
        <w:t>户次，行政强制</w:t>
      </w:r>
      <w:r>
        <w:rPr>
          <w:rFonts w:hint="eastAsia" w:ascii="仿宋" w:hAnsi="仿宋" w:eastAsia="仿宋" w:cs="仿宋"/>
          <w:sz w:val="32"/>
          <w:szCs w:val="32"/>
          <w:lang w:val="en-US" w:eastAsia="zh-CN"/>
        </w:rPr>
        <w:t>14次</w:t>
      </w:r>
      <w:r>
        <w:rPr>
          <w:rFonts w:hint="eastAsia" w:ascii="仿宋" w:hAnsi="仿宋" w:eastAsia="仿宋" w:cs="仿宋"/>
          <w:sz w:val="32"/>
          <w:szCs w:val="32"/>
          <w:lang w:eastAsia="zh-CN"/>
        </w:rPr>
        <w:t>。</w:t>
      </w:r>
    </w:p>
    <w:p>
      <w:pPr>
        <w:numPr>
          <w:ilvl w:val="0"/>
          <w:numId w:val="0"/>
        </w:numPr>
        <w:ind w:firstLine="643" w:firstLineChars="200"/>
        <w:rPr>
          <w:rFonts w:hint="eastAsia" w:ascii="仿宋" w:hAnsi="仿宋" w:eastAsia="仿宋" w:cs="仿宋"/>
          <w:color w:val="000000" w:themeColor="text1"/>
          <w:sz w:val="32"/>
          <w:szCs w:val="32"/>
          <w14:textFill>
            <w14:solidFill>
              <w14:schemeClr w14:val="tx1"/>
            </w14:solidFill>
          </w14:textFill>
        </w:rPr>
      </w:pPr>
      <w:r>
        <w:rPr>
          <w:rFonts w:hint="eastAsia" w:ascii="楷体_GB2312" w:eastAsia="楷体_GB2312"/>
          <w:b/>
          <w:sz w:val="32"/>
          <w:szCs w:val="32"/>
        </w:rPr>
        <w:t>（</w:t>
      </w:r>
      <w:r>
        <w:rPr>
          <w:rFonts w:hint="eastAsia" w:ascii="楷体_GB2312" w:eastAsia="楷体_GB2312"/>
          <w:b/>
          <w:sz w:val="32"/>
          <w:szCs w:val="32"/>
          <w:lang w:eastAsia="zh-CN"/>
        </w:rPr>
        <w:t>二</w:t>
      </w:r>
      <w:r>
        <w:rPr>
          <w:rFonts w:hint="eastAsia" w:ascii="楷体_GB2312" w:eastAsia="楷体_GB2312"/>
          <w:b/>
          <w:sz w:val="32"/>
          <w:szCs w:val="32"/>
        </w:rPr>
        <w:t>）依申请公开情况。</w:t>
      </w:r>
      <w:r>
        <w:rPr>
          <w:rFonts w:hint="eastAsia" w:ascii="仿宋_GB2312" w:eastAsia="仿宋_GB2312"/>
          <w:color w:val="000000" w:themeColor="text1"/>
          <w:sz w:val="32"/>
          <w:szCs w:val="32"/>
          <w14:textFill>
            <w14:solidFill>
              <w14:schemeClr w14:val="tx1"/>
            </w14:solidFill>
          </w14:textFill>
        </w:rPr>
        <w:t>区局202</w:t>
      </w:r>
      <w:r>
        <w:rPr>
          <w:rFonts w:hint="eastAsia" w:ascii="仿宋_GB2312" w:eastAsia="仿宋_GB2312"/>
          <w:color w:val="000000" w:themeColor="text1"/>
          <w:sz w:val="32"/>
          <w:szCs w:val="32"/>
          <w:lang w:val="en-US" w:eastAsia="zh-CN"/>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年依法受理了自然人依申请公开</w:t>
      </w:r>
      <w:r>
        <w:rPr>
          <w:rFonts w:hint="eastAsia" w:ascii="仿宋_GB2312" w:eastAsia="仿宋_GB2312"/>
          <w:color w:val="000000" w:themeColor="text1"/>
          <w:sz w:val="32"/>
          <w:szCs w:val="32"/>
          <w:lang w:val="en-US" w:eastAsia="zh-CN"/>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件。区局严格依照《中华人民共和国政府信息公开条例》</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从受理、办理、答复</w:t>
      </w:r>
      <w:r>
        <w:rPr>
          <w:rFonts w:hint="eastAsia" w:ascii="仿宋_GB2312" w:eastAsia="仿宋_GB2312"/>
          <w:color w:val="000000" w:themeColor="text1"/>
          <w:sz w:val="32"/>
          <w:szCs w:val="32"/>
          <w:lang w:eastAsia="zh-CN"/>
          <w14:textFill>
            <w14:solidFill>
              <w14:schemeClr w14:val="tx1"/>
            </w14:solidFill>
          </w14:textFill>
        </w:rPr>
        <w:t>等</w:t>
      </w:r>
      <w:r>
        <w:rPr>
          <w:rFonts w:hint="eastAsia" w:ascii="仿宋_GB2312" w:eastAsia="仿宋_GB2312"/>
          <w:color w:val="000000" w:themeColor="text1"/>
          <w:sz w:val="32"/>
          <w:szCs w:val="32"/>
          <w14:textFill>
            <w14:solidFill>
              <w14:schemeClr w14:val="tx1"/>
            </w14:solidFill>
          </w14:textFill>
        </w:rPr>
        <w:t>环节规范依申请公开流程。严格按照工作时限要求，妥善处理依申请公开中遇到的新情况、新问题，进一步提升答复效率，切实做到依法有据、严谨规范。</w:t>
      </w:r>
    </w:p>
    <w:p>
      <w:pPr>
        <w:ind w:firstLine="643" w:firstLineChars="200"/>
        <w:rPr>
          <w:rFonts w:hint="eastAsia" w:ascii="仿宋_GB2312" w:eastAsia="仿宋_GB2312"/>
          <w:sz w:val="32"/>
          <w:szCs w:val="32"/>
        </w:rPr>
      </w:pPr>
      <w:r>
        <w:rPr>
          <w:rFonts w:hint="eastAsia" w:ascii="楷体_GB2312" w:eastAsia="楷体_GB2312"/>
          <w:b/>
          <w:sz w:val="32"/>
          <w:szCs w:val="32"/>
        </w:rPr>
        <w:t>（</w:t>
      </w:r>
      <w:r>
        <w:rPr>
          <w:rFonts w:hint="eastAsia" w:ascii="楷体_GB2312" w:eastAsia="楷体_GB2312"/>
          <w:b/>
          <w:sz w:val="32"/>
          <w:szCs w:val="32"/>
          <w:lang w:eastAsia="zh-CN"/>
        </w:rPr>
        <w:t>三</w:t>
      </w:r>
      <w:r>
        <w:rPr>
          <w:rFonts w:hint="eastAsia" w:ascii="楷体_GB2312" w:eastAsia="楷体_GB2312"/>
          <w:b/>
          <w:sz w:val="32"/>
          <w:szCs w:val="32"/>
        </w:rPr>
        <w:t>）政府信息管理情况。</w:t>
      </w:r>
      <w:r>
        <w:rPr>
          <w:rFonts w:hint="eastAsia" w:ascii="仿宋_GB2312" w:eastAsia="仿宋_GB2312"/>
          <w:sz w:val="32"/>
          <w:szCs w:val="32"/>
        </w:rPr>
        <w:t>不断完善政府信息公开协调机制、审查机制、发布机制、动态调整机制。加强区局网页建设，做到更新及时，确保监测到位。严格对外信息发布审批流程，加强信息公开审查，严防泄密事件的发生。持续加强政府信息日常管理，推动政府信息的动态更新调整，确保政府信息公开事项落实落细；同时，加强政府信息源头管理，完善政府信息公开报送、审核和发布工作流程，提高政府信息公开工作效率，做好登记、审核、办理、答复、归档等流程，加强工作规范，严格执行保密审查制度，</w:t>
      </w:r>
      <w:r>
        <w:rPr>
          <w:rFonts w:hint="eastAsia" w:ascii="仿宋_GB2312" w:eastAsia="仿宋_GB2312"/>
          <w:sz w:val="32"/>
          <w:szCs w:val="32"/>
          <w:lang w:eastAsia="zh-CN"/>
        </w:rPr>
        <w:t>公开工作流程按相关政策运转有序</w:t>
      </w:r>
      <w:r>
        <w:rPr>
          <w:rFonts w:hint="eastAsia" w:ascii="仿宋_GB2312" w:eastAsia="仿宋_GB2312"/>
          <w:sz w:val="32"/>
          <w:szCs w:val="32"/>
        </w:rPr>
        <w:t>。</w:t>
      </w:r>
    </w:p>
    <w:p>
      <w:pPr>
        <w:ind w:firstLine="643" w:firstLineChars="200"/>
        <w:rPr>
          <w:rFonts w:hint="eastAsia" w:ascii="仿宋_GB2312" w:eastAsia="仿宋_GB2312"/>
          <w:sz w:val="32"/>
          <w:szCs w:val="32"/>
        </w:rPr>
      </w:pPr>
      <w:r>
        <w:rPr>
          <w:rFonts w:hint="eastAsia" w:ascii="楷体_GB2312" w:eastAsia="楷体_GB2312"/>
          <w:b/>
          <w:sz w:val="32"/>
          <w:szCs w:val="32"/>
        </w:rPr>
        <w:t>（</w:t>
      </w:r>
      <w:r>
        <w:rPr>
          <w:rFonts w:hint="eastAsia" w:ascii="楷体_GB2312" w:eastAsia="楷体_GB2312"/>
          <w:b/>
          <w:sz w:val="32"/>
          <w:szCs w:val="32"/>
          <w:lang w:eastAsia="zh-CN"/>
        </w:rPr>
        <w:t>四</w:t>
      </w:r>
      <w:r>
        <w:rPr>
          <w:rFonts w:hint="eastAsia" w:ascii="楷体_GB2312" w:eastAsia="楷体_GB2312"/>
          <w:b/>
          <w:sz w:val="32"/>
          <w:szCs w:val="32"/>
        </w:rPr>
        <w:t>）平台建设情况。</w:t>
      </w:r>
      <w:r>
        <w:rPr>
          <w:rFonts w:hint="eastAsia" w:ascii="仿宋_GB2312" w:eastAsia="仿宋_GB2312"/>
          <w:sz w:val="32"/>
          <w:szCs w:val="32"/>
        </w:rPr>
        <w:t>区局利用武汉市税务局门户网站“政府信息依申请在线申请平台”接受依申请公开，纳税人可选择“当面申请、邮政寄送、在线申请”等多种方式发起依申请公开</w:t>
      </w:r>
      <w:r>
        <w:rPr>
          <w:rFonts w:hint="eastAsia" w:ascii="仿宋_GB2312" w:eastAsia="仿宋_GB2312"/>
          <w:sz w:val="32"/>
          <w:szCs w:val="32"/>
          <w:lang w:eastAsia="zh-CN"/>
        </w:rPr>
        <w:t>。明确专人负责政府信息公开的日常工作，按要求做好更新工作。确保公开渠道畅通。</w:t>
      </w:r>
      <w:r>
        <w:rPr>
          <w:rFonts w:hint="eastAsia" w:ascii="仿宋_GB2312" w:eastAsia="仿宋_GB2312"/>
          <w:sz w:val="32"/>
          <w:szCs w:val="32"/>
          <w:lang w:val="en-US" w:eastAsia="zh-CN"/>
        </w:rPr>
        <w:t>2023年，区局接受平台在线申请1件</w:t>
      </w:r>
      <w:r>
        <w:rPr>
          <w:rFonts w:hint="eastAsia" w:ascii="仿宋_GB2312" w:eastAsia="仿宋_GB2312"/>
          <w:sz w:val="32"/>
          <w:szCs w:val="32"/>
        </w:rPr>
        <w:t>。</w:t>
      </w:r>
    </w:p>
    <w:p>
      <w:pPr>
        <w:spacing w:line="560" w:lineRule="exact"/>
        <w:ind w:firstLine="646"/>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楷体_GB2312" w:eastAsia="楷体_GB2312"/>
          <w:b/>
          <w:sz w:val="32"/>
          <w:szCs w:val="32"/>
        </w:rPr>
        <w:t>（</w:t>
      </w:r>
      <w:r>
        <w:rPr>
          <w:rFonts w:hint="eastAsia" w:ascii="楷体_GB2312" w:eastAsia="楷体_GB2312"/>
          <w:b/>
          <w:sz w:val="32"/>
          <w:szCs w:val="32"/>
          <w:lang w:eastAsia="zh-CN"/>
        </w:rPr>
        <w:t>五）</w:t>
      </w:r>
      <w:r>
        <w:rPr>
          <w:rFonts w:hint="eastAsia" w:ascii="楷体_GB2312" w:eastAsia="楷体_GB2312"/>
          <w:b/>
          <w:sz w:val="32"/>
          <w:szCs w:val="32"/>
        </w:rPr>
        <w:t>监督保障情况。</w:t>
      </w:r>
      <w:r>
        <w:rPr>
          <w:rFonts w:hint="eastAsia" w:ascii="仿宋_GB2312" w:eastAsia="仿宋_GB2312"/>
          <w:sz w:val="32"/>
          <w:szCs w:val="32"/>
        </w:rPr>
        <w:t>区局政府信息公开领导小组发挥引领作用</w:t>
      </w:r>
      <w:r>
        <w:rPr>
          <w:rFonts w:hint="eastAsia" w:ascii="仿宋_GB2312" w:eastAsia="仿宋_GB2312"/>
          <w:sz w:val="32"/>
          <w:szCs w:val="32"/>
          <w:lang w:eastAsia="zh-CN"/>
        </w:rPr>
        <w:t>，</w:t>
      </w:r>
      <w:r>
        <w:rPr>
          <w:rFonts w:hint="eastAsia" w:ascii="仿宋_GB2312" w:hAnsi="仿宋_GB2312" w:eastAsia="仿宋_GB2312" w:cs="仿宋_GB2312"/>
          <w:color w:val="000000" w:themeColor="text1"/>
          <w:sz w:val="32"/>
          <w:szCs w:val="32"/>
          <w14:textFill>
            <w14:solidFill>
              <w14:schemeClr w14:val="tx1"/>
            </w14:solidFill>
          </w14:textFill>
        </w:rPr>
        <w:t>认真学习掌握落实上级政务公开工作要求</w:t>
      </w:r>
      <w:r>
        <w:rPr>
          <w:rFonts w:hint="eastAsia" w:ascii="仿宋_GB2312" w:hAnsi="仿宋_GB2312" w:eastAsia="仿宋_GB2312" w:cs="仿宋_GB2312"/>
          <w:color w:val="000000" w:themeColor="text1"/>
          <w:sz w:val="32"/>
          <w:szCs w:val="32"/>
          <w:lang w:eastAsia="zh-CN"/>
          <w14:textFill>
            <w14:solidFill>
              <w14:schemeClr w14:val="tx1"/>
            </w14:solidFill>
          </w14:textFill>
        </w:rPr>
        <w:t>，严格执行政府信息保密审查制度，做到“谁公开、谁负责”“先审查，后公开”“一事一审”监督保障情况，确保公开信息要素齐全、内容完整准确，不断提高信息公开质量。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黑体" w:hAnsi="黑体" w:eastAsia="黑体" w:cs="黑体"/>
          <w:b w:val="0"/>
          <w:bCs w:val="0"/>
          <w:color w:val="333333"/>
          <w:sz w:val="32"/>
          <w:szCs w:val="32"/>
        </w:rPr>
      </w:pPr>
      <w:r>
        <w:rPr>
          <w:rFonts w:hint="eastAsia" w:ascii="黑体" w:hAnsi="黑体" w:eastAsia="黑体" w:cs="黑体"/>
          <w:b w:val="0"/>
          <w:bCs w:val="0"/>
          <w:color w:val="333333"/>
          <w:sz w:val="32"/>
          <w:szCs w:val="32"/>
        </w:rPr>
        <w:t>二、主动公开政府信息情况</w:t>
      </w:r>
    </w:p>
    <w:tbl>
      <w:tblPr>
        <w:tblStyle w:val="3"/>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105"/>
        <w:gridCol w:w="2105"/>
        <w:gridCol w:w="2105"/>
        <w:gridCol w:w="21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5000" w:type="pct"/>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信息内容</w:t>
            </w:r>
          </w:p>
        </w:tc>
        <w:tc>
          <w:tcPr>
            <w:tcW w:w="1250" w:type="pct"/>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本年</w:t>
            </w:r>
            <w:r>
              <w:rPr>
                <w:rFonts w:hint="eastAsia" w:ascii="宋体" w:hAnsi="宋体" w:eastAsia="宋体" w:cs="宋体"/>
                <w:color w:val="333333"/>
                <w:kern w:val="0"/>
                <w:sz w:val="21"/>
                <w:szCs w:val="21"/>
                <w:lang w:val="en-US" w:eastAsia="zh-CN" w:bidi="ar"/>
              </w:rPr>
              <w:t>制发件数</w:t>
            </w:r>
          </w:p>
        </w:tc>
        <w:tc>
          <w:tcPr>
            <w:tcW w:w="1250" w:type="pct"/>
            <w:tcBorders>
              <w:top w:val="single" w:color="auto" w:sz="8" w:space="0"/>
              <w:left w:val="nil"/>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本年废止件数</w:t>
            </w:r>
          </w:p>
        </w:tc>
        <w:tc>
          <w:tcPr>
            <w:tcW w:w="1250" w:type="pct"/>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现行有效件</w:t>
            </w:r>
            <w:r>
              <w:rPr>
                <w:rFonts w:hint="eastAsia" w:ascii="宋体" w:hAnsi="宋体" w:eastAsia="宋体" w:cs="宋体"/>
                <w:color w:val="333333"/>
                <w:kern w:val="0"/>
                <w:sz w:val="21"/>
                <w:szCs w:val="21"/>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21"/>
                <w:szCs w:val="21"/>
              </w:rPr>
            </w:pPr>
            <w:r>
              <w:rPr>
                <w:rFonts w:hint="eastAsia" w:ascii="宋体" w:hAnsi="宋体" w:eastAsia="宋体" w:cs="宋体"/>
                <w:color w:val="000000"/>
                <w:kern w:val="0"/>
                <w:sz w:val="21"/>
                <w:szCs w:val="21"/>
                <w:lang w:val="en-US" w:eastAsia="zh-CN" w:bidi="ar"/>
              </w:rPr>
              <w:t>规章</w:t>
            </w:r>
          </w:p>
        </w:tc>
        <w:tc>
          <w:tcPr>
            <w:tcW w:w="1250"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sz w:val="21"/>
                <w:szCs w:val="21"/>
                <w:lang w:val="en-US"/>
              </w:rPr>
            </w:pPr>
            <w:r>
              <w:rPr>
                <w:rFonts w:hint="eastAsia" w:ascii="宋体" w:hAnsi="宋体" w:eastAsia="宋体" w:cs="宋体"/>
                <w:color w:val="000000"/>
                <w:kern w:val="0"/>
                <w:sz w:val="21"/>
                <w:szCs w:val="21"/>
                <w:lang w:val="en-US" w:eastAsia="zh-CN" w:bidi="ar"/>
              </w:rPr>
              <w:t>　　0</w:t>
            </w:r>
          </w:p>
        </w:tc>
        <w:tc>
          <w:tcPr>
            <w:tcW w:w="1250" w:type="pct"/>
            <w:tcBorders>
              <w:top w:val="nil"/>
              <w:left w:val="nil"/>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sz w:val="21"/>
                <w:szCs w:val="21"/>
                <w:lang w:val="en-US"/>
              </w:rPr>
            </w:pPr>
            <w:r>
              <w:rPr>
                <w:rFonts w:hint="eastAsia" w:ascii="宋体" w:hAnsi="宋体" w:eastAsia="宋体" w:cs="宋体"/>
                <w:color w:val="000000"/>
                <w:kern w:val="0"/>
                <w:sz w:val="21"/>
                <w:szCs w:val="21"/>
                <w:lang w:val="en-US" w:eastAsia="zh-CN" w:bidi="ar"/>
              </w:rPr>
              <w:t> 　0</w:t>
            </w:r>
          </w:p>
        </w:tc>
        <w:tc>
          <w:tcPr>
            <w:tcW w:w="1250"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sz w:val="21"/>
                <w:szCs w:val="21"/>
                <w:lang w:val="en-US"/>
              </w:rPr>
            </w:pPr>
            <w:r>
              <w:rPr>
                <w:rFonts w:ascii="Calibri" w:hAnsi="Calibri" w:eastAsia="宋体" w:cs="Calibri"/>
                <w:color w:val="333333"/>
                <w:kern w:val="2"/>
                <w:sz w:val="21"/>
                <w:szCs w:val="21"/>
                <w:lang w:val="en-US" w:eastAsia="zh-CN" w:bidi="ar"/>
              </w:rPr>
              <w:t> </w:t>
            </w:r>
            <w:r>
              <w:rPr>
                <w:rFonts w:hint="eastAsia" w:ascii="Calibri" w:hAnsi="Calibri" w:eastAsia="宋体" w:cs="Calibri"/>
                <w:color w:val="333333"/>
                <w:kern w:val="2"/>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21"/>
                <w:szCs w:val="21"/>
              </w:rPr>
            </w:pPr>
            <w:r>
              <w:rPr>
                <w:rFonts w:hint="eastAsia" w:ascii="宋体" w:hAnsi="宋体" w:eastAsia="宋体" w:cs="宋体"/>
                <w:color w:val="000000"/>
                <w:kern w:val="0"/>
                <w:sz w:val="21"/>
                <w:szCs w:val="21"/>
                <w:lang w:val="en-US" w:eastAsia="zh-CN" w:bidi="ar"/>
              </w:rPr>
              <w:t>行政规范性文件</w:t>
            </w:r>
          </w:p>
        </w:tc>
        <w:tc>
          <w:tcPr>
            <w:tcW w:w="1250"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sz w:val="21"/>
                <w:szCs w:val="21"/>
                <w:lang w:val="en-US"/>
              </w:rPr>
            </w:pPr>
            <w:r>
              <w:rPr>
                <w:rFonts w:hint="eastAsia" w:ascii="宋体" w:hAnsi="宋体" w:eastAsia="宋体" w:cs="宋体"/>
                <w:color w:val="000000"/>
                <w:kern w:val="0"/>
                <w:sz w:val="21"/>
                <w:szCs w:val="21"/>
                <w:lang w:val="en-US" w:eastAsia="zh-CN" w:bidi="ar"/>
              </w:rPr>
              <w:t>　　0</w:t>
            </w:r>
          </w:p>
        </w:tc>
        <w:tc>
          <w:tcPr>
            <w:tcW w:w="1250" w:type="pct"/>
            <w:tcBorders>
              <w:top w:val="nil"/>
              <w:left w:val="nil"/>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sz w:val="21"/>
                <w:szCs w:val="21"/>
                <w:lang w:val="en-US"/>
              </w:rPr>
            </w:pPr>
            <w:r>
              <w:rPr>
                <w:rFonts w:hint="eastAsia" w:ascii="宋体" w:hAnsi="宋体" w:eastAsia="宋体" w:cs="宋体"/>
                <w:color w:val="000000"/>
                <w:kern w:val="0"/>
                <w:sz w:val="21"/>
                <w:szCs w:val="21"/>
                <w:lang w:val="en-US" w:eastAsia="zh-CN" w:bidi="ar"/>
              </w:rPr>
              <w:t> 　0</w:t>
            </w:r>
          </w:p>
        </w:tc>
        <w:tc>
          <w:tcPr>
            <w:tcW w:w="1250"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sz w:val="21"/>
                <w:szCs w:val="21"/>
                <w:lang w:val="en-US"/>
              </w:rPr>
            </w:pPr>
            <w:r>
              <w:rPr>
                <w:rFonts w:hint="default" w:ascii="Calibri" w:hAnsi="Calibri" w:eastAsia="宋体" w:cs="Calibri"/>
                <w:color w:val="333333"/>
                <w:kern w:val="2"/>
                <w:sz w:val="21"/>
                <w:szCs w:val="21"/>
                <w:lang w:val="en-US" w:eastAsia="zh-CN" w:bidi="ar"/>
              </w:rPr>
              <w:t> </w:t>
            </w:r>
            <w:r>
              <w:rPr>
                <w:rFonts w:hint="eastAsia" w:ascii="Calibri" w:hAnsi="Calibri" w:eastAsia="宋体" w:cs="Calibri"/>
                <w:color w:val="333333"/>
                <w:kern w:val="2"/>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信息内容</w:t>
            </w:r>
          </w:p>
        </w:tc>
        <w:tc>
          <w:tcPr>
            <w:tcW w:w="3750" w:type="pct"/>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single" w:color="auto" w:sz="8" w:space="0"/>
              <w:left w:val="single" w:color="auto" w:sz="8" w:space="0"/>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21"/>
                <w:szCs w:val="21"/>
                <w:highlight w:val="yellow"/>
              </w:rPr>
            </w:pPr>
            <w:r>
              <w:rPr>
                <w:rFonts w:hint="eastAsia" w:ascii="宋体" w:hAnsi="宋体" w:eastAsia="宋体" w:cs="宋体"/>
                <w:color w:val="000000"/>
                <w:kern w:val="0"/>
                <w:sz w:val="21"/>
                <w:szCs w:val="21"/>
                <w:highlight w:val="none"/>
                <w:lang w:val="en-US" w:eastAsia="zh-CN" w:bidi="ar"/>
              </w:rPr>
              <w:t>行政许可</w:t>
            </w:r>
          </w:p>
        </w:tc>
        <w:tc>
          <w:tcPr>
            <w:tcW w:w="3750" w:type="pct"/>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sz w:val="21"/>
                <w:szCs w:val="21"/>
                <w:highlight w:val="yellow"/>
                <w:lang w:val="en-US"/>
              </w:rPr>
            </w:pPr>
            <w:r>
              <w:rPr>
                <w:rFonts w:hint="eastAsia" w:ascii="宋体" w:hAnsi="宋体" w:eastAsia="宋体" w:cs="宋体"/>
                <w:color w:val="000000"/>
                <w:kern w:val="0"/>
                <w:sz w:val="21"/>
                <w:szCs w:val="21"/>
                <w:lang w:val="en-US" w:eastAsia="zh-CN" w:bidi="ar"/>
              </w:rPr>
              <w:t> 12455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sz w:val="21"/>
                <w:szCs w:val="21"/>
              </w:rPr>
            </w:pPr>
            <w:r>
              <w:rPr>
                <w:rFonts w:hint="eastAsia" w:ascii="宋体" w:hAnsi="宋体" w:eastAsia="宋体" w:cs="宋体"/>
                <w:color w:val="000000"/>
                <w:kern w:val="0"/>
                <w:sz w:val="21"/>
                <w:szCs w:val="21"/>
                <w:lang w:val="en-US" w:eastAsia="zh-CN" w:bidi="ar"/>
              </w:rPr>
              <w:t>信息内容</w:t>
            </w:r>
          </w:p>
        </w:tc>
        <w:tc>
          <w:tcPr>
            <w:tcW w:w="3750" w:type="pct"/>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sz w:val="21"/>
                <w:szCs w:val="21"/>
              </w:rPr>
            </w:pPr>
            <w:r>
              <w:rPr>
                <w:rFonts w:hint="eastAsia" w:ascii="宋体" w:hAnsi="宋体" w:eastAsia="宋体" w:cs="宋体"/>
                <w:color w:val="000000"/>
                <w:kern w:val="0"/>
                <w:sz w:val="21"/>
                <w:szCs w:val="21"/>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21"/>
                <w:szCs w:val="21"/>
                <w:highlight w:val="yellow"/>
              </w:rPr>
            </w:pPr>
            <w:r>
              <w:rPr>
                <w:rFonts w:hint="eastAsia" w:ascii="宋体" w:hAnsi="宋体" w:eastAsia="宋体" w:cs="宋体"/>
                <w:color w:val="000000"/>
                <w:kern w:val="0"/>
                <w:sz w:val="21"/>
                <w:szCs w:val="21"/>
                <w:highlight w:val="none"/>
                <w:lang w:val="en-US" w:eastAsia="zh-CN" w:bidi="ar"/>
              </w:rPr>
              <w:t>行政处罚</w:t>
            </w:r>
          </w:p>
        </w:tc>
        <w:tc>
          <w:tcPr>
            <w:tcW w:w="3750" w:type="pct"/>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sz w:val="21"/>
                <w:szCs w:val="21"/>
                <w:highlight w:val="yellow"/>
                <w:lang w:val="en-US"/>
              </w:rPr>
            </w:pPr>
            <w:r>
              <w:rPr>
                <w:rFonts w:hint="eastAsia" w:ascii="宋体" w:hAnsi="宋体" w:eastAsia="宋体" w:cs="宋体"/>
                <w:color w:val="000000"/>
                <w:kern w:val="0"/>
                <w:sz w:val="21"/>
                <w:szCs w:val="21"/>
                <w:highlight w:val="none"/>
                <w:lang w:val="en-US" w:eastAsia="zh-CN" w:bidi="ar"/>
              </w:rPr>
              <w:t>　</w:t>
            </w:r>
            <w:r>
              <w:rPr>
                <w:rFonts w:hint="eastAsia" w:ascii="宋体" w:hAnsi="宋体" w:eastAsia="宋体" w:cs="宋体"/>
                <w:color w:val="000000"/>
                <w:kern w:val="0"/>
                <w:sz w:val="21"/>
                <w:szCs w:val="21"/>
                <w:lang w:val="en-US" w:eastAsia="zh-CN" w:bidi="ar"/>
              </w:rPr>
              <w:t>3556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21"/>
                <w:szCs w:val="21"/>
              </w:rPr>
            </w:pPr>
            <w:r>
              <w:rPr>
                <w:rFonts w:hint="eastAsia" w:ascii="宋体" w:hAnsi="宋体" w:eastAsia="宋体" w:cs="宋体"/>
                <w:color w:val="000000"/>
                <w:kern w:val="0"/>
                <w:sz w:val="21"/>
                <w:szCs w:val="21"/>
                <w:lang w:val="en-US" w:eastAsia="zh-CN" w:bidi="ar"/>
              </w:rPr>
              <w:t>行政强制</w:t>
            </w:r>
          </w:p>
        </w:tc>
        <w:tc>
          <w:tcPr>
            <w:tcW w:w="3750" w:type="pct"/>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sz w:val="21"/>
                <w:szCs w:val="21"/>
                <w:lang w:val="en-US"/>
              </w:rPr>
            </w:pPr>
            <w:r>
              <w:rPr>
                <w:rFonts w:hint="eastAsia" w:ascii="宋体" w:hAnsi="宋体" w:eastAsia="宋体" w:cs="宋体"/>
                <w:color w:val="000000"/>
                <w:kern w:val="0"/>
                <w:sz w:val="21"/>
                <w:szCs w:val="21"/>
                <w:lang w:val="en-US" w:eastAsia="zh-CN" w:bidi="ar"/>
              </w:rPr>
              <w:t>　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信息内容</w:t>
            </w:r>
          </w:p>
        </w:tc>
        <w:tc>
          <w:tcPr>
            <w:tcW w:w="3750" w:type="pct"/>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21"/>
                <w:szCs w:val="21"/>
              </w:rPr>
            </w:pPr>
            <w:r>
              <w:rPr>
                <w:rFonts w:hint="eastAsia" w:ascii="宋体" w:hAnsi="宋体" w:eastAsia="宋体" w:cs="宋体"/>
                <w:color w:val="000000"/>
                <w:kern w:val="0"/>
                <w:sz w:val="21"/>
                <w:szCs w:val="21"/>
                <w:lang w:val="en-US" w:eastAsia="zh-CN" w:bidi="ar"/>
              </w:rPr>
              <w:t>行政事业性收费</w:t>
            </w:r>
          </w:p>
        </w:tc>
        <w:tc>
          <w:tcPr>
            <w:tcW w:w="3750" w:type="pct"/>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left"/>
              <w:rPr>
                <w:rFonts w:hint="eastAsia" w:ascii="宋体" w:hAnsi="宋体" w:eastAsia="宋体" w:cs="宋体"/>
                <w:color w:val="333333"/>
                <w:sz w:val="21"/>
                <w:szCs w:val="21"/>
                <w:lang w:val="en-US" w:eastAsia="zh-CN"/>
              </w:rPr>
            </w:pPr>
            <w:r>
              <w:rPr>
                <w:rFonts w:hint="eastAsia" w:ascii="宋体" w:hAnsi="宋体" w:eastAsia="宋体" w:cs="宋体"/>
                <w:color w:val="333333"/>
                <w:sz w:val="21"/>
                <w:szCs w:val="21"/>
                <w:lang w:val="en-US" w:eastAsia="zh-CN"/>
              </w:rPr>
              <w:t>0</w:t>
            </w:r>
          </w:p>
        </w:tc>
      </w:tr>
    </w:tbl>
    <w:p>
      <w:pPr>
        <w:keepNext w:val="0"/>
        <w:keepLines w:val="0"/>
        <w:widowControl/>
        <w:suppressLineNumbers w:val="0"/>
        <w:jc w:val="left"/>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黑体" w:hAnsi="黑体" w:eastAsia="黑体" w:cs="黑体"/>
          <w:b w:val="0"/>
          <w:bCs w:val="0"/>
          <w:color w:val="333333"/>
          <w:sz w:val="32"/>
          <w:szCs w:val="32"/>
        </w:rPr>
      </w:pPr>
      <w:r>
        <w:rPr>
          <w:rFonts w:hint="eastAsia" w:ascii="黑体" w:hAnsi="黑体" w:eastAsia="黑体" w:cs="黑体"/>
          <w:b w:val="0"/>
          <w:bCs w:val="0"/>
          <w:color w:val="333333"/>
          <w:sz w:val="32"/>
          <w:szCs w:val="32"/>
        </w:rPr>
        <w:t>三、收到和处理政府信息公开申请情况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仿宋" w:hAnsi="仿宋" w:eastAsia="仿宋" w:cs="仿宋"/>
          <w:sz w:val="32"/>
          <w:szCs w:val="32"/>
          <w:lang w:val="en-US" w:eastAsia="zh-CN"/>
        </w:rPr>
      </w:pPr>
    </w:p>
    <w:tbl>
      <w:tblPr>
        <w:tblStyle w:val="3"/>
        <w:tblW w:w="4917" w:type="pct"/>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57" w:type="dxa"/>
          <w:bottom w:w="0" w:type="dxa"/>
          <w:right w:w="57" w:type="dxa"/>
        </w:tblCellMar>
      </w:tblPr>
      <w:tblGrid>
        <w:gridCol w:w="633"/>
        <w:gridCol w:w="775"/>
        <w:gridCol w:w="2812"/>
        <w:gridCol w:w="578"/>
        <w:gridCol w:w="578"/>
        <w:gridCol w:w="578"/>
        <w:gridCol w:w="578"/>
        <w:gridCol w:w="580"/>
        <w:gridCol w:w="615"/>
        <w:gridCol w:w="60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trHeight w:val="382" w:hRule="atLeast"/>
          <w:jc w:val="center"/>
        </w:trPr>
        <w:tc>
          <w:tcPr>
            <w:tcW w:w="2533" w:type="pct"/>
            <w:gridSpan w:val="3"/>
            <w:vMerge w:val="restart"/>
            <w:tcBorders>
              <w:top w:val="single" w:color="auto" w:sz="8" w:space="0"/>
              <w:left w:val="single" w:color="auto" w:sz="8" w:space="0"/>
              <w:bottom w:val="outset" w:color="auto" w:sz="6"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楷体" w:hAnsi="楷体" w:eastAsia="楷体" w:cs="楷体"/>
                <w:color w:val="333333"/>
                <w:kern w:val="0"/>
                <w:sz w:val="20"/>
                <w:szCs w:val="20"/>
                <w:lang w:val="en-US" w:eastAsia="zh-CN" w:bidi="ar"/>
              </w:rPr>
              <w:t>（本列数据的勾稽关系为：第一项加第二项之和，等于第三项加第四项之和）</w:t>
            </w:r>
          </w:p>
        </w:tc>
        <w:tc>
          <w:tcPr>
            <w:tcW w:w="2466" w:type="pct"/>
            <w:gridSpan w:val="7"/>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trHeight w:val="382" w:hRule="atLeast"/>
          <w:jc w:val="center"/>
        </w:trPr>
        <w:tc>
          <w:tcPr>
            <w:tcW w:w="2533" w:type="pct"/>
            <w:gridSpan w:val="3"/>
            <w:vMerge w:val="continue"/>
            <w:tcBorders>
              <w:top w:val="single" w:color="auto" w:sz="8" w:space="0"/>
              <w:left w:val="single" w:color="auto" w:sz="8" w:space="0"/>
              <w:bottom w:val="outset" w:color="auto" w:sz="6" w:space="0"/>
              <w:right w:val="single" w:color="auto" w:sz="8" w:space="0"/>
            </w:tcBorders>
            <w:shd w:val="clear" w:color="auto" w:fill="auto"/>
            <w:tcMar>
              <w:left w:w="108" w:type="dxa"/>
              <w:right w:w="108" w:type="dxa"/>
            </w:tcMar>
            <w:vAlign w:val="center"/>
          </w:tcPr>
          <w:p>
            <w:pPr>
              <w:jc w:val="left"/>
              <w:rPr>
                <w:rFonts w:hint="eastAsia" w:ascii="宋体" w:hAnsi="宋体" w:eastAsia="宋体" w:cs="宋体"/>
                <w:color w:val="333333"/>
                <w:sz w:val="21"/>
                <w:szCs w:val="21"/>
              </w:rPr>
            </w:pPr>
          </w:p>
        </w:tc>
        <w:tc>
          <w:tcPr>
            <w:tcW w:w="347" w:type="pct"/>
            <w:vMerge w:val="restar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自然人</w:t>
            </w:r>
          </w:p>
        </w:tc>
        <w:tc>
          <w:tcPr>
            <w:tcW w:w="1758" w:type="pct"/>
            <w:gridSpan w:val="5"/>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法人或其他组织</w:t>
            </w:r>
          </w:p>
        </w:tc>
        <w:tc>
          <w:tcPr>
            <w:tcW w:w="360" w:type="pct"/>
            <w:vMerge w:val="restart"/>
            <w:tcBorders>
              <w:top w:val="single" w:color="auto" w:sz="8" w:space="0"/>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trHeight w:val="1061" w:hRule="atLeast"/>
          <w:jc w:val="center"/>
        </w:trPr>
        <w:tc>
          <w:tcPr>
            <w:tcW w:w="2533" w:type="pct"/>
            <w:gridSpan w:val="3"/>
            <w:vMerge w:val="continue"/>
            <w:tcBorders>
              <w:top w:val="single" w:color="auto" w:sz="8" w:space="0"/>
              <w:left w:val="single" w:color="auto" w:sz="8" w:space="0"/>
              <w:bottom w:val="outset" w:color="auto" w:sz="6" w:space="0"/>
              <w:right w:val="single" w:color="auto" w:sz="8" w:space="0"/>
            </w:tcBorders>
            <w:shd w:val="clear" w:color="auto" w:fill="auto"/>
            <w:tcMar>
              <w:left w:w="108" w:type="dxa"/>
              <w:right w:w="108" w:type="dxa"/>
            </w:tcMar>
            <w:vAlign w:val="center"/>
          </w:tcPr>
          <w:p>
            <w:pPr>
              <w:jc w:val="left"/>
              <w:rPr>
                <w:rFonts w:hint="eastAsia" w:ascii="宋体" w:hAnsi="宋体" w:eastAsia="宋体" w:cs="宋体"/>
                <w:color w:val="333333"/>
                <w:sz w:val="21"/>
                <w:szCs w:val="21"/>
              </w:rPr>
            </w:pPr>
          </w:p>
        </w:tc>
        <w:tc>
          <w:tcPr>
            <w:tcW w:w="347" w:type="pct"/>
            <w:vMerge w:val="continue"/>
            <w:tcBorders>
              <w:top w:val="nil"/>
              <w:left w:val="nil"/>
              <w:bottom w:val="single" w:color="auto" w:sz="8"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47"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企业</w:t>
            </w:r>
          </w:p>
        </w:tc>
        <w:tc>
          <w:tcPr>
            <w:tcW w:w="347"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机构</w:t>
            </w:r>
          </w:p>
        </w:tc>
        <w:tc>
          <w:tcPr>
            <w:tcW w:w="347" w:type="pct"/>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社会公益组织</w:t>
            </w:r>
          </w:p>
        </w:tc>
        <w:tc>
          <w:tcPr>
            <w:tcW w:w="348" w:type="pct"/>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法律服务机构</w:t>
            </w:r>
          </w:p>
        </w:tc>
        <w:tc>
          <w:tcPr>
            <w:tcW w:w="366" w:type="pct"/>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其他</w:t>
            </w:r>
          </w:p>
        </w:tc>
        <w:tc>
          <w:tcPr>
            <w:tcW w:w="360" w:type="pct"/>
            <w:vMerge w:val="continue"/>
            <w:tcBorders>
              <w:top w:val="single" w:color="auto" w:sz="8" w:space="0"/>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trHeight w:val="382" w:hRule="atLeast"/>
          <w:jc w:val="center"/>
        </w:trPr>
        <w:tc>
          <w:tcPr>
            <w:tcW w:w="2533" w:type="pct"/>
            <w:gridSpan w:val="3"/>
            <w:tcBorders>
              <w:top w:val="nil"/>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一、本年新收政府信息公开申请数量</w:t>
            </w:r>
          </w:p>
        </w:tc>
        <w:tc>
          <w:tcPr>
            <w:tcW w:w="347"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5</w:t>
            </w:r>
          </w:p>
        </w:tc>
        <w:tc>
          <w:tcPr>
            <w:tcW w:w="347"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7"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7"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66"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6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trHeight w:val="382" w:hRule="atLeast"/>
          <w:jc w:val="center"/>
        </w:trPr>
        <w:tc>
          <w:tcPr>
            <w:tcW w:w="2533" w:type="pct"/>
            <w:gridSpan w:val="3"/>
            <w:tcBorders>
              <w:top w:val="nil"/>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二、上年结转政府信息公开申请数量</w:t>
            </w:r>
          </w:p>
        </w:tc>
        <w:tc>
          <w:tcPr>
            <w:tcW w:w="347"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7"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7"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7"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66"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6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trHeight w:val="382" w:hRule="atLeast"/>
          <w:jc w:val="center"/>
        </w:trPr>
        <w:tc>
          <w:tcPr>
            <w:tcW w:w="380" w:type="pct"/>
            <w:vMerge w:val="restart"/>
            <w:tcBorders>
              <w:top w:val="nil"/>
              <w:left w:val="single" w:color="auto" w:sz="8" w:space="0"/>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三、本年度办理结果</w:t>
            </w:r>
          </w:p>
        </w:tc>
        <w:tc>
          <w:tcPr>
            <w:tcW w:w="2153" w:type="pct"/>
            <w:gridSpan w:val="2"/>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（一）予以公开</w:t>
            </w:r>
          </w:p>
        </w:tc>
        <w:tc>
          <w:tcPr>
            <w:tcW w:w="347"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47"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7"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7"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66"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60"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trHeight w:val="722" w:hRule="atLeast"/>
          <w:jc w:val="center"/>
        </w:trPr>
        <w:tc>
          <w:tcPr>
            <w:tcW w:w="380"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2153" w:type="pct"/>
            <w:gridSpan w:val="2"/>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（二）部分公开（区分处理的，只计这一情形，不计其他情形）</w:t>
            </w:r>
          </w:p>
        </w:tc>
        <w:tc>
          <w:tcPr>
            <w:tcW w:w="347"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47"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7"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7"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66"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6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trHeight w:val="382" w:hRule="atLeast"/>
          <w:jc w:val="center"/>
        </w:trPr>
        <w:tc>
          <w:tcPr>
            <w:tcW w:w="380"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65" w:type="pct"/>
            <w:vMerge w:val="restar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（三）不予公开</w:t>
            </w:r>
          </w:p>
        </w:tc>
        <w:tc>
          <w:tcPr>
            <w:tcW w:w="1687" w:type="pct"/>
            <w:tcBorders>
              <w:top w:val="nil"/>
              <w:left w:val="nil"/>
              <w:bottom w:val="single" w:color="auto" w:sz="8" w:space="0"/>
              <w:right w:val="single" w:color="auto" w:sz="8" w:space="0"/>
            </w:tcBorders>
            <w:shd w:val="clear" w:color="auto" w:fill="auto"/>
            <w:vAlign w:val="top"/>
          </w:tcPr>
          <w:p>
            <w:pPr>
              <w:widowControl/>
              <w:spacing w:line="30" w:lineRule="atLeast"/>
              <w:jc w:val="left"/>
              <w:rPr>
                <w:rFonts w:hint="eastAsia" w:ascii="Times New Roman" w:hAnsi="Times New Roman" w:eastAsiaTheme="minorEastAsia" w:cstheme="minorBidi"/>
                <w:kern w:val="2"/>
                <w:sz w:val="21"/>
                <w:szCs w:val="21"/>
                <w:lang w:val="en-US" w:eastAsia="zh-CN" w:bidi="ar-SA"/>
              </w:rPr>
            </w:pPr>
            <w:r>
              <w:rPr>
                <w:rFonts w:ascii="Times New Roman" w:hAnsi="Times New Roman"/>
                <w:color w:val="333333"/>
                <w:kern w:val="0"/>
                <w:szCs w:val="21"/>
                <w:lang w:bidi="ar"/>
              </w:rPr>
              <w:t>1.属于国家秘密</w:t>
            </w:r>
          </w:p>
        </w:tc>
        <w:tc>
          <w:tcPr>
            <w:tcW w:w="347"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7"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7"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7"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66"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60"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trHeight w:val="357" w:hRule="atLeast"/>
          <w:jc w:val="center"/>
        </w:trPr>
        <w:tc>
          <w:tcPr>
            <w:tcW w:w="380"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65"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7" w:type="pct"/>
            <w:tcBorders>
              <w:top w:val="nil"/>
              <w:left w:val="nil"/>
              <w:bottom w:val="single" w:color="auto" w:sz="8" w:space="0"/>
              <w:right w:val="single" w:color="auto" w:sz="8" w:space="0"/>
            </w:tcBorders>
            <w:shd w:val="clear" w:color="auto" w:fill="auto"/>
            <w:vAlign w:val="top"/>
          </w:tcPr>
          <w:p>
            <w:pPr>
              <w:widowControl/>
              <w:spacing w:line="30" w:lineRule="atLeast"/>
              <w:jc w:val="left"/>
              <w:rPr>
                <w:rFonts w:hint="eastAsia" w:ascii="Times New Roman" w:hAnsi="Times New Roman" w:eastAsiaTheme="minorEastAsia" w:cstheme="minorBidi"/>
                <w:kern w:val="2"/>
                <w:sz w:val="21"/>
                <w:szCs w:val="21"/>
                <w:lang w:val="en-US" w:eastAsia="zh-CN" w:bidi="ar-SA"/>
              </w:rPr>
            </w:pPr>
            <w:r>
              <w:rPr>
                <w:rFonts w:ascii="Times New Roman" w:hAnsi="Times New Roman"/>
                <w:color w:val="333333"/>
                <w:kern w:val="0"/>
                <w:szCs w:val="21"/>
                <w:lang w:bidi="ar"/>
              </w:rPr>
              <w:t>2.其他法律行政法规禁止公开</w:t>
            </w:r>
          </w:p>
        </w:tc>
        <w:tc>
          <w:tcPr>
            <w:tcW w:w="347"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7"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7"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7"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66"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6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trHeight w:val="382" w:hRule="atLeast"/>
          <w:jc w:val="center"/>
        </w:trPr>
        <w:tc>
          <w:tcPr>
            <w:tcW w:w="380"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65"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7" w:type="pct"/>
            <w:tcBorders>
              <w:top w:val="nil"/>
              <w:left w:val="nil"/>
              <w:bottom w:val="single" w:color="auto" w:sz="8" w:space="0"/>
              <w:right w:val="single" w:color="auto" w:sz="8" w:space="0"/>
            </w:tcBorders>
            <w:shd w:val="clear" w:color="auto" w:fill="auto"/>
            <w:vAlign w:val="top"/>
          </w:tcPr>
          <w:p>
            <w:pPr>
              <w:widowControl/>
              <w:spacing w:line="30" w:lineRule="atLeast"/>
              <w:jc w:val="left"/>
              <w:rPr>
                <w:rFonts w:hint="eastAsia" w:ascii="Times New Roman" w:hAnsi="Times New Roman" w:eastAsiaTheme="minorEastAsia" w:cstheme="minorBidi"/>
                <w:kern w:val="2"/>
                <w:sz w:val="21"/>
                <w:szCs w:val="21"/>
                <w:lang w:val="en-US" w:eastAsia="zh-CN" w:bidi="ar-SA"/>
              </w:rPr>
            </w:pPr>
            <w:r>
              <w:rPr>
                <w:rFonts w:ascii="Times New Roman" w:hAnsi="Times New Roman"/>
                <w:color w:val="333333"/>
                <w:kern w:val="0"/>
                <w:szCs w:val="21"/>
                <w:lang w:bidi="ar"/>
              </w:rPr>
              <w:t>3.危及“三安全一稳定”</w:t>
            </w:r>
          </w:p>
        </w:tc>
        <w:tc>
          <w:tcPr>
            <w:tcW w:w="347"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7"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7"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7"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66"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6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trHeight w:val="382" w:hRule="atLeast"/>
          <w:jc w:val="center"/>
        </w:trPr>
        <w:tc>
          <w:tcPr>
            <w:tcW w:w="380"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65"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7" w:type="pct"/>
            <w:tcBorders>
              <w:top w:val="nil"/>
              <w:left w:val="nil"/>
              <w:bottom w:val="single" w:color="auto" w:sz="8" w:space="0"/>
              <w:right w:val="single" w:color="auto" w:sz="8" w:space="0"/>
            </w:tcBorders>
            <w:shd w:val="clear" w:color="auto" w:fill="auto"/>
            <w:vAlign w:val="top"/>
          </w:tcPr>
          <w:p>
            <w:pPr>
              <w:widowControl/>
              <w:spacing w:line="30" w:lineRule="atLeast"/>
              <w:jc w:val="left"/>
              <w:rPr>
                <w:rFonts w:hint="eastAsia" w:ascii="Times New Roman" w:hAnsi="Times New Roman" w:eastAsiaTheme="minorEastAsia" w:cstheme="minorBidi"/>
                <w:kern w:val="2"/>
                <w:sz w:val="21"/>
                <w:szCs w:val="21"/>
                <w:lang w:val="en-US" w:eastAsia="zh-CN" w:bidi="ar-SA"/>
              </w:rPr>
            </w:pPr>
            <w:r>
              <w:rPr>
                <w:rFonts w:ascii="Times New Roman" w:hAnsi="Times New Roman"/>
                <w:color w:val="333333"/>
                <w:kern w:val="0"/>
                <w:szCs w:val="21"/>
                <w:lang w:bidi="ar"/>
              </w:rPr>
              <w:t>4.保护第三方合法权益</w:t>
            </w:r>
          </w:p>
        </w:tc>
        <w:tc>
          <w:tcPr>
            <w:tcW w:w="347"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7"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7"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7"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66"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6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trHeight w:val="382" w:hRule="atLeast"/>
          <w:jc w:val="center"/>
        </w:trPr>
        <w:tc>
          <w:tcPr>
            <w:tcW w:w="380"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65"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7" w:type="pct"/>
            <w:tcBorders>
              <w:top w:val="nil"/>
              <w:left w:val="nil"/>
              <w:bottom w:val="single" w:color="auto" w:sz="8" w:space="0"/>
              <w:right w:val="single" w:color="auto" w:sz="8" w:space="0"/>
            </w:tcBorders>
            <w:shd w:val="clear" w:color="auto" w:fill="auto"/>
            <w:vAlign w:val="top"/>
          </w:tcPr>
          <w:p>
            <w:pPr>
              <w:widowControl/>
              <w:spacing w:line="30" w:lineRule="atLeast"/>
              <w:jc w:val="left"/>
              <w:rPr>
                <w:rFonts w:hint="eastAsia" w:ascii="Times New Roman" w:hAnsi="Times New Roman" w:eastAsiaTheme="minorEastAsia" w:cstheme="minorBidi"/>
                <w:kern w:val="2"/>
                <w:sz w:val="21"/>
                <w:szCs w:val="21"/>
                <w:lang w:val="en-US" w:eastAsia="zh-CN" w:bidi="ar-SA"/>
              </w:rPr>
            </w:pPr>
            <w:r>
              <w:rPr>
                <w:rFonts w:ascii="Times New Roman" w:hAnsi="Times New Roman"/>
                <w:color w:val="333333"/>
                <w:kern w:val="0"/>
                <w:szCs w:val="21"/>
                <w:lang w:bidi="ar"/>
              </w:rPr>
              <w:t>5.属于三类内部事务信息</w:t>
            </w:r>
          </w:p>
        </w:tc>
        <w:tc>
          <w:tcPr>
            <w:tcW w:w="347"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7"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7"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7"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66"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6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trHeight w:val="382" w:hRule="atLeast"/>
          <w:jc w:val="center"/>
        </w:trPr>
        <w:tc>
          <w:tcPr>
            <w:tcW w:w="380"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65"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7" w:type="pct"/>
            <w:tcBorders>
              <w:top w:val="nil"/>
              <w:left w:val="nil"/>
              <w:bottom w:val="single" w:color="auto" w:sz="8" w:space="0"/>
              <w:right w:val="single" w:color="auto" w:sz="8" w:space="0"/>
            </w:tcBorders>
            <w:shd w:val="clear" w:color="auto" w:fill="auto"/>
            <w:vAlign w:val="top"/>
          </w:tcPr>
          <w:p>
            <w:pPr>
              <w:widowControl/>
              <w:spacing w:line="30" w:lineRule="atLeast"/>
              <w:jc w:val="left"/>
              <w:rPr>
                <w:rFonts w:hint="eastAsia" w:ascii="Times New Roman" w:hAnsi="Times New Roman" w:eastAsiaTheme="minorEastAsia" w:cstheme="minorBidi"/>
                <w:kern w:val="2"/>
                <w:sz w:val="21"/>
                <w:szCs w:val="21"/>
                <w:lang w:val="en-US" w:eastAsia="zh-CN" w:bidi="ar-SA"/>
              </w:rPr>
            </w:pPr>
            <w:r>
              <w:rPr>
                <w:rFonts w:ascii="Times New Roman" w:hAnsi="Times New Roman"/>
                <w:color w:val="333333"/>
                <w:kern w:val="0"/>
                <w:szCs w:val="21"/>
                <w:lang w:bidi="ar"/>
              </w:rPr>
              <w:t>6.属于四类过程性信息</w:t>
            </w:r>
          </w:p>
        </w:tc>
        <w:tc>
          <w:tcPr>
            <w:tcW w:w="347"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7"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7"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7"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66"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6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trHeight w:val="382" w:hRule="atLeast"/>
          <w:jc w:val="center"/>
        </w:trPr>
        <w:tc>
          <w:tcPr>
            <w:tcW w:w="380"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65"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7" w:type="pct"/>
            <w:tcBorders>
              <w:top w:val="nil"/>
              <w:left w:val="nil"/>
              <w:bottom w:val="single" w:color="auto" w:sz="8" w:space="0"/>
              <w:right w:val="single" w:color="auto" w:sz="8" w:space="0"/>
            </w:tcBorders>
            <w:shd w:val="clear" w:color="auto" w:fill="auto"/>
            <w:vAlign w:val="top"/>
          </w:tcPr>
          <w:p>
            <w:pPr>
              <w:widowControl/>
              <w:spacing w:line="30" w:lineRule="atLeast"/>
              <w:jc w:val="left"/>
              <w:rPr>
                <w:rFonts w:hint="eastAsia" w:ascii="Times New Roman" w:hAnsi="Times New Roman" w:eastAsiaTheme="minorEastAsia" w:cstheme="minorBidi"/>
                <w:kern w:val="2"/>
                <w:sz w:val="21"/>
                <w:szCs w:val="21"/>
                <w:lang w:val="en-US" w:eastAsia="zh-CN" w:bidi="ar-SA"/>
              </w:rPr>
            </w:pPr>
            <w:r>
              <w:rPr>
                <w:rFonts w:ascii="Times New Roman" w:hAnsi="Times New Roman"/>
                <w:color w:val="333333"/>
                <w:kern w:val="0"/>
                <w:szCs w:val="21"/>
                <w:lang w:bidi="ar"/>
              </w:rPr>
              <w:t>7.属于行政执法案卷</w:t>
            </w:r>
          </w:p>
        </w:tc>
        <w:tc>
          <w:tcPr>
            <w:tcW w:w="347"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1</w:t>
            </w:r>
          </w:p>
        </w:tc>
        <w:tc>
          <w:tcPr>
            <w:tcW w:w="347"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7"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7"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66"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6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1</w:t>
            </w:r>
            <w:bookmarkStart w:id="0" w:name="_GoBack"/>
            <w:bookmarkEnd w:id="0"/>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trHeight w:val="382" w:hRule="atLeast"/>
          <w:jc w:val="center"/>
        </w:trPr>
        <w:tc>
          <w:tcPr>
            <w:tcW w:w="380"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65"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7" w:type="pct"/>
            <w:tcBorders>
              <w:top w:val="nil"/>
              <w:left w:val="nil"/>
              <w:bottom w:val="single" w:color="auto" w:sz="8" w:space="0"/>
              <w:right w:val="single" w:color="auto" w:sz="8" w:space="0"/>
            </w:tcBorders>
            <w:shd w:val="clear" w:color="auto" w:fill="auto"/>
            <w:vAlign w:val="top"/>
          </w:tcPr>
          <w:p>
            <w:pPr>
              <w:widowControl/>
              <w:spacing w:line="30" w:lineRule="atLeast"/>
              <w:jc w:val="left"/>
              <w:rPr>
                <w:rFonts w:hint="eastAsia" w:ascii="Times New Roman" w:hAnsi="Times New Roman" w:eastAsiaTheme="minorEastAsia" w:cstheme="minorBidi"/>
                <w:kern w:val="2"/>
                <w:sz w:val="21"/>
                <w:szCs w:val="21"/>
                <w:lang w:val="en-US" w:eastAsia="zh-CN" w:bidi="ar-SA"/>
              </w:rPr>
            </w:pPr>
            <w:r>
              <w:rPr>
                <w:rFonts w:ascii="Times New Roman" w:hAnsi="Times New Roman"/>
                <w:color w:val="333333"/>
                <w:kern w:val="0"/>
                <w:szCs w:val="21"/>
                <w:lang w:bidi="ar"/>
              </w:rPr>
              <w:t>8.属于行政查询事项</w:t>
            </w:r>
          </w:p>
        </w:tc>
        <w:tc>
          <w:tcPr>
            <w:tcW w:w="347"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7"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7"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7"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66"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6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trHeight w:val="382" w:hRule="atLeast"/>
          <w:jc w:val="center"/>
        </w:trPr>
        <w:tc>
          <w:tcPr>
            <w:tcW w:w="380"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65" w:type="pct"/>
            <w:vMerge w:val="restar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（四）无法提供</w:t>
            </w:r>
          </w:p>
        </w:tc>
        <w:tc>
          <w:tcPr>
            <w:tcW w:w="1687" w:type="pct"/>
            <w:tcBorders>
              <w:top w:val="nil"/>
              <w:left w:val="nil"/>
              <w:bottom w:val="single" w:color="auto" w:sz="8" w:space="0"/>
              <w:right w:val="single" w:color="auto" w:sz="8" w:space="0"/>
            </w:tcBorders>
            <w:shd w:val="clear" w:color="auto" w:fill="auto"/>
            <w:vAlign w:val="top"/>
          </w:tcPr>
          <w:p>
            <w:pPr>
              <w:widowControl/>
              <w:spacing w:line="30" w:lineRule="atLeast"/>
              <w:jc w:val="left"/>
              <w:rPr>
                <w:rFonts w:hint="eastAsia" w:ascii="Times New Roman" w:hAnsi="Times New Roman" w:eastAsiaTheme="minorEastAsia" w:cstheme="minorBidi"/>
                <w:kern w:val="2"/>
                <w:sz w:val="21"/>
                <w:szCs w:val="21"/>
                <w:lang w:val="en-US" w:eastAsia="zh-CN" w:bidi="ar-SA"/>
              </w:rPr>
            </w:pPr>
            <w:r>
              <w:rPr>
                <w:rFonts w:ascii="Times New Roman" w:hAnsi="Times New Roman"/>
                <w:color w:val="333333"/>
                <w:kern w:val="0"/>
                <w:szCs w:val="21"/>
                <w:lang w:bidi="ar"/>
              </w:rPr>
              <w:t>1.本机关不掌握相关政府信息</w:t>
            </w:r>
          </w:p>
        </w:tc>
        <w:tc>
          <w:tcPr>
            <w:tcW w:w="347"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1</w:t>
            </w:r>
          </w:p>
        </w:tc>
        <w:tc>
          <w:tcPr>
            <w:tcW w:w="347"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7"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7"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66"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6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trHeight w:val="382" w:hRule="atLeast"/>
          <w:jc w:val="center"/>
        </w:trPr>
        <w:tc>
          <w:tcPr>
            <w:tcW w:w="380"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65"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7" w:type="pct"/>
            <w:tcBorders>
              <w:top w:val="nil"/>
              <w:left w:val="nil"/>
              <w:bottom w:val="single" w:color="auto" w:sz="8" w:space="0"/>
              <w:right w:val="single" w:color="auto" w:sz="8" w:space="0"/>
            </w:tcBorders>
            <w:shd w:val="clear" w:color="auto" w:fill="auto"/>
            <w:vAlign w:val="top"/>
          </w:tcPr>
          <w:p>
            <w:pPr>
              <w:widowControl/>
              <w:spacing w:line="30" w:lineRule="atLeast"/>
              <w:jc w:val="left"/>
              <w:rPr>
                <w:rFonts w:hint="eastAsia" w:ascii="Times New Roman" w:hAnsi="Times New Roman" w:eastAsiaTheme="minorEastAsia" w:cstheme="minorBidi"/>
                <w:kern w:val="2"/>
                <w:sz w:val="21"/>
                <w:szCs w:val="21"/>
                <w:lang w:val="en-US" w:eastAsia="zh-CN" w:bidi="ar-SA"/>
              </w:rPr>
            </w:pPr>
            <w:r>
              <w:rPr>
                <w:rFonts w:ascii="Times New Roman" w:hAnsi="Times New Roman"/>
                <w:color w:val="333333"/>
                <w:kern w:val="0"/>
                <w:szCs w:val="21"/>
                <w:lang w:bidi="ar"/>
              </w:rPr>
              <w:t>2.没有现成信息需要另行制作</w:t>
            </w:r>
          </w:p>
        </w:tc>
        <w:tc>
          <w:tcPr>
            <w:tcW w:w="347"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7"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7"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7"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66"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6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trHeight w:val="382" w:hRule="atLeast"/>
          <w:jc w:val="center"/>
        </w:trPr>
        <w:tc>
          <w:tcPr>
            <w:tcW w:w="380"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65"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7" w:type="pct"/>
            <w:tcBorders>
              <w:top w:val="nil"/>
              <w:left w:val="nil"/>
              <w:bottom w:val="single" w:color="auto" w:sz="8" w:space="0"/>
              <w:right w:val="single" w:color="auto" w:sz="8" w:space="0"/>
            </w:tcBorders>
            <w:shd w:val="clear" w:color="auto" w:fill="auto"/>
            <w:vAlign w:val="top"/>
          </w:tcPr>
          <w:p>
            <w:pPr>
              <w:widowControl/>
              <w:spacing w:line="30" w:lineRule="atLeast"/>
              <w:jc w:val="left"/>
              <w:rPr>
                <w:rFonts w:hint="eastAsia" w:ascii="Times New Roman" w:hAnsi="Times New Roman" w:eastAsiaTheme="minorEastAsia" w:cstheme="minorBidi"/>
                <w:kern w:val="2"/>
                <w:sz w:val="21"/>
                <w:szCs w:val="21"/>
                <w:lang w:val="en-US" w:eastAsia="zh-CN" w:bidi="ar-SA"/>
              </w:rPr>
            </w:pPr>
            <w:r>
              <w:rPr>
                <w:rFonts w:ascii="Times New Roman" w:hAnsi="Times New Roman"/>
                <w:color w:val="333333"/>
                <w:kern w:val="0"/>
                <w:szCs w:val="21"/>
                <w:lang w:bidi="ar"/>
              </w:rPr>
              <w:t>3.补正后申请内容仍不明确</w:t>
            </w:r>
          </w:p>
        </w:tc>
        <w:tc>
          <w:tcPr>
            <w:tcW w:w="347"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7"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7"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7"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66"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6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trHeight w:val="382" w:hRule="atLeast"/>
          <w:jc w:val="center"/>
        </w:trPr>
        <w:tc>
          <w:tcPr>
            <w:tcW w:w="380"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65" w:type="pct"/>
            <w:vMerge w:val="restar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（五）不予处理</w:t>
            </w:r>
          </w:p>
        </w:tc>
        <w:tc>
          <w:tcPr>
            <w:tcW w:w="1687" w:type="pct"/>
            <w:tcBorders>
              <w:top w:val="nil"/>
              <w:left w:val="nil"/>
              <w:bottom w:val="single" w:color="auto" w:sz="8" w:space="0"/>
              <w:right w:val="single" w:color="auto" w:sz="8" w:space="0"/>
            </w:tcBorders>
            <w:shd w:val="clear" w:color="auto" w:fill="auto"/>
            <w:vAlign w:val="top"/>
          </w:tcPr>
          <w:p>
            <w:pPr>
              <w:widowControl/>
              <w:spacing w:line="30" w:lineRule="atLeast"/>
              <w:jc w:val="left"/>
              <w:rPr>
                <w:rFonts w:hint="eastAsia" w:ascii="Times New Roman" w:hAnsi="Times New Roman" w:eastAsiaTheme="minorEastAsia" w:cstheme="minorBidi"/>
                <w:kern w:val="2"/>
                <w:sz w:val="21"/>
                <w:szCs w:val="21"/>
                <w:lang w:val="en-US" w:eastAsia="zh-CN" w:bidi="ar-SA"/>
              </w:rPr>
            </w:pPr>
            <w:r>
              <w:rPr>
                <w:rFonts w:ascii="Times New Roman" w:hAnsi="Times New Roman"/>
                <w:color w:val="333333"/>
                <w:kern w:val="0"/>
                <w:szCs w:val="21"/>
                <w:lang w:bidi="ar"/>
              </w:rPr>
              <w:t>1.信访举报投诉类申请</w:t>
            </w:r>
          </w:p>
        </w:tc>
        <w:tc>
          <w:tcPr>
            <w:tcW w:w="347"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1</w:t>
            </w:r>
          </w:p>
        </w:tc>
        <w:tc>
          <w:tcPr>
            <w:tcW w:w="347"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7"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7"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66"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6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trHeight w:val="382" w:hRule="atLeast"/>
          <w:jc w:val="center"/>
        </w:trPr>
        <w:tc>
          <w:tcPr>
            <w:tcW w:w="380"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65"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7" w:type="pct"/>
            <w:tcBorders>
              <w:top w:val="single" w:color="auto" w:sz="8" w:space="0"/>
              <w:left w:val="nil"/>
              <w:bottom w:val="single" w:color="auto" w:sz="8" w:space="0"/>
              <w:right w:val="single" w:color="auto" w:sz="8" w:space="0"/>
            </w:tcBorders>
            <w:shd w:val="clear" w:color="auto" w:fill="auto"/>
            <w:vAlign w:val="top"/>
          </w:tcPr>
          <w:p>
            <w:pPr>
              <w:widowControl/>
              <w:spacing w:line="30" w:lineRule="atLeast"/>
              <w:jc w:val="left"/>
              <w:rPr>
                <w:rFonts w:hint="eastAsia" w:ascii="Times New Roman" w:hAnsi="Times New Roman" w:eastAsiaTheme="minorEastAsia" w:cstheme="minorBidi"/>
                <w:kern w:val="2"/>
                <w:sz w:val="21"/>
                <w:szCs w:val="21"/>
                <w:lang w:val="en-US" w:eastAsia="zh-CN" w:bidi="ar-SA"/>
              </w:rPr>
            </w:pPr>
            <w:r>
              <w:rPr>
                <w:rFonts w:ascii="Times New Roman" w:hAnsi="Times New Roman"/>
                <w:color w:val="333333"/>
                <w:kern w:val="0"/>
                <w:szCs w:val="21"/>
                <w:lang w:bidi="ar"/>
              </w:rPr>
              <w:t>2.重复申请</w:t>
            </w:r>
          </w:p>
        </w:tc>
        <w:tc>
          <w:tcPr>
            <w:tcW w:w="347"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7"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7"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7"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66"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60"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trHeight w:val="382" w:hRule="atLeast"/>
          <w:jc w:val="center"/>
        </w:trPr>
        <w:tc>
          <w:tcPr>
            <w:tcW w:w="380"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65"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7" w:type="pct"/>
            <w:tcBorders>
              <w:top w:val="single" w:color="auto" w:sz="8" w:space="0"/>
              <w:left w:val="nil"/>
              <w:bottom w:val="single" w:color="auto" w:sz="8" w:space="0"/>
              <w:right w:val="single" w:color="auto" w:sz="8" w:space="0"/>
            </w:tcBorders>
            <w:shd w:val="clear" w:color="auto" w:fill="auto"/>
            <w:vAlign w:val="top"/>
          </w:tcPr>
          <w:p>
            <w:pPr>
              <w:widowControl/>
              <w:spacing w:line="30" w:lineRule="atLeast"/>
              <w:jc w:val="left"/>
              <w:rPr>
                <w:rFonts w:hint="eastAsia" w:ascii="Times New Roman" w:hAnsi="Times New Roman" w:eastAsiaTheme="minorEastAsia" w:cstheme="minorBidi"/>
                <w:kern w:val="2"/>
                <w:sz w:val="21"/>
                <w:szCs w:val="21"/>
                <w:lang w:val="en-US" w:eastAsia="zh-CN" w:bidi="ar-SA"/>
              </w:rPr>
            </w:pPr>
            <w:r>
              <w:rPr>
                <w:rFonts w:ascii="Times New Roman" w:hAnsi="Times New Roman"/>
                <w:color w:val="333333"/>
                <w:kern w:val="0"/>
                <w:szCs w:val="21"/>
                <w:lang w:bidi="ar"/>
              </w:rPr>
              <w:t>3.要求提供公开出版物</w:t>
            </w:r>
          </w:p>
        </w:tc>
        <w:tc>
          <w:tcPr>
            <w:tcW w:w="347"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7"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7"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7"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66"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60"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trHeight w:val="382" w:hRule="atLeast"/>
          <w:jc w:val="center"/>
        </w:trPr>
        <w:tc>
          <w:tcPr>
            <w:tcW w:w="380"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65"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7" w:type="pct"/>
            <w:tcBorders>
              <w:top w:val="single" w:color="auto" w:sz="8" w:space="0"/>
              <w:left w:val="nil"/>
              <w:bottom w:val="single" w:color="auto" w:sz="8" w:space="0"/>
              <w:right w:val="single" w:color="auto" w:sz="8" w:space="0"/>
            </w:tcBorders>
            <w:shd w:val="clear" w:color="auto" w:fill="auto"/>
            <w:vAlign w:val="top"/>
          </w:tcPr>
          <w:p>
            <w:pPr>
              <w:widowControl/>
              <w:spacing w:line="30" w:lineRule="atLeast"/>
              <w:jc w:val="left"/>
              <w:rPr>
                <w:rFonts w:hint="eastAsia" w:ascii="Times New Roman" w:hAnsi="Times New Roman" w:eastAsiaTheme="minorEastAsia" w:cstheme="minorBidi"/>
                <w:kern w:val="2"/>
                <w:sz w:val="21"/>
                <w:szCs w:val="21"/>
                <w:lang w:val="en-US" w:eastAsia="zh-CN" w:bidi="ar-SA"/>
              </w:rPr>
            </w:pPr>
            <w:r>
              <w:rPr>
                <w:rFonts w:ascii="Times New Roman" w:hAnsi="Times New Roman"/>
                <w:color w:val="333333"/>
                <w:kern w:val="0"/>
                <w:szCs w:val="21"/>
                <w:lang w:bidi="ar"/>
              </w:rPr>
              <w:t>4.无正当理由大量反复申请</w:t>
            </w:r>
          </w:p>
        </w:tc>
        <w:tc>
          <w:tcPr>
            <w:tcW w:w="347"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7"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7"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7"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66"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60"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trHeight w:val="389" w:hRule="atLeast"/>
          <w:jc w:val="center"/>
        </w:trPr>
        <w:tc>
          <w:tcPr>
            <w:tcW w:w="380"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65"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7" w:type="pct"/>
            <w:tcBorders>
              <w:top w:val="nil"/>
              <w:left w:val="nil"/>
              <w:bottom w:val="outset" w:color="auto" w:sz="6" w:space="0"/>
              <w:right w:val="single" w:color="auto" w:sz="8" w:space="0"/>
            </w:tcBorders>
            <w:shd w:val="clear" w:color="auto" w:fill="auto"/>
            <w:vAlign w:val="center"/>
          </w:tcPr>
          <w:p>
            <w:pPr>
              <w:widowControl/>
              <w:spacing w:line="30" w:lineRule="atLeast"/>
              <w:rPr>
                <w:rFonts w:hint="eastAsia" w:ascii="Times New Roman" w:hAnsi="Times New Roman" w:eastAsiaTheme="minorEastAsia" w:cstheme="minorBidi"/>
                <w:kern w:val="2"/>
                <w:sz w:val="21"/>
                <w:szCs w:val="21"/>
                <w:lang w:val="en-US" w:eastAsia="zh-CN" w:bidi="ar-SA"/>
              </w:rPr>
            </w:pPr>
            <w:r>
              <w:rPr>
                <w:rFonts w:ascii="Times New Roman" w:hAnsi="Times New Roman"/>
                <w:color w:val="333333"/>
                <w:kern w:val="0"/>
                <w:szCs w:val="21"/>
                <w:lang w:bidi="ar"/>
              </w:rPr>
              <w:t>5.要求行政机关确认或重新出具已获取信息</w:t>
            </w:r>
          </w:p>
        </w:tc>
        <w:tc>
          <w:tcPr>
            <w:tcW w:w="347" w:type="pct"/>
            <w:tcBorders>
              <w:top w:val="nil"/>
              <w:left w:val="nil"/>
              <w:bottom w:val="outset" w:color="auto" w:sz="6"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7" w:type="pct"/>
            <w:tcBorders>
              <w:top w:val="nil"/>
              <w:left w:val="nil"/>
              <w:bottom w:val="outset" w:color="auto" w:sz="6"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7" w:type="pct"/>
            <w:tcBorders>
              <w:top w:val="nil"/>
              <w:left w:val="nil"/>
              <w:bottom w:val="outset" w:color="auto" w:sz="6"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7" w:type="pct"/>
            <w:tcBorders>
              <w:top w:val="nil"/>
              <w:left w:val="nil"/>
              <w:bottom w:val="outset" w:color="auto" w:sz="6"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outset" w:color="auto" w:sz="6"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66" w:type="pct"/>
            <w:tcBorders>
              <w:top w:val="nil"/>
              <w:left w:val="nil"/>
              <w:bottom w:val="outset" w:color="auto" w:sz="6"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60" w:type="pct"/>
            <w:tcBorders>
              <w:top w:val="nil"/>
              <w:left w:val="nil"/>
              <w:bottom w:val="outset" w:color="auto" w:sz="6"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trHeight w:val="371" w:hRule="atLeast"/>
          <w:jc w:val="center"/>
        </w:trPr>
        <w:tc>
          <w:tcPr>
            <w:tcW w:w="380"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65" w:type="pct"/>
            <w:vMerge w:val="restart"/>
            <w:tcBorders>
              <w:top w:val="outset" w:color="auto" w:sz="6" w:space="0"/>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（六）其他处理</w:t>
            </w:r>
          </w:p>
        </w:tc>
        <w:tc>
          <w:tcPr>
            <w:tcW w:w="1687" w:type="pct"/>
            <w:tcBorders>
              <w:top w:val="nil"/>
              <w:left w:val="nil"/>
              <w:bottom w:val="single" w:color="auto" w:sz="8" w:space="0"/>
              <w:right w:val="single" w:color="auto" w:sz="8" w:space="0"/>
            </w:tcBorders>
            <w:shd w:val="clear" w:color="auto" w:fill="auto"/>
            <w:vAlign w:val="center"/>
          </w:tcPr>
          <w:p>
            <w:pPr>
              <w:widowControl/>
              <w:spacing w:line="30" w:lineRule="atLeast"/>
              <w:rPr>
                <w:rFonts w:hint="eastAsia" w:ascii="Times New Roman" w:hAnsi="Times New Roman" w:eastAsiaTheme="minorEastAsia" w:cstheme="minorBidi"/>
                <w:kern w:val="2"/>
                <w:sz w:val="21"/>
                <w:szCs w:val="21"/>
                <w:lang w:val="en-US" w:eastAsia="zh-CN" w:bidi="ar-SA"/>
              </w:rPr>
            </w:pPr>
            <w:r>
              <w:rPr>
                <w:rFonts w:ascii="Times New Roman" w:hAnsi="Times New Roman"/>
                <w:color w:val="333333"/>
                <w:kern w:val="0"/>
                <w:szCs w:val="21"/>
                <w:lang w:bidi="ar"/>
              </w:rPr>
              <w:t>1.申请人无正当理由逾期不补正、行政机关不再处理其政府信息公开申请</w:t>
            </w:r>
          </w:p>
        </w:tc>
        <w:tc>
          <w:tcPr>
            <w:tcW w:w="347"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0</w:t>
            </w:r>
          </w:p>
        </w:tc>
        <w:tc>
          <w:tcPr>
            <w:tcW w:w="347"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0</w:t>
            </w:r>
          </w:p>
        </w:tc>
        <w:tc>
          <w:tcPr>
            <w:tcW w:w="347"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0</w:t>
            </w:r>
          </w:p>
        </w:tc>
        <w:tc>
          <w:tcPr>
            <w:tcW w:w="347"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0</w:t>
            </w:r>
          </w:p>
        </w:tc>
        <w:tc>
          <w:tcPr>
            <w:tcW w:w="366"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0</w:t>
            </w:r>
          </w:p>
        </w:tc>
        <w:tc>
          <w:tcPr>
            <w:tcW w:w="36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color w:val="333333"/>
                <w:kern w:val="0"/>
                <w:sz w:val="21"/>
                <w:szCs w:val="21"/>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trHeight w:val="382" w:hRule="atLeast"/>
          <w:jc w:val="center"/>
        </w:trPr>
        <w:tc>
          <w:tcPr>
            <w:tcW w:w="380"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65" w:type="pct"/>
            <w:vMerge w:val="continue"/>
            <w:tcBorders>
              <w:top w:val="outset" w:color="auto" w:sz="6" w:space="0"/>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7" w:type="pct"/>
            <w:tcBorders>
              <w:top w:val="nil"/>
              <w:left w:val="nil"/>
              <w:bottom w:val="single" w:color="auto" w:sz="8" w:space="0"/>
              <w:right w:val="single" w:color="auto" w:sz="8" w:space="0"/>
            </w:tcBorders>
            <w:shd w:val="clear" w:color="auto" w:fill="auto"/>
            <w:vAlign w:val="center"/>
          </w:tcPr>
          <w:p>
            <w:pPr>
              <w:widowControl/>
              <w:spacing w:line="30" w:lineRule="atLeast"/>
              <w:rPr>
                <w:rFonts w:hint="eastAsia" w:ascii="Times New Roman" w:hAnsi="Times New Roman" w:eastAsiaTheme="minorEastAsia" w:cstheme="minorBidi"/>
                <w:kern w:val="2"/>
                <w:sz w:val="21"/>
                <w:szCs w:val="21"/>
                <w:lang w:val="en-US" w:eastAsia="zh-CN" w:bidi="ar-SA"/>
              </w:rPr>
            </w:pPr>
            <w:r>
              <w:rPr>
                <w:rFonts w:ascii="Times New Roman" w:hAnsi="Times New Roman"/>
                <w:color w:val="333333"/>
                <w:kern w:val="0"/>
                <w:szCs w:val="21"/>
                <w:lang w:bidi="ar"/>
              </w:rPr>
              <w:t>2.申请人逾期未按收费通知要求缴纳费用、行政机关不再处理其政府信息公开申请</w:t>
            </w:r>
          </w:p>
        </w:tc>
        <w:tc>
          <w:tcPr>
            <w:tcW w:w="347"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0</w:t>
            </w:r>
          </w:p>
        </w:tc>
        <w:tc>
          <w:tcPr>
            <w:tcW w:w="347"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0</w:t>
            </w:r>
          </w:p>
        </w:tc>
        <w:tc>
          <w:tcPr>
            <w:tcW w:w="347"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0</w:t>
            </w:r>
          </w:p>
        </w:tc>
        <w:tc>
          <w:tcPr>
            <w:tcW w:w="347"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0</w:t>
            </w:r>
          </w:p>
        </w:tc>
        <w:tc>
          <w:tcPr>
            <w:tcW w:w="366"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0</w:t>
            </w:r>
          </w:p>
        </w:tc>
        <w:tc>
          <w:tcPr>
            <w:tcW w:w="36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color w:val="333333"/>
                <w:kern w:val="0"/>
                <w:sz w:val="21"/>
                <w:szCs w:val="21"/>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trHeight w:val="382" w:hRule="atLeast"/>
          <w:jc w:val="center"/>
        </w:trPr>
        <w:tc>
          <w:tcPr>
            <w:tcW w:w="380"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65" w:type="pct"/>
            <w:vMerge w:val="continue"/>
            <w:tcBorders>
              <w:top w:val="outset" w:color="auto" w:sz="6" w:space="0"/>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7" w:type="pct"/>
            <w:tcBorders>
              <w:top w:val="nil"/>
              <w:left w:val="nil"/>
              <w:bottom w:val="single" w:color="auto" w:sz="8" w:space="0"/>
              <w:right w:val="single" w:color="auto" w:sz="8" w:space="0"/>
            </w:tcBorders>
            <w:shd w:val="clear" w:color="auto" w:fill="auto"/>
            <w:vAlign w:val="center"/>
          </w:tcPr>
          <w:p>
            <w:pPr>
              <w:widowControl/>
              <w:spacing w:line="30" w:lineRule="atLeast"/>
              <w:jc w:val="left"/>
              <w:rPr>
                <w:rFonts w:hint="eastAsia" w:ascii="Times New Roman" w:hAnsi="Times New Roman" w:eastAsiaTheme="minorEastAsia" w:cstheme="minorBidi"/>
                <w:kern w:val="2"/>
                <w:sz w:val="21"/>
                <w:szCs w:val="21"/>
                <w:lang w:val="en-US" w:eastAsia="zh-CN" w:bidi="ar-SA"/>
              </w:rPr>
            </w:pPr>
            <w:r>
              <w:rPr>
                <w:rFonts w:ascii="Times New Roman" w:hAnsi="Times New Roman"/>
                <w:color w:val="333333"/>
                <w:kern w:val="0"/>
                <w:szCs w:val="21"/>
                <w:lang w:bidi="ar"/>
              </w:rPr>
              <w:t>3.其他</w:t>
            </w:r>
          </w:p>
        </w:tc>
        <w:tc>
          <w:tcPr>
            <w:tcW w:w="347"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7"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7"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7"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66"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6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trHeight w:val="382" w:hRule="atLeast"/>
          <w:jc w:val="center"/>
        </w:trPr>
        <w:tc>
          <w:tcPr>
            <w:tcW w:w="380"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2153" w:type="pct"/>
            <w:gridSpan w:val="2"/>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（七）总计</w:t>
            </w:r>
          </w:p>
        </w:tc>
        <w:tc>
          <w:tcPr>
            <w:tcW w:w="347"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347"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p>
        </w:tc>
        <w:tc>
          <w:tcPr>
            <w:tcW w:w="347"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7"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66"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6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trHeight w:val="424" w:hRule="atLeast"/>
          <w:jc w:val="center"/>
        </w:trPr>
        <w:tc>
          <w:tcPr>
            <w:tcW w:w="2533" w:type="pct"/>
            <w:gridSpan w:val="3"/>
            <w:tcBorders>
              <w:top w:val="nil"/>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四、结转下年度继续办理</w:t>
            </w:r>
          </w:p>
        </w:tc>
        <w:tc>
          <w:tcPr>
            <w:tcW w:w="347"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2</w:t>
            </w:r>
          </w:p>
        </w:tc>
        <w:tc>
          <w:tcPr>
            <w:tcW w:w="347"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7"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7"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4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66"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60" w:type="pct"/>
            <w:tcBorders>
              <w:top w:val="nil"/>
              <w:left w:val="nil"/>
              <w:bottom w:val="single" w:color="auto" w:sz="8" w:space="0"/>
              <w:right w:val="single" w:color="auto" w:sz="8" w:space="0"/>
            </w:tcBorders>
            <w:shd w:val="clear" w:color="auto" w:fill="auto"/>
            <w:vAlign w:val="top"/>
          </w:tcPr>
          <w:p>
            <w:pPr>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2</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jc w:val="center"/>
        <w:rPr>
          <w:rFonts w:hint="eastAsia" w:ascii="宋体" w:hAnsi="宋体" w:eastAsia="宋体" w:cs="宋体"/>
          <w:color w:val="333333"/>
          <w:sz w:val="24"/>
          <w:szCs w:val="24"/>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黑体" w:hAnsi="黑体" w:eastAsia="黑体" w:cs="黑体"/>
          <w:b w:val="0"/>
          <w:bCs w:val="0"/>
          <w:color w:val="333333"/>
          <w:sz w:val="32"/>
          <w:szCs w:val="32"/>
        </w:rPr>
      </w:pPr>
      <w:r>
        <w:rPr>
          <w:rFonts w:hint="eastAsia" w:ascii="黑体" w:hAnsi="黑体" w:eastAsia="黑体" w:cs="黑体"/>
          <w:b w:val="0"/>
          <w:bCs w:val="0"/>
          <w:color w:val="333333"/>
          <w:sz w:val="32"/>
          <w:szCs w:val="32"/>
        </w:rPr>
        <w:t>四、政府信息公开行政复议、行政诉讼情况</w:t>
      </w:r>
    </w:p>
    <w:tbl>
      <w:tblPr>
        <w:tblStyle w:val="3"/>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565"/>
        <w:gridCol w:w="565"/>
        <w:gridCol w:w="565"/>
        <w:gridCol w:w="565"/>
        <w:gridCol w:w="574"/>
        <w:gridCol w:w="566"/>
        <w:gridCol w:w="566"/>
        <w:gridCol w:w="568"/>
        <w:gridCol w:w="568"/>
        <w:gridCol w:w="573"/>
        <w:gridCol w:w="568"/>
        <w:gridCol w:w="568"/>
        <w:gridCol w:w="568"/>
        <w:gridCol w:w="568"/>
        <w:gridCol w:w="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665"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行政复议</w:t>
            </w:r>
          </w:p>
        </w:tc>
        <w:tc>
          <w:tcPr>
            <w:tcW w:w="3334" w:type="pct"/>
            <w:gridSpan w:val="10"/>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2" w:type="pct"/>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结果维持</w:t>
            </w:r>
          </w:p>
        </w:tc>
        <w:tc>
          <w:tcPr>
            <w:tcW w:w="332" w:type="pct"/>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纠正</w:t>
            </w:r>
          </w:p>
        </w:tc>
        <w:tc>
          <w:tcPr>
            <w:tcW w:w="33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其他</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结果</w:t>
            </w:r>
          </w:p>
        </w:tc>
        <w:tc>
          <w:tcPr>
            <w:tcW w:w="33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尚未</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审结</w:t>
            </w:r>
          </w:p>
        </w:tc>
        <w:tc>
          <w:tcPr>
            <w:tcW w:w="33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总计</w:t>
            </w:r>
          </w:p>
        </w:tc>
        <w:tc>
          <w:tcPr>
            <w:tcW w:w="1666"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未经复议直接起诉</w:t>
            </w:r>
          </w:p>
        </w:tc>
        <w:tc>
          <w:tcPr>
            <w:tcW w:w="1668"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2" w:type="pct"/>
            <w:vMerge w:val="continue"/>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332" w:type="pct"/>
            <w:vMerge w:val="continue"/>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33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33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33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维持</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纠正</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其他</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结果</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尚未</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审结</w:t>
            </w:r>
          </w:p>
        </w:tc>
        <w:tc>
          <w:tcPr>
            <w:tcW w:w="33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000000"/>
                <w:kern w:val="0"/>
                <w:sz w:val="20"/>
                <w:szCs w:val="20"/>
                <w:lang w:val="en-US" w:eastAsia="zh-CN" w:bidi="ar"/>
              </w:rPr>
              <w:t>总计</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维持</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纠正</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尚未</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审结</w:t>
            </w:r>
          </w:p>
        </w:tc>
        <w:tc>
          <w:tcPr>
            <w:tcW w:w="33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000000"/>
                <w:kern w:val="0"/>
                <w:sz w:val="20"/>
                <w:szCs w:val="20"/>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ascii="黑体" w:hAnsi="宋体" w:eastAsia="黑体" w:cs="黑体"/>
                <w:color w:val="333333"/>
                <w:kern w:val="2"/>
                <w:sz w:val="20"/>
                <w:szCs w:val="20"/>
                <w:lang w:val="en-US" w:eastAsia="zh-CN" w:bidi="ar"/>
              </w:rPr>
              <w:t> </w:t>
            </w:r>
            <w:r>
              <w:rPr>
                <w:rFonts w:hint="eastAsia" w:ascii="黑体" w:hAnsi="宋体" w:eastAsia="黑体" w:cs="黑体"/>
                <w:color w:val="333333"/>
                <w:kern w:val="2"/>
                <w:sz w:val="20"/>
                <w:szCs w:val="20"/>
                <w:lang w:val="en-US" w:eastAsia="zh-CN" w:bidi="ar"/>
              </w:rPr>
              <w:t>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0 </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0 </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0 </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0 </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0 </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 1</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 0</w:t>
            </w:r>
          </w:p>
        </w:tc>
        <w:tc>
          <w:tcPr>
            <w:tcW w:w="33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 1</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 0</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 0</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0 </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0 </w:t>
            </w:r>
          </w:p>
        </w:tc>
        <w:tc>
          <w:tcPr>
            <w:tcW w:w="335" w:type="pct"/>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lang w:val="en-US" w:eastAsia="zh-CN"/>
              </w:rPr>
            </w:pPr>
            <w:r>
              <w:rPr>
                <w:rFonts w:hint="eastAsia" w:ascii="宋体" w:hAnsi="宋体" w:eastAsia="宋体" w:cs="宋体"/>
                <w:color w:val="333333"/>
                <w:sz w:val="21"/>
                <w:szCs w:val="21"/>
                <w:lang w:val="en-US" w:eastAsia="zh-CN"/>
              </w:rPr>
              <w:t>0</w:t>
            </w:r>
          </w:p>
        </w:tc>
      </w:tr>
    </w:tbl>
    <w:p>
      <w:pPr>
        <w:keepNext w:val="0"/>
        <w:keepLines w:val="0"/>
        <w:widowControl/>
        <w:suppressLineNumbers w:val="0"/>
        <w:jc w:val="left"/>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黑体" w:hAnsi="黑体" w:eastAsia="黑体" w:cs="黑体"/>
          <w:b w:val="0"/>
          <w:bCs w:val="0"/>
          <w:color w:val="333333"/>
          <w:sz w:val="32"/>
          <w:szCs w:val="32"/>
        </w:rPr>
      </w:pPr>
      <w:r>
        <w:rPr>
          <w:rFonts w:hint="eastAsia" w:ascii="黑体" w:hAnsi="黑体" w:eastAsia="黑体" w:cs="黑体"/>
          <w:b w:val="0"/>
          <w:bCs w:val="0"/>
          <w:color w:val="333333"/>
          <w:sz w:val="32"/>
          <w:szCs w:val="32"/>
        </w:rPr>
        <w:t>五、存在的主要问题及改进情况</w:t>
      </w:r>
    </w:p>
    <w:p>
      <w:pPr>
        <w:spacing w:line="560" w:lineRule="exact"/>
        <w:ind w:firstLine="640" w:firstLineChars="200"/>
        <w:rPr>
          <w:rFonts w:hint="eastAsia" w:ascii="仿宋_GB2312" w:hAnsi="宋体" w:eastAsia="仿宋_GB2312" w:cs="宋体"/>
          <w:color w:val="333333"/>
          <w:kern w:val="0"/>
          <w:sz w:val="32"/>
          <w:szCs w:val="24"/>
        </w:rPr>
      </w:pPr>
      <w:r>
        <w:rPr>
          <w:rFonts w:hint="eastAsia" w:ascii="仿宋_GB2312" w:eastAsia="仿宋_GB2312"/>
          <w:sz w:val="32"/>
          <w:szCs w:val="32"/>
        </w:rPr>
        <w:t>存在的问题主要</w:t>
      </w:r>
      <w:r>
        <w:rPr>
          <w:rFonts w:hint="eastAsia" w:ascii="仿宋_GB2312" w:eastAsia="仿宋_GB2312"/>
          <w:sz w:val="32"/>
          <w:szCs w:val="32"/>
          <w:lang w:eastAsia="zh-CN"/>
        </w:rPr>
        <w:t>：一是信息公开流程仍需进一步优化；二是主动公开信息质量需要进一步加强。</w:t>
      </w:r>
      <w:r>
        <w:rPr>
          <w:rFonts w:hint="eastAsia" w:ascii="仿宋_GB2312" w:hAnsi="宋体" w:eastAsia="仿宋_GB2312" w:cs="宋体"/>
          <w:color w:val="333333"/>
          <w:kern w:val="0"/>
          <w:sz w:val="32"/>
          <w:szCs w:val="24"/>
        </w:rPr>
        <w:t>。</w:t>
      </w:r>
    </w:p>
    <w:p>
      <w:pPr>
        <w:spacing w:line="560" w:lineRule="exact"/>
        <w:ind w:firstLine="640" w:firstLineChars="200"/>
        <w:rPr>
          <w:rFonts w:ascii="仿宋" w:hAnsi="仿宋" w:eastAsia="仿宋" w:cs="仿宋"/>
          <w:sz w:val="32"/>
          <w:szCs w:val="32"/>
        </w:rPr>
      </w:pPr>
      <w:r>
        <w:rPr>
          <w:rFonts w:hint="eastAsia" w:ascii="仿宋_GB2312" w:hAnsi="宋体" w:eastAsia="仿宋_GB2312" w:cs="宋体"/>
          <w:color w:val="333333"/>
          <w:kern w:val="0"/>
          <w:sz w:val="32"/>
          <w:szCs w:val="24"/>
          <w:lang w:eastAsia="zh-CN"/>
        </w:rPr>
        <w:t>改进措施：一是加强对信息公开内容的分析研判，进一步强化部门间沟通协调机制，针对具体情况组织开展内部会商，规范办理流程和审批环节，不断提升工作质效。二是加强对主动公开信息的日常管理，对更新情况和发布渠道进行定期检查，保障公开内容、更新频率的规范性，为公众提供更便利的查询服务</w:t>
      </w:r>
      <w:r>
        <w:rPr>
          <w:rFonts w:hint="eastAsia" w:ascii="仿宋" w:hAnsi="仿宋" w:eastAsia="仿宋" w:cs="仿宋"/>
          <w:sz w:val="32"/>
          <w:szCs w:val="32"/>
        </w:rPr>
        <w:t>。</w:t>
      </w:r>
    </w:p>
    <w:p>
      <w:pPr>
        <w:widowControl/>
        <w:spacing w:line="432" w:lineRule="auto"/>
        <w:ind w:firstLine="480"/>
        <w:rPr>
          <w:rFonts w:ascii="黑体" w:hAnsi="宋体" w:eastAsia="黑体" w:cs="宋体"/>
          <w:b/>
          <w:bCs/>
          <w:color w:val="333333"/>
          <w:kern w:val="0"/>
          <w:sz w:val="32"/>
          <w:szCs w:val="32"/>
        </w:rPr>
      </w:pPr>
      <w:r>
        <w:rPr>
          <w:rFonts w:hint="eastAsia" w:ascii="黑体" w:hAnsi="宋体" w:eastAsia="黑体" w:cs="宋体"/>
          <w:b/>
          <w:bCs/>
          <w:color w:val="333333"/>
          <w:kern w:val="0"/>
          <w:sz w:val="32"/>
          <w:szCs w:val="32"/>
        </w:rPr>
        <w:t>六、其他需要报告的事项</w:t>
      </w:r>
    </w:p>
    <w:p>
      <w:pPr>
        <w:ind w:firstLine="640" w:firstLineChars="200"/>
        <w:rPr>
          <w:rFonts w:hint="eastAsia" w:eastAsiaTheme="minorEastAsia"/>
          <w:lang w:eastAsia="zh-CN"/>
        </w:rPr>
      </w:pPr>
      <w:r>
        <w:rPr>
          <w:rFonts w:hint="eastAsia" w:ascii="仿宋_GB2312" w:hAnsi="宋体" w:eastAsia="仿宋_GB2312" w:cs="宋体"/>
          <w:color w:val="333333"/>
          <w:kern w:val="0"/>
          <w:sz w:val="32"/>
          <w:szCs w:val="24"/>
          <w:lang w:eastAsia="zh-CN"/>
        </w:rPr>
        <w:t>本年度没有其他需要报告的事项。</w:t>
      </w:r>
    </w:p>
    <w:p/>
    <w:p/>
    <w:p/>
    <w:p>
      <w:pPr>
        <w:spacing w:line="560" w:lineRule="exact"/>
        <w:ind w:firstLine="1600" w:firstLineChars="500"/>
        <w:rPr>
          <w:rFonts w:hint="eastAsia" w:ascii="仿宋" w:hAnsi="仿宋" w:eastAsia="仿宋" w:cs="仿宋"/>
          <w:sz w:val="32"/>
          <w:szCs w:val="32"/>
          <w:lang w:eastAsia="zh-CN"/>
        </w:rPr>
      </w:pPr>
      <w:r>
        <w:rPr>
          <w:rFonts w:hint="eastAsia" w:ascii="仿宋" w:hAnsi="仿宋" w:eastAsia="仿宋" w:cs="仿宋"/>
          <w:sz w:val="32"/>
          <w:szCs w:val="32"/>
          <w:lang w:eastAsia="zh-CN"/>
        </w:rPr>
        <w:t>国家税务总局武汉市东湖新技术开发区税务局</w:t>
      </w:r>
    </w:p>
    <w:p>
      <w:pPr>
        <w:spacing w:line="560" w:lineRule="exact"/>
        <w:ind w:firstLine="1600" w:firstLineChars="500"/>
        <w:rPr>
          <w:rFonts w:hint="eastAsia" w:ascii="仿宋" w:hAnsi="仿宋" w:eastAsia="仿宋" w:cs="仿宋"/>
          <w:sz w:val="32"/>
          <w:szCs w:val="32"/>
          <w:lang w:eastAsia="zh-CN"/>
        </w:rPr>
      </w:pPr>
    </w:p>
    <w:p>
      <w:pPr>
        <w:spacing w:line="560" w:lineRule="exact"/>
        <w:ind w:firstLine="4160" w:firstLineChars="13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2024年1月18日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27ADB7A-6C8F-4DDD-9B70-3D5053CD358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4FAAA66B-0BE8-4B59-8F61-98E95B542D0E}"/>
  </w:font>
  <w:font w:name="方正小标宋简体">
    <w:panose1 w:val="02000000000000000000"/>
    <w:charset w:val="86"/>
    <w:family w:val="script"/>
    <w:pitch w:val="default"/>
    <w:sig w:usb0="A00002BF" w:usb1="184F6CFA" w:usb2="00000012" w:usb3="00000000" w:csb0="00040001" w:csb1="00000000"/>
    <w:embedRegular r:id="rId3" w:fontKey="{930E3513-6626-4E9D-8B61-11104F08A5CC}"/>
  </w:font>
  <w:font w:name="仿宋_GB2312">
    <w:panose1 w:val="02010609030101010101"/>
    <w:charset w:val="86"/>
    <w:family w:val="modern"/>
    <w:pitch w:val="default"/>
    <w:sig w:usb0="00000001" w:usb1="080E0000" w:usb2="00000000" w:usb3="00000000" w:csb0="00040000" w:csb1="00000000"/>
    <w:embedRegular r:id="rId4" w:fontKey="{F1A08F18-7F42-4F8C-9483-9A4A6072EA6E}"/>
  </w:font>
  <w:font w:name="仿宋">
    <w:panose1 w:val="02010609060101010101"/>
    <w:charset w:val="86"/>
    <w:family w:val="auto"/>
    <w:pitch w:val="default"/>
    <w:sig w:usb0="800002BF" w:usb1="38CF7CFA" w:usb2="00000016" w:usb3="00000000" w:csb0="00040001" w:csb1="00000000"/>
    <w:embedRegular r:id="rId5" w:fontKey="{0BB00856-7104-4BA2-8F66-1E1CDB42FBA7}"/>
  </w:font>
  <w:font w:name="楷体_GB2312">
    <w:panose1 w:val="02010609030101010101"/>
    <w:charset w:val="86"/>
    <w:family w:val="modern"/>
    <w:pitch w:val="default"/>
    <w:sig w:usb0="00000001" w:usb1="080E0000" w:usb2="00000000" w:usb3="00000000" w:csb0="00040000" w:csb1="00000000"/>
    <w:embedRegular r:id="rId6" w:fontKey="{67DDED22-7F4D-4DA2-B8A6-34D54361B942}"/>
  </w:font>
  <w:font w:name="楷体">
    <w:panose1 w:val="02010609060101010101"/>
    <w:charset w:val="86"/>
    <w:family w:val="auto"/>
    <w:pitch w:val="default"/>
    <w:sig w:usb0="800002BF" w:usb1="38CF7CFA" w:usb2="00000016" w:usb3="00000000" w:csb0="00040001" w:csb1="00000000"/>
    <w:embedRegular r:id="rId7" w:fontKey="{E2F6E84C-7577-4B18-8CEE-5B7226FF97A3}"/>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dkYzc1ODY4NDkyOWFiNDY5MzdmOWRiMDQyMDNlMzYifQ=="/>
  </w:docVars>
  <w:rsids>
    <w:rsidRoot w:val="238B1E27"/>
    <w:rsid w:val="01927186"/>
    <w:rsid w:val="0425341A"/>
    <w:rsid w:val="05AE6BD1"/>
    <w:rsid w:val="0A935AB0"/>
    <w:rsid w:val="12F6764D"/>
    <w:rsid w:val="169E74C6"/>
    <w:rsid w:val="1A1615A6"/>
    <w:rsid w:val="1D1E46E9"/>
    <w:rsid w:val="21100D5D"/>
    <w:rsid w:val="238B1E27"/>
    <w:rsid w:val="246E2621"/>
    <w:rsid w:val="284835CA"/>
    <w:rsid w:val="30487B9C"/>
    <w:rsid w:val="31BC15F2"/>
    <w:rsid w:val="36021D1E"/>
    <w:rsid w:val="380214FF"/>
    <w:rsid w:val="38791C18"/>
    <w:rsid w:val="397119C0"/>
    <w:rsid w:val="3EE00F79"/>
    <w:rsid w:val="3EE0233A"/>
    <w:rsid w:val="419B6055"/>
    <w:rsid w:val="46C04BB8"/>
    <w:rsid w:val="499D3855"/>
    <w:rsid w:val="4AB61875"/>
    <w:rsid w:val="5A3B4440"/>
    <w:rsid w:val="5BC450B2"/>
    <w:rsid w:val="5C34538D"/>
    <w:rsid w:val="5DA47952"/>
    <w:rsid w:val="5DB0062D"/>
    <w:rsid w:val="62756AA6"/>
    <w:rsid w:val="66F156FE"/>
    <w:rsid w:val="714C7670"/>
    <w:rsid w:val="71734E55"/>
    <w:rsid w:val="73C2778C"/>
    <w:rsid w:val="74B75852"/>
    <w:rsid w:val="767E6E8D"/>
    <w:rsid w:val="79FB1236"/>
    <w:rsid w:val="7D211D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125</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2021-12-21T15:19:00Z</dcterms:created>
  <dc:creator>WPS_1624785580</dc:creator>
  <cp:lastModifiedBy>吴明克</cp:lastModifiedBy>
  <cp:lastPrinted>2024-01-19T02:24:00Z</cp:lastPrinted>
  <dcterms:modified xsi:type="dcterms:W3CDTF">2024-01-19T06:46:43Z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777F53E91E564B3B96F5A1A435D08748</vt:lpwstr>
  </property>
</Properties>
</file>