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723" w:firstLineChars="200"/>
        <w:textAlignment w:val="auto"/>
        <w:rPr>
          <w:rFonts w:hint="eastAsia" w:eastAsia="仿宋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新版湖北省电子税务新办纳税人操作指南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60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602" w:firstLineChars="200"/>
        <w:textAlignment w:val="auto"/>
      </w:pPr>
      <w:r>
        <w:rPr>
          <w:rFonts w:hint="eastAsia"/>
          <w:b/>
          <w:bCs/>
        </w:rPr>
        <w:t>新办纳税人“套餐式”服务的服务内容有哪些？</w:t>
      </w:r>
      <w:r>
        <w:rPr>
          <w:rFonts w:hint="eastAsia"/>
        </w:rPr>
        <w:t>纳税人采用新办纳税人“套餐式”服务的，可一并办理以下涉税事项：电子税务局开户、登记信息确认、财务会计制度及核算软件备案、纳税人存款账户账号报告、增值税一般纳税人登记、发票票种核定、增值税专用发票最高开票限额审批、实名办税、增值税税控系统专用设备初始发行、发票领用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Toc520412189"/>
      <w:bookmarkStart w:id="1" w:name="_Toc520411121"/>
      <w:bookmarkStart w:id="2" w:name="_Toc523497247"/>
      <w:bookmarkStart w:id="3" w:name="_Toc14583"/>
      <w:bookmarkStart w:id="4" w:name="_Toc519175499"/>
      <w:bookmarkStart w:id="5" w:name="_Toc6392"/>
      <w:bookmarkStart w:id="6" w:name="_Toc520411373"/>
      <w:bookmarkStart w:id="7" w:name="_Toc25618"/>
      <w:bookmarkStart w:id="8" w:name="_Toc11837758"/>
      <w:bookmarkStart w:id="9" w:name="_Toc11837511"/>
      <w:bookmarkStart w:id="10" w:name="_Toc11837045"/>
      <w:bookmarkStart w:id="11" w:name="_Toc11835038"/>
      <w:bookmarkStart w:id="12" w:name="_Toc520412641"/>
      <w:bookmarkStart w:id="13" w:name="_Toc530773159"/>
      <w:bookmarkStart w:id="14" w:name="_Toc27622"/>
      <w:bookmarkStart w:id="15" w:name="_Toc11835710"/>
      <w:r>
        <w:rPr>
          <w:rFonts w:hint="eastAsia"/>
          <w:lang w:val="en-US" w:eastAsia="zh-CN"/>
        </w:rPr>
        <w:t xml:space="preserve">   具体操作流程如下：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>
      <w:pPr>
        <w:ind w:firstLine="450" w:firstLineChars="150"/>
        <w:rPr>
          <w:rFonts w:hint="eastAsia" w:ascii="仿宋" w:hAnsi="仿宋"/>
          <w:szCs w:val="30"/>
          <w:lang w:val="en-US" w:eastAsia="zh-CN"/>
        </w:rPr>
      </w:pPr>
      <w:r>
        <w:rPr>
          <w:rFonts w:hint="eastAsia"/>
        </w:rPr>
        <w:t xml:space="preserve"> 1.</w:t>
      </w:r>
      <w:r>
        <w:rPr>
          <w:rFonts w:hint="eastAsia" w:ascii="仿宋" w:hAnsi="仿宋"/>
          <w:szCs w:val="30"/>
        </w:rPr>
        <w:t>纳税人进入</w:t>
      </w:r>
      <w:r>
        <w:rPr>
          <w:rFonts w:hint="eastAsia" w:ascii="仿宋" w:hAnsi="仿宋"/>
          <w:szCs w:val="30"/>
          <w:lang w:eastAsia="zh-CN"/>
        </w:rPr>
        <w:t>新版湖北省电子税务局，从企业业务入口登录。</w:t>
      </w:r>
      <w:r>
        <w:rPr>
          <w:rFonts w:hint="eastAsia" w:ascii="仿宋" w:hAnsi="仿宋"/>
          <w:szCs w:val="30"/>
          <w:lang w:val="en-US" w:eastAsia="zh-CN"/>
        </w:rPr>
        <w:drawing>
          <wp:inline distT="0" distB="0" distL="114300" distR="114300">
            <wp:extent cx="5749925" cy="3312795"/>
            <wp:effectExtent l="0" t="0" r="3175" b="190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/>
          <w:szCs w:val="30"/>
        </w:rPr>
      </w:pPr>
    </w:p>
    <w:p>
      <w:pPr>
        <w:rPr>
          <w:rFonts w:ascii="仿宋" w:hAnsi="仿宋"/>
          <w:szCs w:val="30"/>
        </w:rPr>
      </w:pPr>
    </w:p>
    <w:p>
      <w:pPr>
        <w:ind w:firstLine="600" w:firstLineChars="200"/>
        <w:rPr>
          <w:rFonts w:hint="eastAsia" w:eastAsia="仿宋"/>
          <w:lang w:eastAsia="zh-CN"/>
        </w:rPr>
      </w:pPr>
      <w:r>
        <w:rPr>
          <w:rFonts w:hint="eastAsia" w:ascii="仿宋" w:hAnsi="仿宋"/>
          <w:szCs w:val="30"/>
        </w:rPr>
        <w:t>2.</w:t>
      </w:r>
      <w:r>
        <w:rPr>
          <w:rFonts w:hint="eastAsia"/>
          <w:lang w:eastAsia="zh-CN"/>
        </w:rPr>
        <w:t>登录后，在主页左侧的套餐业务中可以直接选择新办纳税人套餐服务。</w:t>
      </w:r>
    </w:p>
    <w:p>
      <w:pPr>
        <w:jc w:val="lef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783580" cy="3131820"/>
            <wp:effectExtent l="0" t="0" r="7620" b="1143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center"/>
        <w:rPr>
          <w:rFonts w:ascii="仿宋" w:hAnsi="仿宋"/>
        </w:rPr>
      </w:pPr>
    </w:p>
    <w:p>
      <w:pPr>
        <w:numPr>
          <w:ilvl w:val="0"/>
          <w:numId w:val="1"/>
        </w:numPr>
        <w:ind w:firstLine="600" w:firstLineChars="200"/>
        <w:jc w:val="left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eastAsia="zh-CN"/>
        </w:rPr>
        <w:t>状态监测通过后点击下一步。</w:t>
      </w:r>
    </w:p>
    <w:p>
      <w:pPr>
        <w:numPr>
          <w:ilvl w:val="0"/>
          <w:numId w:val="0"/>
        </w:numPr>
        <w:jc w:val="left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eastAsia="zh-CN"/>
        </w:rPr>
        <w:drawing>
          <wp:inline distT="0" distB="0" distL="114300" distR="114300">
            <wp:extent cx="5567680" cy="3356610"/>
            <wp:effectExtent l="0" t="0" r="13970" b="1524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center"/>
      </w:pP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仿宋" w:hAnsi="仿宋"/>
          <w:szCs w:val="30"/>
          <w:lang w:eastAsia="zh-CN"/>
        </w:rPr>
      </w:pPr>
      <w:r>
        <w:rPr>
          <w:rFonts w:hint="eastAsia" w:ascii="仿宋" w:hAnsi="仿宋"/>
          <w:szCs w:val="30"/>
          <w:lang w:eastAsia="zh-CN"/>
        </w:rPr>
        <w:t>实名办税模块。实名办税可通过此模块的两种方式进行操作，实名后点击下一步。</w:t>
      </w:r>
    </w:p>
    <w:p>
      <w:pPr>
        <w:numPr>
          <w:ilvl w:val="0"/>
          <w:numId w:val="0"/>
        </w:numPr>
        <w:rPr>
          <w:rFonts w:hint="eastAsia" w:ascii="仿宋" w:hAnsi="仿宋"/>
          <w:szCs w:val="30"/>
          <w:lang w:eastAsia="zh-CN"/>
        </w:rPr>
      </w:pPr>
      <w:r>
        <w:rPr>
          <w:rFonts w:hint="eastAsia" w:ascii="仿宋" w:hAnsi="仿宋"/>
          <w:szCs w:val="30"/>
          <w:lang w:eastAsia="zh-CN"/>
        </w:rPr>
        <w:drawing>
          <wp:inline distT="0" distB="0" distL="114300" distR="114300">
            <wp:extent cx="5655310" cy="3316605"/>
            <wp:effectExtent l="0" t="0" r="2540" b="17145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lang w:eastAsia="zh-CN"/>
        </w:rPr>
      </w:pPr>
      <w:bookmarkStart w:id="16" w:name="_Toc520412191"/>
      <w:r>
        <w:rPr>
          <w:rFonts w:hint="eastAsia" w:ascii="仿宋" w:hAnsi="仿宋"/>
        </w:rPr>
        <w:t>5.</w:t>
      </w:r>
      <w:bookmarkEnd w:id="16"/>
      <w:r>
        <w:rPr>
          <w:rFonts w:hint="eastAsia" w:ascii="仿宋" w:hAnsi="仿宋"/>
          <w:lang w:eastAsia="zh-CN"/>
        </w:rPr>
        <w:t>根据单位的具体情况，进行财务会计制度备案，红色※为必填项，填写完成后点击下一步。</w:t>
      </w:r>
    </w:p>
    <w:p>
      <w:pPr>
        <w:jc w:val="left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828030" cy="3180715"/>
            <wp:effectExtent l="0" t="0" r="1270" b="635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left"/>
        <w:rPr>
          <w:rFonts w:hint="eastAsia" w:ascii="仿宋" w:hAnsi="仿宋" w:eastAsia="仿宋"/>
          <w:lang w:eastAsia="zh-CN"/>
        </w:rPr>
      </w:pPr>
      <w:bookmarkStart w:id="17" w:name="_Toc520412192"/>
      <w:r>
        <w:rPr>
          <w:rFonts w:hint="eastAsia" w:ascii="仿宋" w:hAnsi="仿宋"/>
        </w:rPr>
        <w:t>6.点击进入一般纳税人资格登记界面，可以进行一般纳税人资格登记。</w:t>
      </w:r>
      <w:bookmarkEnd w:id="17"/>
      <w:r>
        <w:rPr>
          <w:rFonts w:hint="eastAsia" w:ascii="仿宋" w:hAnsi="仿宋"/>
          <w:lang w:eastAsia="zh-CN"/>
        </w:rPr>
        <w:t>注意：如果无需进行一般纳税人登记的，跳过此步骤。</w:t>
      </w:r>
    </w:p>
    <w:p>
      <w:pPr>
        <w:jc w:val="left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582285" cy="3375660"/>
            <wp:effectExtent l="0" t="0" r="18415" b="15240"/>
            <wp:docPr id="11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/>
        </w:rPr>
      </w:pP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7.</w:t>
      </w:r>
      <w:r>
        <w:rPr>
          <w:rFonts w:hint="eastAsia" w:ascii="仿宋" w:hAnsi="仿宋"/>
          <w:lang w:eastAsia="zh-CN"/>
        </w:rPr>
        <w:t>三方协议签订需要先做存款账户账号报告，如有需要的单位，可点击新增后进行操作。</w:t>
      </w:r>
    </w:p>
    <w:p>
      <w:pPr>
        <w:numPr>
          <w:ilvl w:val="0"/>
          <w:numId w:val="0"/>
        </w:numPr>
        <w:jc w:val="left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eastAsia="zh-CN"/>
        </w:rPr>
        <w:drawing>
          <wp:inline distT="0" distB="0" distL="114300" distR="114300">
            <wp:extent cx="5363210" cy="3215005"/>
            <wp:effectExtent l="0" t="0" r="8890" b="4445"/>
            <wp:docPr id="12" name="图片 1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eastAsia="zh-CN"/>
        </w:rPr>
        <w:drawing>
          <wp:inline distT="0" distB="0" distL="114300" distR="114300">
            <wp:extent cx="5367655" cy="3150870"/>
            <wp:effectExtent l="0" t="0" r="4445" b="11430"/>
            <wp:docPr id="13" name="图片 1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left"/>
        <w:rPr>
          <w:rFonts w:hint="eastAsia" w:ascii="仿宋" w:hAnsi="仿宋"/>
        </w:rPr>
      </w:pPr>
    </w:p>
    <w:p>
      <w:pPr>
        <w:ind w:firstLine="600" w:firstLineChars="200"/>
        <w:jc w:val="left"/>
        <w:rPr>
          <w:rFonts w:hint="eastAsia" w:ascii="仿宋" w:hAnsi="仿宋"/>
        </w:rPr>
      </w:pPr>
    </w:p>
    <w:p>
      <w:pPr>
        <w:ind w:firstLine="600" w:firstLineChars="200"/>
        <w:jc w:val="left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8</w:t>
      </w:r>
      <w:r>
        <w:rPr>
          <w:rFonts w:hint="eastAsia" w:ascii="仿宋" w:hAnsi="仿宋"/>
        </w:rPr>
        <w:t>.</w:t>
      </w:r>
      <w:r>
        <w:rPr>
          <w:rFonts w:hint="eastAsia" w:ascii="仿宋" w:hAnsi="仿宋"/>
          <w:lang w:eastAsia="zh-CN"/>
        </w:rPr>
        <w:t>若需领取增值税专用发票，需要同时提交专票的票种核定和最高开票限额审批。</w:t>
      </w:r>
    </w:p>
    <w:p>
      <w:pPr>
        <w:ind w:firstLine="600" w:firstLineChars="200"/>
        <w:jc w:val="left"/>
        <w:rPr>
          <w:rFonts w:hint="eastAsia" w:ascii="仿宋" w:hAnsi="仿宋"/>
          <w:lang w:eastAsia="zh-CN"/>
        </w:rPr>
      </w:pPr>
    </w:p>
    <w:p>
      <w:pPr>
        <w:jc w:val="left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498465" cy="3517265"/>
            <wp:effectExtent l="0" t="0" r="6985" b="6985"/>
            <wp:docPr id="14" name="图片 1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仿宋"/>
          <w:lang w:eastAsia="zh-CN"/>
        </w:rPr>
      </w:pPr>
    </w:p>
    <w:p>
      <w:pPr>
        <w:jc w:val="left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535295" cy="3850005"/>
            <wp:effectExtent l="0" t="0" r="8255" b="17145"/>
            <wp:docPr id="15" name="图片 1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仿宋"/>
          <w:lang w:eastAsia="zh-CN"/>
        </w:rPr>
      </w:pPr>
    </w:p>
    <w:p>
      <w:pPr>
        <w:jc w:val="left"/>
        <w:rPr>
          <w:rFonts w:hint="eastAsia" w:eastAsia="仿宋"/>
          <w:lang w:eastAsia="zh-CN"/>
        </w:rPr>
      </w:pPr>
      <w:bookmarkStart w:id="18" w:name="_GoBack"/>
      <w:r>
        <w:rPr>
          <w:rFonts w:hint="eastAsia" w:eastAsia="仿宋"/>
          <w:lang w:eastAsia="zh-CN"/>
        </w:rPr>
        <w:drawing>
          <wp:inline distT="0" distB="0" distL="114300" distR="114300">
            <wp:extent cx="5645150" cy="3486785"/>
            <wp:effectExtent l="0" t="0" r="12700" b="18415"/>
            <wp:docPr id="16" name="图片 1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</w:p>
    <w:p>
      <w:pPr>
        <w:ind w:firstLine="600" w:firstLineChars="200"/>
        <w:jc w:val="left"/>
        <w:rPr>
          <w:rFonts w:hint="eastAsia" w:ascii="仿宋" w:hAnsi="仿宋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9</w:t>
      </w:r>
      <w:r>
        <w:rPr>
          <w:rFonts w:hint="eastAsia" w:ascii="仿宋" w:hAnsi="仿宋"/>
        </w:rPr>
        <w:t>.</w:t>
      </w:r>
      <w:r>
        <w:rPr>
          <w:rFonts w:hint="eastAsia" w:ascii="仿宋" w:hAnsi="仿宋"/>
          <w:lang w:eastAsia="zh-CN"/>
        </w:rPr>
        <w:t>发票领用需实名办税人员实名认证后提交，可选择领用方式，提交后等待审核。</w:t>
      </w:r>
    </w:p>
    <w:p>
      <w:pPr>
        <w:jc w:val="left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eastAsia="zh-CN"/>
        </w:rPr>
        <w:drawing>
          <wp:inline distT="0" distB="0" distL="114300" distR="114300">
            <wp:extent cx="5645150" cy="2726055"/>
            <wp:effectExtent l="0" t="0" r="12700" b="17145"/>
            <wp:docPr id="17" name="图片 1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仿宋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32B7E"/>
    <w:multiLevelType w:val="singleLevel"/>
    <w:tmpl w:val="57C32B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17082"/>
    <w:rsid w:val="7424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13" w:lineRule="auto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2023-08-04T02:31:00Z</dcterms:created>
  <dc:creator>Administrator</dc:creator>
  <cp:lastModifiedBy>赵娜娜</cp:lastModifiedBy>
  <dcterms:modified xsi:type="dcterms:W3CDTF">2023-08-04T03:23:41Z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