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国家税务总局武汉市江夏区税务局2022年</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法治政府建设情况报告</w:t>
      </w:r>
    </w:p>
    <w:p>
      <w:pPr>
        <w:ind w:firstLine="600" w:firstLineChars="200"/>
        <w:rPr>
          <w:rFonts w:hint="eastAsia" w:ascii="仿宋" w:hAnsi="仿宋" w:eastAsia="仿宋" w:cs="仿宋"/>
          <w:color w:val="auto"/>
          <w:sz w:val="30"/>
          <w:szCs w:val="30"/>
        </w:rPr>
      </w:pPr>
    </w:p>
    <w:p>
      <w:pPr>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20</w:t>
      </w:r>
      <w:r>
        <w:rPr>
          <w:rFonts w:hint="eastAsia" w:ascii="仿宋" w:hAnsi="仿宋" w:eastAsia="仿宋" w:cs="仿宋"/>
          <w:color w:val="auto"/>
          <w:sz w:val="30"/>
          <w:szCs w:val="30"/>
          <w:lang w:val="en-US" w:eastAsia="zh-CN"/>
        </w:rPr>
        <w:t>22</w:t>
      </w:r>
      <w:r>
        <w:rPr>
          <w:rFonts w:hint="eastAsia" w:ascii="仿宋" w:hAnsi="仿宋" w:eastAsia="仿宋" w:cs="仿宋"/>
          <w:color w:val="auto"/>
          <w:sz w:val="30"/>
          <w:szCs w:val="30"/>
        </w:rPr>
        <w:t>年，武汉市江夏区税务局坚持以习近平新时代中国特色社会主义思想为指导，全面学习贯彻落实党的二十大精神，围绕《法治政府建设实施纲要（2021-2025年）》整体部署</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在</w:t>
      </w:r>
      <w:r>
        <w:rPr>
          <w:rFonts w:hint="eastAsia" w:ascii="仿宋" w:hAnsi="仿宋" w:eastAsia="仿宋" w:cs="仿宋"/>
          <w:color w:val="auto"/>
          <w:sz w:val="30"/>
          <w:szCs w:val="30"/>
          <w:lang w:eastAsia="zh-CN"/>
        </w:rPr>
        <w:t>江夏</w:t>
      </w:r>
      <w:r>
        <w:rPr>
          <w:rFonts w:hint="eastAsia" w:ascii="仿宋" w:hAnsi="仿宋" w:eastAsia="仿宋" w:cs="仿宋"/>
          <w:color w:val="auto"/>
          <w:sz w:val="30"/>
          <w:szCs w:val="30"/>
        </w:rPr>
        <w:t>区委、区政府</w:t>
      </w:r>
      <w:r>
        <w:rPr>
          <w:rFonts w:hint="eastAsia" w:ascii="仿宋" w:hAnsi="仿宋" w:eastAsia="仿宋" w:cs="仿宋"/>
          <w:color w:val="auto"/>
          <w:sz w:val="30"/>
          <w:szCs w:val="30"/>
          <w:lang w:eastAsia="zh-CN"/>
        </w:rPr>
        <w:t>和武汉市</w:t>
      </w:r>
      <w:r>
        <w:rPr>
          <w:rFonts w:hint="eastAsia" w:ascii="仿宋" w:hAnsi="仿宋" w:eastAsia="仿宋" w:cs="仿宋"/>
          <w:color w:val="auto"/>
          <w:sz w:val="30"/>
          <w:szCs w:val="30"/>
        </w:rPr>
        <w:t>税务局的正确领导下，扎实推进税收法治建设，全面提升税务执法效能，充分发挥税收在稳定经济大盘、服务区域治理上的基础性作用。现将</w:t>
      </w:r>
      <w:r>
        <w:rPr>
          <w:rFonts w:hint="eastAsia" w:ascii="仿宋" w:hAnsi="仿宋" w:eastAsia="仿宋" w:cs="仿宋"/>
          <w:color w:val="auto"/>
          <w:sz w:val="30"/>
          <w:szCs w:val="30"/>
          <w:lang w:eastAsia="zh-CN"/>
        </w:rPr>
        <w:t>本</w:t>
      </w:r>
      <w:r>
        <w:rPr>
          <w:rFonts w:hint="eastAsia" w:ascii="仿宋" w:hAnsi="仿宋" w:eastAsia="仿宋" w:cs="仿宋"/>
          <w:color w:val="auto"/>
          <w:sz w:val="30"/>
          <w:szCs w:val="30"/>
        </w:rPr>
        <w:t>年开展法治政府建设情况报告如下：</w:t>
      </w:r>
    </w:p>
    <w:p>
      <w:pPr>
        <w:pStyle w:val="2"/>
        <w:ind w:firstLine="640" w:firstLineChars="200"/>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一、2022年法治建设工作情况</w:t>
      </w:r>
    </w:p>
    <w:p>
      <w:pPr>
        <w:ind w:firstLine="602" w:firstLineChars="200"/>
        <w:rPr>
          <w:rFonts w:hint="eastAsia" w:ascii="仿宋" w:hAnsi="仿宋" w:eastAsia="仿宋" w:cs="仿宋"/>
          <w:color w:val="auto"/>
          <w:sz w:val="30"/>
          <w:szCs w:val="30"/>
        </w:rPr>
      </w:pPr>
      <w:r>
        <w:rPr>
          <w:rFonts w:hint="eastAsia" w:ascii="楷体" w:hAnsi="楷体" w:eastAsia="楷体" w:cs="楷体"/>
          <w:b/>
          <w:bCs/>
          <w:color w:val="auto"/>
          <w:sz w:val="30"/>
          <w:szCs w:val="30"/>
          <w:lang w:eastAsia="zh-CN"/>
        </w:rPr>
        <w:t>（一）深入学习贯彻习近平法治思想。</w:t>
      </w:r>
      <w:r>
        <w:rPr>
          <w:rFonts w:hint="eastAsia" w:ascii="仿宋" w:hAnsi="仿宋" w:eastAsia="仿宋" w:cs="仿宋"/>
          <w:color w:val="auto"/>
          <w:sz w:val="30"/>
          <w:szCs w:val="30"/>
          <w:lang w:eastAsia="zh-CN"/>
        </w:rPr>
        <w:t>把学习习近平法治思想作为党委会“第一议题”、党委理论学习中心组、局长办公会“会前学法”、全面依法行政领导小组学习的重点内容，深入学习了二十大报告中坚持全面依法治国、推进法治中国建设重要论述，将《习近平谈治国理政》（第四卷）、习近平《论坚持全面依法治国》作为重要学习内容。开展税收现代化服务中国式现代化大讨论，在税收现代化服务中国式现代化进程中进一步夯实税务系统法治基础，推进规范执法，强化执法监督，努力营造良好的法治氛围。通过“学习兴税”平台，组织全体干部学习了习近平总书记关于全面依法治国的重要论述。</w:t>
      </w:r>
      <w:bookmarkStart w:id="0" w:name="_GoBack"/>
      <w:bookmarkEnd w:id="0"/>
    </w:p>
    <w:p>
      <w:pPr>
        <w:ind w:firstLine="602" w:firstLineChars="200"/>
        <w:rPr>
          <w:rFonts w:hint="eastAsia" w:ascii="仿宋" w:hAnsi="仿宋" w:eastAsia="仿宋" w:cs="仿宋"/>
          <w:color w:val="auto"/>
          <w:sz w:val="30"/>
          <w:szCs w:val="30"/>
          <w:lang w:eastAsia="zh-CN"/>
        </w:rPr>
      </w:pPr>
      <w:r>
        <w:rPr>
          <w:rFonts w:hint="eastAsia" w:ascii="楷体" w:hAnsi="楷体" w:eastAsia="楷体" w:cs="楷体"/>
          <w:b/>
          <w:bCs/>
          <w:color w:val="auto"/>
          <w:sz w:val="30"/>
          <w:szCs w:val="30"/>
        </w:rPr>
        <w:t>（二）健全政府机构职能体系，依法全面履行税收工作职能</w:t>
      </w:r>
      <w:r>
        <w:rPr>
          <w:rFonts w:hint="eastAsia" w:ascii="楷体" w:hAnsi="楷体" w:eastAsia="楷体" w:cs="楷体"/>
          <w:b/>
          <w:bCs/>
          <w:color w:val="auto"/>
          <w:sz w:val="30"/>
          <w:szCs w:val="30"/>
          <w:lang w:eastAsia="zh-CN"/>
        </w:rPr>
        <w:t>。</w:t>
      </w:r>
      <w:r>
        <w:rPr>
          <w:rFonts w:hint="eastAsia" w:ascii="仿宋" w:hAnsi="仿宋" w:eastAsia="仿宋" w:cs="仿宋"/>
          <w:color w:val="auto"/>
          <w:sz w:val="30"/>
          <w:szCs w:val="30"/>
          <w:lang w:eastAsia="zh-CN"/>
        </w:rPr>
        <w:t>一是依法依规组织税收收入。面对疫情和经济下行压力加大、企业税源支撑不足、减税降费政策力度空前等多重减收因素，加强收入预测分析，妥善处理“减”“收”关系，确保依法依规征收，应收尽收，保障税费收入稳定。二是有序落实退税减税政策。统筹谋划、分步推进落实大规模增值税留抵退税等新的组合式税费支持政策、制造业中小微企业延续缓缴等稳经济一揽子政策及接续措施。充分发挥税务、国库、财政三方协调机制，制定快速退税流程，确保退税渠道畅通，缩短退税到账时间。三是深化放管服改革优化营商环境。深入开展“便民办税春风行动”和“春雨润苗”活动，全面压缩办税时间、精简办税资料、优化办税流程，通过合理调整窗口，加强导税力量、完善自助区功能、实行资料预审、午间服务不断档等措施，不断提升涉税服务质效。实行税务行政许可事项清单管理，仅保留“增值税防伪税控系统最高开票限额审批”1项行政许可实施事项，取消对原有的“对纳税人延期申报的核准”等3个事项的行政许可审批，优化办理程序。 </w:t>
      </w:r>
    </w:p>
    <w:p>
      <w:pPr>
        <w:ind w:firstLine="602" w:firstLineChars="200"/>
        <w:rPr>
          <w:rFonts w:hint="eastAsia" w:ascii="仿宋" w:hAnsi="仿宋" w:eastAsia="仿宋" w:cs="仿宋"/>
          <w:color w:val="auto"/>
          <w:sz w:val="30"/>
          <w:szCs w:val="30"/>
          <w:lang w:val="en-US" w:eastAsia="zh-CN"/>
        </w:rPr>
      </w:pPr>
      <w:r>
        <w:rPr>
          <w:rFonts w:hint="eastAsia" w:ascii="楷体" w:hAnsi="楷体" w:eastAsia="楷体" w:cs="楷体"/>
          <w:b/>
          <w:bCs/>
          <w:color w:val="auto"/>
          <w:sz w:val="30"/>
          <w:szCs w:val="30"/>
          <w:lang w:val="en-US" w:eastAsia="zh-CN"/>
        </w:rPr>
        <w:t>（三）健全依法行政制度体系，不断提高税收制度建设质量。</w:t>
      </w:r>
      <w:r>
        <w:rPr>
          <w:rFonts w:hint="eastAsia" w:ascii="仿宋" w:hAnsi="仿宋" w:eastAsia="仿宋" w:cs="仿宋"/>
          <w:b w:val="0"/>
          <w:bCs w:val="0"/>
          <w:color w:val="auto"/>
          <w:kern w:val="0"/>
          <w:sz w:val="30"/>
          <w:szCs w:val="30"/>
          <w:shd w:val="clear" w:color="auto" w:fill="FFFFFF"/>
        </w:rPr>
        <w:t>加强规范性文件管理，认真落实《税</w:t>
      </w:r>
      <w:r>
        <w:rPr>
          <w:rFonts w:hint="eastAsia" w:ascii="仿宋" w:hAnsi="仿宋" w:eastAsia="仿宋" w:cs="仿宋"/>
          <w:color w:val="auto"/>
          <w:sz w:val="30"/>
          <w:szCs w:val="30"/>
        </w:rPr>
        <w:t>务</w:t>
      </w:r>
      <w:r>
        <w:rPr>
          <w:rFonts w:hint="eastAsia" w:ascii="仿宋" w:hAnsi="仿宋" w:eastAsia="仿宋" w:cs="仿宋"/>
          <w:b w:val="0"/>
          <w:bCs w:val="0"/>
          <w:color w:val="auto"/>
          <w:kern w:val="0"/>
          <w:sz w:val="30"/>
          <w:szCs w:val="30"/>
          <w:shd w:val="clear" w:color="auto" w:fill="FFFFFF"/>
        </w:rPr>
        <w:t>规范性文件制定管理办法》，适时根据立法变化及税收工作发展需要，按日常清理和定期清理相结合的</w:t>
      </w:r>
      <w:r>
        <w:rPr>
          <w:rFonts w:hint="eastAsia" w:ascii="仿宋" w:hAnsi="仿宋" w:eastAsia="仿宋" w:cs="仿宋"/>
          <w:b w:val="0"/>
          <w:bCs w:val="0"/>
          <w:color w:val="auto"/>
          <w:kern w:val="0"/>
          <w:sz w:val="30"/>
          <w:szCs w:val="30"/>
          <w:shd w:val="clear" w:color="auto" w:fill="FFFFFF"/>
          <w:lang w:eastAsia="zh-CN"/>
        </w:rPr>
        <w:t>方式</w:t>
      </w:r>
      <w:r>
        <w:rPr>
          <w:rFonts w:hint="eastAsia" w:ascii="仿宋" w:hAnsi="仿宋" w:eastAsia="仿宋" w:cs="仿宋"/>
          <w:b w:val="0"/>
          <w:bCs w:val="0"/>
          <w:color w:val="auto"/>
          <w:kern w:val="0"/>
          <w:sz w:val="30"/>
          <w:szCs w:val="30"/>
          <w:shd w:val="clear" w:color="auto" w:fill="FFFFFF"/>
        </w:rPr>
        <w:t>做好税务规范性文件清理</w:t>
      </w:r>
      <w:r>
        <w:rPr>
          <w:rFonts w:hint="eastAsia" w:ascii="仿宋" w:hAnsi="仿宋" w:eastAsia="仿宋" w:cs="仿宋"/>
          <w:b w:val="0"/>
          <w:bCs w:val="0"/>
          <w:color w:val="auto"/>
          <w:kern w:val="0"/>
          <w:sz w:val="30"/>
          <w:szCs w:val="30"/>
          <w:shd w:val="clear" w:color="auto" w:fill="FFFFFF"/>
          <w:lang w:eastAsia="zh-CN"/>
        </w:rPr>
        <w:t>工作</w:t>
      </w:r>
      <w:r>
        <w:rPr>
          <w:rFonts w:hint="eastAsia" w:ascii="仿宋" w:hAnsi="仿宋" w:eastAsia="仿宋" w:cs="仿宋"/>
          <w:b w:val="0"/>
          <w:bCs w:val="0"/>
          <w:color w:val="auto"/>
          <w:kern w:val="0"/>
          <w:sz w:val="30"/>
          <w:szCs w:val="30"/>
          <w:shd w:val="clear" w:color="auto" w:fill="FFFFFF"/>
        </w:rPr>
        <w:t>。202</w:t>
      </w:r>
      <w:r>
        <w:rPr>
          <w:rFonts w:hint="eastAsia" w:ascii="仿宋" w:hAnsi="仿宋" w:eastAsia="仿宋" w:cs="仿宋"/>
          <w:b w:val="0"/>
          <w:bCs w:val="0"/>
          <w:color w:val="auto"/>
          <w:kern w:val="0"/>
          <w:sz w:val="30"/>
          <w:szCs w:val="30"/>
          <w:shd w:val="clear" w:color="auto" w:fill="FFFFFF"/>
          <w:lang w:val="en-US" w:eastAsia="zh-CN"/>
        </w:rPr>
        <w:t>2</w:t>
      </w:r>
      <w:r>
        <w:rPr>
          <w:rFonts w:hint="eastAsia" w:ascii="仿宋" w:hAnsi="仿宋" w:eastAsia="仿宋" w:cs="仿宋"/>
          <w:b w:val="0"/>
          <w:bCs w:val="0"/>
          <w:color w:val="auto"/>
          <w:kern w:val="0"/>
          <w:sz w:val="30"/>
          <w:szCs w:val="30"/>
          <w:shd w:val="clear" w:color="auto" w:fill="FFFFFF"/>
        </w:rPr>
        <w:t>年</w:t>
      </w:r>
      <w:r>
        <w:rPr>
          <w:rFonts w:hint="eastAsia" w:ascii="仿宋" w:hAnsi="仿宋" w:eastAsia="仿宋" w:cs="仿宋"/>
          <w:b w:val="0"/>
          <w:bCs w:val="0"/>
          <w:color w:val="auto"/>
          <w:kern w:val="0"/>
          <w:sz w:val="30"/>
          <w:szCs w:val="30"/>
          <w:shd w:val="clear" w:color="auto" w:fill="FFFFFF"/>
          <w:lang w:eastAsia="zh-CN"/>
        </w:rPr>
        <w:t>，区局未发布规范性文件，</w:t>
      </w:r>
      <w:r>
        <w:rPr>
          <w:rFonts w:hint="eastAsia" w:ascii="仿宋" w:hAnsi="仿宋" w:eastAsia="仿宋" w:cs="仿宋"/>
          <w:color w:val="auto"/>
          <w:sz w:val="30"/>
          <w:szCs w:val="30"/>
          <w:lang w:val="en-US" w:eastAsia="zh-CN"/>
        </w:rPr>
        <w:t>组织开展了妨碍统一市场和公平竞争、市场准入、现行有效的税收规范性文件目录等内容的税务规范性文件专项清理，严格按要求和时限完成了清理任务。</w:t>
      </w:r>
    </w:p>
    <w:p>
      <w:pPr>
        <w:ind w:firstLine="602" w:firstLineChars="200"/>
        <w:rPr>
          <w:rFonts w:hint="eastAsia" w:ascii="仿宋" w:hAnsi="仿宋" w:eastAsia="仿宋" w:cs="仿宋"/>
          <w:color w:val="auto"/>
          <w:sz w:val="30"/>
          <w:szCs w:val="30"/>
          <w:lang w:val="en-US" w:eastAsia="zh-CN"/>
        </w:rPr>
      </w:pPr>
      <w:r>
        <w:rPr>
          <w:rFonts w:hint="eastAsia" w:ascii="楷体" w:hAnsi="楷体" w:eastAsia="楷体" w:cs="楷体"/>
          <w:b/>
          <w:bCs/>
          <w:color w:val="auto"/>
          <w:sz w:val="30"/>
          <w:szCs w:val="30"/>
          <w:lang w:val="en-US" w:eastAsia="zh-CN"/>
        </w:rPr>
        <w:t>（四）健全行政决策制度体系，持续推进依法科学民主决策。</w:t>
      </w:r>
      <w:r>
        <w:rPr>
          <w:rFonts w:hint="eastAsia" w:ascii="仿宋" w:hAnsi="仿宋" w:eastAsia="仿宋" w:cs="仿宋"/>
          <w:color w:val="auto"/>
          <w:sz w:val="30"/>
          <w:szCs w:val="30"/>
          <w:lang w:val="en-US" w:eastAsia="zh-CN"/>
        </w:rPr>
        <w:t>区局严格落实重大决策依法集体决策制度、重要人事任免或推荐依法集体决策、重大项目安排依法集体决策、大额资金使用依法集体决策制度，明确决策流程，完善行政决策程序，实行民主集中制，建立重大决策台账，做好会议记录纪要，实现决策于法有据、有章可循、有迹可查。坚持法律顾问制度，聘请常年法律顾问，充分发挥系统内法制机构人员、法律顾问在事前专业咨询论证、事中审查把关和事后监督救济方面的法律专业优势，对经济合同审查、人事合同签约、政务公开申请、涉税纠纷调解等方面严把关。2022年，法律顾问提供有关法律意见建议30余次，有效降低了决策风险。</w:t>
      </w:r>
    </w:p>
    <w:p>
      <w:pPr>
        <w:ind w:firstLine="602" w:firstLineChars="200"/>
        <w:rPr>
          <w:rFonts w:hint="default" w:ascii="仿宋" w:hAnsi="仿宋" w:eastAsia="仿宋" w:cs="仿宋"/>
          <w:color w:val="auto"/>
          <w:sz w:val="30"/>
          <w:szCs w:val="30"/>
          <w:lang w:val="en-US" w:eastAsia="zh-CN"/>
        </w:rPr>
      </w:pPr>
      <w:r>
        <w:rPr>
          <w:rFonts w:hint="eastAsia" w:ascii="楷体" w:hAnsi="楷体" w:eastAsia="楷体" w:cs="楷体"/>
          <w:b/>
          <w:bCs/>
          <w:color w:val="auto"/>
          <w:sz w:val="30"/>
          <w:szCs w:val="30"/>
          <w:lang w:val="en-US" w:eastAsia="zh-CN"/>
        </w:rPr>
        <w:t>（五）健全行政执法工作体系，坚持严格规范公正文明执法。</w:t>
      </w:r>
      <w:r>
        <w:rPr>
          <w:rFonts w:hint="eastAsia" w:ascii="仿宋" w:hAnsi="仿宋" w:eastAsia="仿宋" w:cs="仿宋"/>
          <w:color w:val="auto"/>
          <w:sz w:val="30"/>
          <w:szCs w:val="30"/>
          <w:lang w:val="en-US" w:eastAsia="zh-CN"/>
        </w:rPr>
        <w:t>一是严格规范税务行政处罚裁量权行使。落实“首违不罚”清单制度，综合研判纳税人违法行为，对于符合条件的税收违法行为适用首违不罚，并采取签订宣教承诺书等方式教育引导其自觉遵纪守法。2022年，出具不予处罚决定书292份。二是开展“说理式执法”试点推广工作。自10月17日起，在行政处罚（包含不予处罚）、税收保全、税收强制环节推广文书说理式执法。三是持续深化行政执法“三项制度”工作。深入学习并贯彻落实2022年税务总局新修订的“三项制度”相关配套文件，建立“三项制度”落实情况评价机制。2022年，区局公示执法信息24714条，税务执法音像平台上传记录111条，发生重大执法决定法制审核事项案件4起。四是扎实推进“税务行政处罚裁量智控”专项试点工作。探索裁量基准与金三系统对接，并提出优化裁量基准的合理化建议，为上级研究提供了有价值的参考。五是严格落实行政执法人员持证上岗和资格管理要求，做好税务人员执法资格考试工作。2022年，新进干部执法资格考试通过率100%。</w:t>
      </w:r>
    </w:p>
    <w:p>
      <w:pPr>
        <w:ind w:firstLine="602" w:firstLineChars="200"/>
        <w:rPr>
          <w:rFonts w:hint="eastAsia" w:ascii="仿宋" w:hAnsi="仿宋" w:eastAsia="仿宋" w:cs="仿宋"/>
          <w:color w:val="auto"/>
          <w:sz w:val="30"/>
          <w:szCs w:val="30"/>
          <w:lang w:val="en-US" w:eastAsia="zh-CN"/>
        </w:rPr>
      </w:pPr>
      <w:r>
        <w:rPr>
          <w:rFonts w:hint="eastAsia" w:ascii="楷体" w:hAnsi="楷体" w:eastAsia="楷体" w:cs="楷体"/>
          <w:b/>
          <w:bCs/>
          <w:color w:val="auto"/>
          <w:sz w:val="30"/>
          <w:szCs w:val="30"/>
          <w:lang w:val="en-US" w:eastAsia="zh-CN"/>
        </w:rPr>
        <w:t>（六）健全突发事件应对体系，依法预防处置重大突发事件。</w:t>
      </w:r>
      <w:r>
        <w:rPr>
          <w:rFonts w:hint="eastAsia" w:ascii="仿宋" w:hAnsi="仿宋" w:eastAsia="仿宋" w:cs="仿宋"/>
          <w:color w:val="auto"/>
          <w:kern w:val="2"/>
          <w:sz w:val="30"/>
          <w:szCs w:val="30"/>
          <w:lang w:val="en-US" w:eastAsia="zh-CN" w:bidi="ar-SA"/>
        </w:rPr>
        <w:t>为加强和规范对突发事件应急工作的管理，区局制定突发事件应急预案，成立突发事件应急管理工作领导小组，明确突发事件专项应急预案及责任部门，坚持以人为本、预防为主、统一领导、分级负责、加强管理、快速反应、协同应对的原则，坚持24小时干部值班和领导带班制度，带班领导及值班人员在值班期间不得离岗和脱岗，并保持通信畅通。建立重大事项报告联络员制度，确保重大事项即时上报、上级税务机关的要求和部署得到贯彻落实。同时，加强应急管理知识的宣传教育和应急演练，提高区局干部职工应对和处置突发事件的能力。</w:t>
      </w:r>
    </w:p>
    <w:p>
      <w:pPr>
        <w:ind w:firstLine="602" w:firstLineChars="200"/>
        <w:rPr>
          <w:rFonts w:hint="eastAsia" w:ascii="仿宋" w:hAnsi="仿宋" w:eastAsia="仿宋" w:cs="仿宋"/>
          <w:color w:val="auto"/>
          <w:sz w:val="30"/>
          <w:szCs w:val="30"/>
          <w:lang w:val="en-US" w:eastAsia="zh-CN"/>
        </w:rPr>
      </w:pPr>
      <w:r>
        <w:rPr>
          <w:rFonts w:hint="eastAsia" w:ascii="楷体" w:hAnsi="楷体" w:eastAsia="楷体" w:cs="楷体"/>
          <w:b/>
          <w:bCs/>
          <w:color w:val="auto"/>
          <w:sz w:val="30"/>
          <w:szCs w:val="30"/>
          <w:lang w:val="en-US" w:eastAsia="zh-CN"/>
        </w:rPr>
        <w:t>（七）健全社会矛盾纠纷行政预防调处化解体系，完善权利救济和纠纷化解机制。</w:t>
      </w:r>
      <w:r>
        <w:rPr>
          <w:rFonts w:hint="eastAsia" w:ascii="仿宋" w:hAnsi="仿宋" w:eastAsia="仿宋" w:cs="仿宋"/>
          <w:b w:val="0"/>
          <w:bCs w:val="0"/>
          <w:color w:val="auto"/>
          <w:sz w:val="30"/>
          <w:szCs w:val="30"/>
          <w:lang w:val="en-US" w:eastAsia="zh-CN"/>
        </w:rPr>
        <w:t>一是积极稳妥处理矛盾纠纷。通过各种形式持续开展分层分类的问需走访，充分听取市场主体诉求和意见建议，累计走访34573户。主要领导深入企业开展“解难题、稳增长、促发展”帮扶活动，协调处理企业诉求。通过市长热线、12366热线、“双评议”等多种表达渠道，充分保障纳税人投诉、信访、检举、反馈意见的权利，听取纳税人意见建议。2022年，受理投诉、举报案件646件,办结646件。</w:t>
      </w:r>
      <w:r>
        <w:rPr>
          <w:rFonts w:hint="eastAsia" w:ascii="仿宋" w:hAnsi="仿宋" w:eastAsia="仿宋" w:cs="仿宋"/>
          <w:color w:val="auto"/>
          <w:sz w:val="30"/>
          <w:szCs w:val="30"/>
          <w:lang w:val="en-US" w:eastAsia="zh-CN"/>
        </w:rPr>
        <w:t>二是加强行政复议、应诉工作。组织干部认真学习《中华人民共和国行政复议法》《中华人民共和国行政诉讼法》等相关法律，积极学习其他单位行政复议、应诉工作案例，汲取经验。2022年，区局未受理行政复议案件，未发生行政应诉案件。三是成立公职律师涉税争议咨询调解中心，规范开展税费争议咨询、组织调解、出具意见等活动，完善社会矛盾纠纷多元预防调处化解综合机制。</w:t>
      </w:r>
    </w:p>
    <w:p>
      <w:pPr>
        <w:ind w:firstLine="602" w:firstLineChars="200"/>
        <w:rPr>
          <w:rFonts w:hint="eastAsia" w:ascii="仿宋" w:hAnsi="仿宋" w:eastAsia="仿宋" w:cs="仿宋"/>
          <w:color w:val="auto"/>
          <w:sz w:val="30"/>
          <w:szCs w:val="30"/>
          <w:lang w:val="en-US" w:eastAsia="zh-CN"/>
        </w:rPr>
      </w:pPr>
      <w:r>
        <w:rPr>
          <w:rFonts w:hint="eastAsia" w:ascii="楷体" w:hAnsi="楷体" w:eastAsia="楷体" w:cs="楷体"/>
          <w:b/>
          <w:bCs/>
          <w:color w:val="auto"/>
          <w:sz w:val="30"/>
          <w:szCs w:val="30"/>
          <w:lang w:val="en-US" w:eastAsia="zh-CN"/>
        </w:rPr>
        <w:t>（八）健全行政权力制约和监督体系，全面推进政务公开。</w:t>
      </w:r>
      <w:r>
        <w:rPr>
          <w:rFonts w:hint="eastAsia" w:ascii="仿宋" w:hAnsi="仿宋" w:eastAsia="仿宋" w:cs="仿宋"/>
          <w:b w:val="0"/>
          <w:bCs w:val="0"/>
          <w:color w:val="auto"/>
          <w:sz w:val="30"/>
          <w:szCs w:val="30"/>
          <w:lang w:val="en-US" w:eastAsia="zh-CN"/>
        </w:rPr>
        <w:t>一是完善一体化综合监督体系。在一体化综合监督“1+6”体系下，构建重点风险事项一体化综合监督防控体系，促进党务与业务、党内监督与风险防控的深度融合。二是加强税务执法制约和监督。开展退税减税督察督办，强化增值税留抵退税疑点核查整改，推进专票电子化内部风险跟踪防控，督导落实现金税费征缴长效机制，加强内控平台管理，落实税收执法责任制。2022年，</w:t>
      </w:r>
      <w:r>
        <w:rPr>
          <w:rFonts w:hint="eastAsia" w:ascii="仿宋" w:hAnsi="仿宋" w:eastAsia="仿宋" w:cs="仿宋"/>
          <w:color w:val="auto"/>
          <w:kern w:val="0"/>
          <w:sz w:val="30"/>
          <w:szCs w:val="30"/>
          <w:shd w:val="clear" w:color="auto" w:fill="FFFFFF"/>
        </w:rPr>
        <w:t>执法过错责任追究</w:t>
      </w:r>
      <w:r>
        <w:rPr>
          <w:rFonts w:hint="eastAsia" w:ascii="仿宋" w:hAnsi="仿宋" w:eastAsia="仿宋" w:cs="仿宋"/>
          <w:b w:val="0"/>
          <w:bCs w:val="0"/>
          <w:color w:val="auto"/>
          <w:sz w:val="30"/>
          <w:szCs w:val="30"/>
          <w:lang w:val="en-US" w:eastAsia="zh-CN"/>
        </w:rPr>
        <w:t>共批评教育4人次，免予追究9人次，不予追究1人次。三是</w:t>
      </w:r>
      <w:r>
        <w:rPr>
          <w:rFonts w:hint="eastAsia" w:ascii="仿宋" w:hAnsi="仿宋" w:eastAsia="仿宋" w:cs="仿宋"/>
          <w:color w:val="auto"/>
          <w:sz w:val="30"/>
          <w:szCs w:val="30"/>
          <w:lang w:val="en-US" w:eastAsia="zh-CN"/>
        </w:rPr>
        <w:t>积极做好政务公开工作。依托武汉市税务局门户网站、江夏区人民政府网站、税务执法信息公示平台、办税服务厅等渠道，及时准确公开行政执法信息、机构与人事信息、监督渠道等内容，保障人民群众知情权、参与权、表达权和监督权。</w:t>
      </w:r>
    </w:p>
    <w:p>
      <w:pPr>
        <w:ind w:firstLine="602" w:firstLineChars="200"/>
        <w:rPr>
          <w:rFonts w:hint="eastAsia" w:ascii="仿宋" w:hAnsi="仿宋" w:eastAsia="仿宋" w:cs="仿宋"/>
          <w:color w:val="auto"/>
          <w:sz w:val="30"/>
          <w:szCs w:val="30"/>
          <w:lang w:val="en-US" w:eastAsia="zh-CN"/>
        </w:rPr>
      </w:pPr>
      <w:r>
        <w:rPr>
          <w:rFonts w:hint="eastAsia" w:ascii="楷体" w:hAnsi="楷体" w:eastAsia="楷体" w:cs="楷体"/>
          <w:b/>
          <w:bCs/>
          <w:color w:val="auto"/>
          <w:sz w:val="30"/>
          <w:szCs w:val="30"/>
          <w:lang w:val="en-US" w:eastAsia="zh-CN"/>
        </w:rPr>
        <w:t>（九）健全法治政府建设科技保障体系，推进智慧税务创新落实。</w:t>
      </w:r>
      <w:r>
        <w:rPr>
          <w:rFonts w:hint="eastAsia" w:ascii="仿宋" w:hAnsi="仿宋" w:eastAsia="仿宋" w:cs="仿宋"/>
          <w:color w:val="auto"/>
          <w:sz w:val="30"/>
          <w:szCs w:val="30"/>
          <w:lang w:val="en-US" w:eastAsia="zh-CN"/>
        </w:rPr>
        <w:t>加强对“非接触式”办税清单的推广力度，多渠道推送办税流程指引并及时更新提醒，从提升网办体验、精简办理流程、提速退税办理、文书电子送达、发票电子化改革等方面优化办理流程，以电子税务局、楚税通和码上办小程序为抓手，不断提升“非接触式”办税缴费服务质效。积极推广“优税通”税企直通平台，建立高效的税企联动机制，精准推送税收优惠政策，完善税务所基础事项管理。以逾期未申报违法事项为切入点，实现“首违不罚”和无争议简易行政处罚全程电子税务局“智能办”“一站办”。利用“区快链+不动产”税收治理平台，推动不动产交易跨部门并联办理。</w:t>
      </w:r>
    </w:p>
    <w:p>
      <w:pPr>
        <w:ind w:firstLine="602" w:firstLineChars="200"/>
        <w:rPr>
          <w:rFonts w:hint="eastAsia" w:ascii="仿宋" w:hAnsi="仿宋" w:eastAsia="仿宋" w:cs="仿宋"/>
          <w:b w:val="0"/>
          <w:bCs w:val="0"/>
          <w:color w:val="auto"/>
          <w:sz w:val="30"/>
          <w:szCs w:val="30"/>
          <w:lang w:eastAsia="zh-CN"/>
        </w:rPr>
      </w:pPr>
      <w:r>
        <w:rPr>
          <w:rFonts w:hint="eastAsia" w:ascii="楷体" w:hAnsi="楷体" w:eastAsia="楷体" w:cs="楷体"/>
          <w:b/>
          <w:bCs/>
          <w:color w:val="auto"/>
          <w:sz w:val="30"/>
          <w:szCs w:val="30"/>
          <w:lang w:val="en-US" w:eastAsia="zh-CN"/>
        </w:rPr>
        <w:t>（十）加强党的领导，健全依法行政领导体制机制。</w:t>
      </w:r>
      <w:r>
        <w:rPr>
          <w:rFonts w:hint="eastAsia" w:ascii="仿宋" w:hAnsi="仿宋" w:eastAsia="仿宋" w:cs="仿宋"/>
          <w:color w:val="auto"/>
          <w:sz w:val="30"/>
          <w:szCs w:val="30"/>
          <w:lang w:val="en-US" w:eastAsia="zh-CN"/>
        </w:rPr>
        <w:t>主要领导高度重视法治建设，认真履行法治建设第一责任人职责，将法治建设纳入绩效考核，与年度工作计划同部署、同推进、同督促。充分发挥党委领导下的全面依法行政领导小组在推进依法行政中的总体部署、统筹协调、组织推动和督促落实作用，每季度召开一次全面依法行政工作小组会议，落实会前学法制度，专题听取落实新修订的“三项制度”文件、开展说理式执法、简易处罚网上办、“精确执法”试点等工作汇报，研究部署依法行政工作。</w:t>
      </w:r>
    </w:p>
    <w:p>
      <w:pPr>
        <w:pStyle w:val="2"/>
        <w:ind w:firstLine="640" w:firstLineChars="200"/>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二、存在的不足</w:t>
      </w:r>
    </w:p>
    <w:p>
      <w:pPr>
        <w:pStyle w:val="2"/>
        <w:ind w:firstLine="600" w:firstLineChars="200"/>
        <w:rPr>
          <w:rFonts w:hint="eastAsia" w:ascii="仿宋" w:hAnsi="仿宋" w:eastAsia="仿宋" w:cs="仿宋"/>
          <w:color w:val="auto"/>
          <w:kern w:val="0"/>
          <w:sz w:val="30"/>
          <w:szCs w:val="30"/>
          <w:shd w:val="clear" w:color="auto" w:fill="FFFFFF"/>
          <w:lang w:val="en-US" w:eastAsia="zh-CN" w:bidi="ar-SA"/>
        </w:rPr>
      </w:pPr>
      <w:r>
        <w:rPr>
          <w:rFonts w:hint="eastAsia" w:ascii="仿宋" w:hAnsi="仿宋" w:eastAsia="仿宋" w:cs="仿宋"/>
          <w:color w:val="auto"/>
          <w:kern w:val="0"/>
          <w:sz w:val="30"/>
          <w:szCs w:val="30"/>
          <w:shd w:val="clear" w:color="auto" w:fill="FFFFFF"/>
          <w:lang w:val="en-US" w:eastAsia="zh-CN" w:bidi="ar-SA"/>
        </w:rPr>
        <w:t>一年来，江夏区税务局在推进法治政府建设各项任务方面取得了一定成效，但与法治政府建设的目标相比，还存在一定差距。一是部分税务干部法治观念还有待提升。工作中更多注重政策文件和业务知识的学习，对法治理论的学习针对性不强，</w:t>
      </w:r>
      <w:r>
        <w:rPr>
          <w:rFonts w:hint="eastAsia" w:ascii="仿宋" w:hAnsi="仿宋" w:eastAsia="仿宋" w:cs="仿宋"/>
          <w:color w:val="auto"/>
          <w:kern w:val="0"/>
          <w:sz w:val="30"/>
          <w:szCs w:val="30"/>
          <w:shd w:val="clear" w:color="auto" w:fill="FFFFFF"/>
          <w:lang w:eastAsia="zh-CN"/>
        </w:rPr>
        <w:t>用法治思维和法律手段解决实际问题的能力有待进一步提升</w:t>
      </w:r>
      <w:r>
        <w:rPr>
          <w:rFonts w:hint="eastAsia" w:ascii="仿宋" w:hAnsi="仿宋" w:eastAsia="仿宋" w:cs="仿宋"/>
          <w:color w:val="auto"/>
          <w:kern w:val="0"/>
          <w:sz w:val="30"/>
          <w:szCs w:val="30"/>
          <w:shd w:val="clear" w:color="auto" w:fill="FFFFFF"/>
          <w:lang w:val="en-US" w:eastAsia="zh-CN" w:bidi="ar-SA"/>
        </w:rPr>
        <w:t>。二是执法行为不够规范。从内控监督平台、执法督察工作反映的情况来看，疑点数据的出现反应出我局的执法过程仍存在不同程度问题，如文书制作不规范、系统操作不熟练、执法程序存在瑕疵等。三是法治宣传活动缺乏制度化、常态化，普法宣传活动的形式和成效有待进一步改进提升。</w:t>
      </w:r>
    </w:p>
    <w:p>
      <w:pPr>
        <w:pStyle w:val="2"/>
        <w:ind w:firstLine="640" w:firstLineChars="200"/>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三、2023年工作思路</w:t>
      </w:r>
    </w:p>
    <w:p>
      <w:pPr>
        <w:numPr>
          <w:ilvl w:val="0"/>
          <w:numId w:val="0"/>
        </w:numPr>
        <w:ind w:firstLine="600" w:firstLineChars="200"/>
        <w:rPr>
          <w:rFonts w:hint="eastAsia" w:ascii="仿宋" w:hAnsi="仿宋" w:eastAsia="仿宋" w:cs="仿宋"/>
          <w:color w:val="auto"/>
          <w:kern w:val="0"/>
          <w:sz w:val="30"/>
          <w:szCs w:val="30"/>
          <w:shd w:val="clear" w:color="auto" w:fill="FFFFFF"/>
          <w:lang w:val="en-US" w:eastAsia="zh-CN" w:bidi="ar-SA"/>
        </w:rPr>
      </w:pPr>
      <w:r>
        <w:rPr>
          <w:rFonts w:hint="eastAsia" w:ascii="仿宋" w:hAnsi="仿宋" w:eastAsia="仿宋" w:cs="仿宋"/>
          <w:color w:val="auto"/>
          <w:kern w:val="0"/>
          <w:sz w:val="30"/>
          <w:szCs w:val="30"/>
          <w:shd w:val="clear" w:color="auto" w:fill="FFFFFF"/>
          <w:lang w:val="en-US" w:eastAsia="zh-CN" w:bidi="ar-SA"/>
        </w:rPr>
        <w:t>2023年，江夏区税务局将坚持把习近平法治思想作为税收法治建设的根本遵循，加强党对税收法治工作的全面领导，围绕精确执法、精细服务、精准监管和精诚共治纵深推进法治工作，在更高层次、更高水平上推进税收治理体系和治理能力现代化。</w:t>
      </w:r>
    </w:p>
    <w:p>
      <w:pPr>
        <w:numPr>
          <w:ilvl w:val="0"/>
          <w:numId w:val="0"/>
        </w:numPr>
        <w:ind w:firstLine="602" w:firstLineChars="200"/>
        <w:rPr>
          <w:rFonts w:hint="eastAsia" w:ascii="仿宋" w:hAnsi="仿宋" w:eastAsia="仿宋" w:cs="仿宋"/>
          <w:color w:val="auto"/>
          <w:sz w:val="30"/>
          <w:szCs w:val="30"/>
          <w:lang w:val="en-US" w:eastAsia="zh-CN"/>
        </w:rPr>
      </w:pPr>
      <w:r>
        <w:rPr>
          <w:rFonts w:hint="eastAsia" w:ascii="楷体" w:hAnsi="楷体" w:eastAsia="楷体" w:cs="楷体"/>
          <w:b/>
          <w:bCs/>
          <w:color w:val="auto"/>
          <w:kern w:val="0"/>
          <w:sz w:val="30"/>
          <w:szCs w:val="30"/>
          <w:shd w:val="clear" w:color="auto" w:fill="FFFFFF"/>
          <w:lang w:val="en-US" w:eastAsia="zh-CN" w:bidi="ar-SA"/>
        </w:rPr>
        <w:t>（一）坚决捍卫“两个确立”，持续加强政治机关建设。</w:t>
      </w:r>
      <w:r>
        <w:rPr>
          <w:rFonts w:hint="eastAsia" w:ascii="仿宋" w:hAnsi="仿宋" w:eastAsia="仿宋" w:cs="仿宋"/>
          <w:color w:val="auto"/>
          <w:kern w:val="0"/>
          <w:sz w:val="30"/>
          <w:szCs w:val="30"/>
          <w:shd w:val="clear" w:color="auto" w:fill="FFFFFF"/>
          <w:lang w:val="en-US" w:eastAsia="zh-CN" w:bidi="ar-SA"/>
        </w:rPr>
        <w:t>坚持把讲政治贯穿于法治政府建设之中，</w:t>
      </w:r>
      <w:r>
        <w:rPr>
          <w:rFonts w:hint="eastAsia" w:ascii="仿宋" w:hAnsi="仿宋" w:eastAsia="仿宋" w:cs="仿宋"/>
          <w:color w:val="auto"/>
          <w:sz w:val="30"/>
          <w:szCs w:val="30"/>
        </w:rPr>
        <w:t>全面学习贯彻落实党的二十大精神</w:t>
      </w:r>
      <w:r>
        <w:rPr>
          <w:rFonts w:hint="eastAsia" w:ascii="仿宋" w:hAnsi="仿宋" w:eastAsia="仿宋" w:cs="仿宋"/>
          <w:color w:val="auto"/>
          <w:kern w:val="0"/>
          <w:sz w:val="30"/>
          <w:szCs w:val="30"/>
          <w:shd w:val="clear" w:color="auto" w:fill="FFFFFF"/>
          <w:lang w:val="en-US" w:eastAsia="zh-CN" w:bidi="ar-SA"/>
        </w:rPr>
        <w:t>，增强“四个意识”，坚定“四个自信”，做到“两个维护”，深入学习领会“两个确立”的决定性意义，在思想上政治上行动上同以习近平同志为核心的党中央保持高度一致，持续深入学习贯彻习近平法治思想，坚持以人民利益为中心，以解决行政执法工作中突出问题为着力点，持续发挥好法治固根本、稳预期、利长远的保障作用。</w:t>
      </w:r>
    </w:p>
    <w:p>
      <w:pPr>
        <w:numPr>
          <w:ilvl w:val="0"/>
          <w:numId w:val="0"/>
        </w:numPr>
        <w:ind w:firstLine="602" w:firstLineChars="200"/>
        <w:rPr>
          <w:rFonts w:hint="eastAsia" w:ascii="仿宋" w:hAnsi="仿宋" w:eastAsia="仿宋" w:cs="仿宋"/>
          <w:color w:val="auto"/>
          <w:sz w:val="30"/>
          <w:szCs w:val="30"/>
          <w:lang w:val="en-US" w:eastAsia="zh-CN"/>
        </w:rPr>
      </w:pPr>
      <w:r>
        <w:rPr>
          <w:rFonts w:hint="eastAsia" w:ascii="楷体" w:hAnsi="楷体" w:eastAsia="楷体" w:cs="楷体"/>
          <w:b/>
          <w:bCs/>
          <w:color w:val="auto"/>
          <w:kern w:val="0"/>
          <w:sz w:val="30"/>
          <w:szCs w:val="30"/>
          <w:shd w:val="clear" w:color="auto" w:fill="FFFFFF"/>
          <w:lang w:val="en-US" w:eastAsia="zh-CN" w:bidi="ar-SA"/>
        </w:rPr>
        <w:t>（二）始终坚持服务大局，持续优化税收营商环境</w:t>
      </w:r>
      <w:r>
        <w:rPr>
          <w:rFonts w:hint="eastAsia" w:ascii="楷体" w:hAnsi="楷体" w:eastAsia="楷体" w:cs="楷体"/>
          <w:b/>
          <w:bCs/>
          <w:color w:val="auto"/>
          <w:sz w:val="30"/>
          <w:szCs w:val="30"/>
          <w:lang w:val="en-US" w:eastAsia="zh-CN"/>
        </w:rPr>
        <w:t>。</w:t>
      </w:r>
      <w:r>
        <w:rPr>
          <w:rFonts w:hint="eastAsia" w:ascii="仿宋" w:hAnsi="仿宋" w:eastAsia="仿宋" w:cs="仿宋"/>
          <w:color w:val="auto"/>
          <w:sz w:val="30"/>
          <w:szCs w:val="30"/>
          <w:lang w:val="en-US" w:eastAsia="zh-CN"/>
        </w:rPr>
        <w:t>继续依法依规落实好各项税收优惠和减税降费政策，加快释放改革红利。全面深化“放管服”改革，以满足纳税人缴费人需求为出发点，聚焦解决纳税人急难愁盼问题，以“便民办税春风行动”为契机，持续推进“无接触式”办税模式，进一步推广电子税务局并加大增值税全电发票推行力度，落实第二批税务证明事项告知承诺制，助力市场主体减负纾困，继续为群众办实事办好事。</w:t>
      </w:r>
    </w:p>
    <w:p>
      <w:pPr>
        <w:pStyle w:val="5"/>
        <w:ind w:left="0" w:leftChars="0" w:firstLine="602" w:firstLineChars="200"/>
        <w:rPr>
          <w:rFonts w:hint="eastAsia" w:ascii="仿宋" w:hAnsi="仿宋" w:eastAsia="仿宋" w:cs="仿宋"/>
          <w:b w:val="0"/>
          <w:bCs w:val="0"/>
          <w:color w:val="auto"/>
          <w:sz w:val="30"/>
          <w:szCs w:val="30"/>
          <w:lang w:val="en-US" w:eastAsia="zh-CN"/>
        </w:rPr>
      </w:pPr>
      <w:r>
        <w:rPr>
          <w:rFonts w:hint="eastAsia" w:ascii="楷体" w:hAnsi="楷体" w:eastAsia="楷体" w:cs="楷体"/>
          <w:b/>
          <w:bCs/>
          <w:color w:val="auto"/>
          <w:kern w:val="0"/>
          <w:sz w:val="30"/>
          <w:szCs w:val="30"/>
          <w:shd w:val="clear" w:color="auto" w:fill="FFFFFF"/>
          <w:lang w:val="en-US" w:eastAsia="zh-CN" w:bidi="ar-SA"/>
        </w:rPr>
        <w:t>（三）全面推进依法治税，持续规范税收执法方式</w:t>
      </w:r>
      <w:r>
        <w:rPr>
          <w:rFonts w:hint="eastAsia" w:ascii="楷体" w:hAnsi="楷体" w:eastAsia="楷体" w:cs="楷体"/>
          <w:b/>
          <w:bCs/>
          <w:color w:val="auto"/>
          <w:sz w:val="30"/>
          <w:szCs w:val="30"/>
          <w:lang w:val="en-US" w:eastAsia="zh-CN"/>
        </w:rPr>
        <w:t>。</w:t>
      </w:r>
      <w:r>
        <w:rPr>
          <w:rFonts w:hint="eastAsia" w:ascii="仿宋" w:hAnsi="仿宋" w:eastAsia="仿宋" w:cs="仿宋"/>
          <w:b w:val="0"/>
          <w:bCs w:val="0"/>
          <w:color w:val="auto"/>
          <w:sz w:val="30"/>
          <w:szCs w:val="30"/>
          <w:lang w:val="en-US" w:eastAsia="zh-CN"/>
        </w:rPr>
        <w:t>深化推进“三项制度”工作，细化公示内容，及时准确公示执法信息，通过音像记录工作推进执法行为自我优化完善，积极开展重大执法决定法制审核工作。落实“首违不罚”清单，深入开展说理式执法工作，加强柔性执法方式的探索和应用。充分发挥内控监督平台作用，进一步规范工作流程、岗责体系，强化对税务权力运行的制约和监督，将风险防控融入税收工作全领域全流程，形成全员参与、协调联动的内控工作格局。</w:t>
      </w:r>
    </w:p>
    <w:p>
      <w:pPr>
        <w:ind w:firstLine="4200" w:firstLineChars="1400"/>
        <w:rPr>
          <w:rFonts w:hint="eastAsia" w:ascii="仿宋" w:hAnsi="仿宋" w:eastAsia="仿宋" w:cs="仿宋"/>
          <w:color w:val="auto"/>
          <w:sz w:val="30"/>
          <w:szCs w:val="30"/>
        </w:rPr>
      </w:pPr>
    </w:p>
    <w:p>
      <w:pPr>
        <w:ind w:firstLine="3600" w:firstLineChars="1200"/>
        <w:rPr>
          <w:rFonts w:hint="eastAsia" w:ascii="仿宋" w:hAnsi="仿宋" w:eastAsia="仿宋" w:cs="仿宋"/>
          <w:color w:val="auto"/>
          <w:sz w:val="30"/>
          <w:szCs w:val="30"/>
        </w:rPr>
      </w:pPr>
      <w:r>
        <w:rPr>
          <w:rFonts w:hint="eastAsia" w:ascii="仿宋" w:hAnsi="仿宋" w:eastAsia="仿宋" w:cs="仿宋"/>
          <w:color w:val="auto"/>
          <w:sz w:val="30"/>
          <w:szCs w:val="30"/>
        </w:rPr>
        <w:t>国家税务总局</w:t>
      </w:r>
      <w:r>
        <w:rPr>
          <w:rFonts w:hint="eastAsia" w:ascii="仿宋" w:hAnsi="仿宋" w:eastAsia="仿宋" w:cs="仿宋"/>
          <w:color w:val="auto"/>
          <w:sz w:val="30"/>
          <w:szCs w:val="30"/>
          <w:lang w:eastAsia="zh-CN"/>
        </w:rPr>
        <w:t>武汉市江夏区税务局</w:t>
      </w:r>
      <w:r>
        <w:rPr>
          <w:rFonts w:hint="eastAsia" w:ascii="仿宋" w:hAnsi="仿宋" w:eastAsia="仿宋" w:cs="仿宋"/>
          <w:color w:val="auto"/>
          <w:sz w:val="30"/>
          <w:szCs w:val="30"/>
        </w:rPr>
        <w:t xml:space="preserve"> </w:t>
      </w:r>
    </w:p>
    <w:p>
      <w:pPr>
        <w:ind w:firstLine="4500" w:firstLineChars="1500"/>
        <w:rPr>
          <w:rFonts w:hint="eastAsia" w:ascii="仿宋" w:hAnsi="仿宋" w:eastAsia="仿宋" w:cs="仿宋"/>
          <w:color w:val="auto"/>
          <w:sz w:val="30"/>
          <w:szCs w:val="30"/>
        </w:rPr>
      </w:pPr>
      <w:r>
        <w:rPr>
          <w:rFonts w:hint="eastAsia" w:ascii="仿宋" w:hAnsi="仿宋" w:eastAsia="仿宋" w:cs="仿宋"/>
          <w:color w:val="auto"/>
          <w:sz w:val="30"/>
          <w:szCs w:val="30"/>
        </w:rPr>
        <w:t>202</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华文楷体">
    <w:altName w:val="楷体_GB2312"/>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6C7D31"/>
    <w:rsid w:val="0084452F"/>
    <w:rsid w:val="00A01AA9"/>
    <w:rsid w:val="00CB7F96"/>
    <w:rsid w:val="00E02BAF"/>
    <w:rsid w:val="00EA14D3"/>
    <w:rsid w:val="00EE18D5"/>
    <w:rsid w:val="01EC091C"/>
    <w:rsid w:val="02626A60"/>
    <w:rsid w:val="02C034F8"/>
    <w:rsid w:val="03380103"/>
    <w:rsid w:val="035A442A"/>
    <w:rsid w:val="0385230C"/>
    <w:rsid w:val="03922F7E"/>
    <w:rsid w:val="03BB325E"/>
    <w:rsid w:val="06097E61"/>
    <w:rsid w:val="062C2D79"/>
    <w:rsid w:val="07010093"/>
    <w:rsid w:val="07052E3A"/>
    <w:rsid w:val="07271562"/>
    <w:rsid w:val="080942A9"/>
    <w:rsid w:val="08334DC3"/>
    <w:rsid w:val="08F1404D"/>
    <w:rsid w:val="0A5325FD"/>
    <w:rsid w:val="0AC06590"/>
    <w:rsid w:val="0C4D37DE"/>
    <w:rsid w:val="0C8A3B7B"/>
    <w:rsid w:val="0C9507BB"/>
    <w:rsid w:val="0CE115CD"/>
    <w:rsid w:val="0D5C6C2D"/>
    <w:rsid w:val="0ED7006B"/>
    <w:rsid w:val="0F03776E"/>
    <w:rsid w:val="0F660270"/>
    <w:rsid w:val="0FA51E69"/>
    <w:rsid w:val="0FD55EC0"/>
    <w:rsid w:val="100E6DD9"/>
    <w:rsid w:val="10C64F18"/>
    <w:rsid w:val="11424FC8"/>
    <w:rsid w:val="120E7BA5"/>
    <w:rsid w:val="121C65B6"/>
    <w:rsid w:val="13061994"/>
    <w:rsid w:val="136A26D9"/>
    <w:rsid w:val="13864099"/>
    <w:rsid w:val="13DB52BC"/>
    <w:rsid w:val="13E451A9"/>
    <w:rsid w:val="142F1512"/>
    <w:rsid w:val="149976C7"/>
    <w:rsid w:val="15AF2B1E"/>
    <w:rsid w:val="15B43576"/>
    <w:rsid w:val="15ED1B6D"/>
    <w:rsid w:val="162C06F0"/>
    <w:rsid w:val="167F1C98"/>
    <w:rsid w:val="17441D3C"/>
    <w:rsid w:val="17DF5C79"/>
    <w:rsid w:val="18382264"/>
    <w:rsid w:val="18F628C4"/>
    <w:rsid w:val="192B79FF"/>
    <w:rsid w:val="1990746D"/>
    <w:rsid w:val="1A534865"/>
    <w:rsid w:val="1AC13589"/>
    <w:rsid w:val="1AED0EBA"/>
    <w:rsid w:val="1AF43522"/>
    <w:rsid w:val="1B657034"/>
    <w:rsid w:val="1C066CEF"/>
    <w:rsid w:val="1C540404"/>
    <w:rsid w:val="1C8D76F3"/>
    <w:rsid w:val="1D1E12E2"/>
    <w:rsid w:val="1DE07C5D"/>
    <w:rsid w:val="1E685780"/>
    <w:rsid w:val="1F0D6549"/>
    <w:rsid w:val="1F8D7F0F"/>
    <w:rsid w:val="209B7EED"/>
    <w:rsid w:val="20F06BF4"/>
    <w:rsid w:val="21A82AA7"/>
    <w:rsid w:val="21F113A5"/>
    <w:rsid w:val="22084C8B"/>
    <w:rsid w:val="22C04BA2"/>
    <w:rsid w:val="22C31CDB"/>
    <w:rsid w:val="230F60E5"/>
    <w:rsid w:val="23C43947"/>
    <w:rsid w:val="241827A5"/>
    <w:rsid w:val="24215E15"/>
    <w:rsid w:val="24273E9C"/>
    <w:rsid w:val="24391F23"/>
    <w:rsid w:val="25B26816"/>
    <w:rsid w:val="25C11F7B"/>
    <w:rsid w:val="267C3693"/>
    <w:rsid w:val="27604B9D"/>
    <w:rsid w:val="277669B5"/>
    <w:rsid w:val="278E53CC"/>
    <w:rsid w:val="281D7BBF"/>
    <w:rsid w:val="291C7976"/>
    <w:rsid w:val="29C147CC"/>
    <w:rsid w:val="29D17BE4"/>
    <w:rsid w:val="2A2531C3"/>
    <w:rsid w:val="2A4B6B62"/>
    <w:rsid w:val="2B6D085A"/>
    <w:rsid w:val="2C1371E9"/>
    <w:rsid w:val="2D3E3676"/>
    <w:rsid w:val="2D6F1554"/>
    <w:rsid w:val="2E1A62CC"/>
    <w:rsid w:val="2E2245C8"/>
    <w:rsid w:val="2F246D5A"/>
    <w:rsid w:val="2FEB4264"/>
    <w:rsid w:val="305D68FD"/>
    <w:rsid w:val="305E7861"/>
    <w:rsid w:val="30882876"/>
    <w:rsid w:val="313D02FF"/>
    <w:rsid w:val="3161450D"/>
    <w:rsid w:val="316319C7"/>
    <w:rsid w:val="31B458E4"/>
    <w:rsid w:val="32733E3B"/>
    <w:rsid w:val="32F32D05"/>
    <w:rsid w:val="338251C8"/>
    <w:rsid w:val="339C774A"/>
    <w:rsid w:val="341E40C8"/>
    <w:rsid w:val="355906D4"/>
    <w:rsid w:val="36122F3B"/>
    <w:rsid w:val="36543E68"/>
    <w:rsid w:val="36945356"/>
    <w:rsid w:val="36AC7BD5"/>
    <w:rsid w:val="36F16F43"/>
    <w:rsid w:val="38460400"/>
    <w:rsid w:val="384E0F6A"/>
    <w:rsid w:val="39027100"/>
    <w:rsid w:val="395B5142"/>
    <w:rsid w:val="39C75609"/>
    <w:rsid w:val="3A736E7F"/>
    <w:rsid w:val="3AA805F0"/>
    <w:rsid w:val="3C457CF9"/>
    <w:rsid w:val="3C563666"/>
    <w:rsid w:val="3CA23F18"/>
    <w:rsid w:val="3CC67D9D"/>
    <w:rsid w:val="3D794822"/>
    <w:rsid w:val="3DC66DC5"/>
    <w:rsid w:val="3DF96F7F"/>
    <w:rsid w:val="3E1B02DD"/>
    <w:rsid w:val="3E7164EF"/>
    <w:rsid w:val="3E8469A0"/>
    <w:rsid w:val="3EA735EF"/>
    <w:rsid w:val="3F474BB7"/>
    <w:rsid w:val="3F503103"/>
    <w:rsid w:val="3FD643CA"/>
    <w:rsid w:val="41226ECC"/>
    <w:rsid w:val="41A1064B"/>
    <w:rsid w:val="41A5212B"/>
    <w:rsid w:val="44471952"/>
    <w:rsid w:val="44DA1D71"/>
    <w:rsid w:val="44E813C6"/>
    <w:rsid w:val="45206FD5"/>
    <w:rsid w:val="452D26E8"/>
    <w:rsid w:val="457F37B3"/>
    <w:rsid w:val="45B346B1"/>
    <w:rsid w:val="46094DAC"/>
    <w:rsid w:val="46E37D28"/>
    <w:rsid w:val="473749D4"/>
    <w:rsid w:val="474F3139"/>
    <w:rsid w:val="475C66B1"/>
    <w:rsid w:val="495C17A8"/>
    <w:rsid w:val="496D42E5"/>
    <w:rsid w:val="4A5D4201"/>
    <w:rsid w:val="4A997475"/>
    <w:rsid w:val="4AD62EB9"/>
    <w:rsid w:val="4B615502"/>
    <w:rsid w:val="4BC07C80"/>
    <w:rsid w:val="4BFD79B6"/>
    <w:rsid w:val="4C175C51"/>
    <w:rsid w:val="4D2570E0"/>
    <w:rsid w:val="4D8D246E"/>
    <w:rsid w:val="4DC27465"/>
    <w:rsid w:val="4EB93E83"/>
    <w:rsid w:val="5029546C"/>
    <w:rsid w:val="50C86ACD"/>
    <w:rsid w:val="510556E3"/>
    <w:rsid w:val="51113255"/>
    <w:rsid w:val="519840C2"/>
    <w:rsid w:val="526D6AA3"/>
    <w:rsid w:val="52AC6391"/>
    <w:rsid w:val="538234E5"/>
    <w:rsid w:val="53F7751E"/>
    <w:rsid w:val="5428660D"/>
    <w:rsid w:val="54F1413C"/>
    <w:rsid w:val="55986C77"/>
    <w:rsid w:val="55C325F7"/>
    <w:rsid w:val="567C5EDF"/>
    <w:rsid w:val="569169D5"/>
    <w:rsid w:val="569D689D"/>
    <w:rsid w:val="579D492F"/>
    <w:rsid w:val="57DC28A7"/>
    <w:rsid w:val="582F252E"/>
    <w:rsid w:val="585E7449"/>
    <w:rsid w:val="588269B5"/>
    <w:rsid w:val="59AE295F"/>
    <w:rsid w:val="5AC31712"/>
    <w:rsid w:val="5B0869AC"/>
    <w:rsid w:val="5B6D2D97"/>
    <w:rsid w:val="5BE207DF"/>
    <w:rsid w:val="5C125D93"/>
    <w:rsid w:val="5CB94EC4"/>
    <w:rsid w:val="5D44708A"/>
    <w:rsid w:val="5D907EB2"/>
    <w:rsid w:val="5E5D1DC4"/>
    <w:rsid w:val="5E8436A5"/>
    <w:rsid w:val="60091C4B"/>
    <w:rsid w:val="611E3DE5"/>
    <w:rsid w:val="616B75DD"/>
    <w:rsid w:val="61B64990"/>
    <w:rsid w:val="61FC047C"/>
    <w:rsid w:val="622C37D2"/>
    <w:rsid w:val="627F25CB"/>
    <w:rsid w:val="6311712F"/>
    <w:rsid w:val="637B3CB0"/>
    <w:rsid w:val="63AE5B2D"/>
    <w:rsid w:val="63CC2D7C"/>
    <w:rsid w:val="643E7915"/>
    <w:rsid w:val="6494658A"/>
    <w:rsid w:val="661B0D76"/>
    <w:rsid w:val="661D2CCF"/>
    <w:rsid w:val="676F3256"/>
    <w:rsid w:val="6777284B"/>
    <w:rsid w:val="67D505CD"/>
    <w:rsid w:val="68594839"/>
    <w:rsid w:val="68C66BEE"/>
    <w:rsid w:val="69014E19"/>
    <w:rsid w:val="69120FDE"/>
    <w:rsid w:val="6A9E4508"/>
    <w:rsid w:val="6B717F6C"/>
    <w:rsid w:val="6BD45E4C"/>
    <w:rsid w:val="6C012C1D"/>
    <w:rsid w:val="6C1F28C1"/>
    <w:rsid w:val="6CED3FCC"/>
    <w:rsid w:val="6D747DF9"/>
    <w:rsid w:val="6E2D784E"/>
    <w:rsid w:val="6E780D88"/>
    <w:rsid w:val="6F244944"/>
    <w:rsid w:val="6F7C2605"/>
    <w:rsid w:val="6F80043F"/>
    <w:rsid w:val="6FBA1094"/>
    <w:rsid w:val="6FDD6913"/>
    <w:rsid w:val="710D7149"/>
    <w:rsid w:val="71853831"/>
    <w:rsid w:val="71A059AD"/>
    <w:rsid w:val="71E0536A"/>
    <w:rsid w:val="71F715D3"/>
    <w:rsid w:val="72210E10"/>
    <w:rsid w:val="72303FC0"/>
    <w:rsid w:val="73470B4E"/>
    <w:rsid w:val="734B52DF"/>
    <w:rsid w:val="73FA5655"/>
    <w:rsid w:val="744A3745"/>
    <w:rsid w:val="74C72E05"/>
    <w:rsid w:val="765E2F45"/>
    <w:rsid w:val="77952DEF"/>
    <w:rsid w:val="77D6333B"/>
    <w:rsid w:val="78D71CFF"/>
    <w:rsid w:val="79924B0A"/>
    <w:rsid w:val="799B6C12"/>
    <w:rsid w:val="79BD0BA0"/>
    <w:rsid w:val="7A1C1315"/>
    <w:rsid w:val="7A3312C4"/>
    <w:rsid w:val="7ABE10F0"/>
    <w:rsid w:val="7AD32F9B"/>
    <w:rsid w:val="7B7F5CE5"/>
    <w:rsid w:val="7C552602"/>
    <w:rsid w:val="7D3713FD"/>
    <w:rsid w:val="7DFB3D72"/>
    <w:rsid w:val="7E22513B"/>
    <w:rsid w:val="7EA2376E"/>
    <w:rsid w:val="7EA41CE7"/>
    <w:rsid w:val="7F863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jc w:val="left"/>
      <w:outlineLvl w:val="0"/>
    </w:pPr>
    <w:rPr>
      <w:rFonts w:ascii="微软雅黑" w:hAnsi="微软雅黑" w:eastAsia="微软雅黑"/>
      <w:b/>
      <w:kern w:val="44"/>
      <w:sz w:val="48"/>
      <w:szCs w:val="48"/>
    </w:rPr>
  </w:style>
  <w:style w:type="paragraph" w:styleId="4">
    <w:name w:val="heading 2"/>
    <w:basedOn w:val="1"/>
    <w:next w:val="1"/>
    <w:semiHidden/>
    <w:unhideWhenUsed/>
    <w:qFormat/>
    <w:uiPriority w:val="0"/>
    <w:pPr>
      <w:jc w:val="left"/>
      <w:textAlignment w:val="baseline"/>
      <w:outlineLvl w:val="1"/>
    </w:pPr>
    <w:rPr>
      <w:rFonts w:hint="eastAsia" w:ascii="宋体" w:hAnsi="宋体"/>
      <w:b/>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spacing w:line="240" w:lineRule="auto"/>
      <w:ind w:firstLine="420"/>
    </w:pPr>
    <w:rPr>
      <w:rFonts w:ascii="Times New Roman" w:eastAsia="宋体"/>
      <w:sz w:val="21"/>
      <w:szCs w:val="21"/>
    </w:rPr>
  </w:style>
  <w:style w:type="paragraph" w:styleId="6">
    <w:name w:val="footer"/>
    <w:basedOn w:val="1"/>
    <w:link w:val="26"/>
    <w:qFormat/>
    <w:uiPriority w:val="0"/>
    <w:pPr>
      <w:tabs>
        <w:tab w:val="center" w:pos="4153"/>
        <w:tab w:val="right" w:pos="8306"/>
      </w:tabs>
      <w:snapToGrid w:val="0"/>
      <w:jc w:val="left"/>
    </w:pPr>
    <w:rPr>
      <w:sz w:val="18"/>
      <w:szCs w:val="18"/>
    </w:rPr>
  </w:style>
  <w:style w:type="paragraph" w:styleId="7">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rFonts w:hint="eastAsia" w:ascii="微软雅黑" w:hAnsi="微软雅黑" w:eastAsia="微软雅黑"/>
      <w:kern w:val="0"/>
      <w:sz w:val="24"/>
    </w:rPr>
  </w:style>
  <w:style w:type="character" w:styleId="11">
    <w:name w:val="Strong"/>
    <w:basedOn w:val="10"/>
    <w:qFormat/>
    <w:uiPriority w:val="0"/>
  </w:style>
  <w:style w:type="character" w:styleId="12">
    <w:name w:val="FollowedHyperlink"/>
    <w:basedOn w:val="10"/>
    <w:qFormat/>
    <w:uiPriority w:val="0"/>
    <w:rPr>
      <w:rFonts w:hint="eastAsia" w:ascii="微软雅黑" w:hAnsi="微软雅黑" w:eastAsia="微软雅黑" w:cs="微软雅黑"/>
      <w:color w:val="333333"/>
      <w:u w:val="none"/>
    </w:rPr>
  </w:style>
  <w:style w:type="character" w:styleId="13">
    <w:name w:val="Emphasis"/>
    <w:basedOn w:val="10"/>
    <w:qFormat/>
    <w:uiPriority w:val="0"/>
    <w:rPr>
      <w:rFonts w:ascii="微软雅黑" w:hAnsi="微软雅黑" w:eastAsia="微软雅黑" w:cs="微软雅黑"/>
    </w:rPr>
  </w:style>
  <w:style w:type="character" w:styleId="14">
    <w:name w:val="HTML Definition"/>
    <w:basedOn w:val="10"/>
    <w:qFormat/>
    <w:uiPriority w:val="0"/>
  </w:style>
  <w:style w:type="character" w:styleId="15">
    <w:name w:val="HTML Variable"/>
    <w:basedOn w:val="10"/>
    <w:qFormat/>
    <w:uiPriority w:val="0"/>
  </w:style>
  <w:style w:type="character" w:styleId="16">
    <w:name w:val="Hyperlink"/>
    <w:basedOn w:val="10"/>
    <w:qFormat/>
    <w:uiPriority w:val="0"/>
    <w:rPr>
      <w:rFonts w:hint="eastAsia" w:ascii="微软雅黑" w:hAnsi="微软雅黑" w:eastAsia="微软雅黑" w:cs="微软雅黑"/>
      <w:color w:val="333333"/>
      <w:u w:val="none"/>
    </w:rPr>
  </w:style>
  <w:style w:type="character" w:styleId="17">
    <w:name w:val="HTML Code"/>
    <w:basedOn w:val="10"/>
    <w:qFormat/>
    <w:uiPriority w:val="0"/>
    <w:rPr>
      <w:rFonts w:ascii="Courier New" w:hAnsi="Courier New"/>
      <w:sz w:val="20"/>
    </w:rPr>
  </w:style>
  <w:style w:type="character" w:styleId="18">
    <w:name w:val="HTML Cite"/>
    <w:basedOn w:val="10"/>
    <w:qFormat/>
    <w:uiPriority w:val="0"/>
  </w:style>
  <w:style w:type="character" w:customStyle="1" w:styleId="19">
    <w:name w:val="bg-box"/>
    <w:basedOn w:val="10"/>
    <w:qFormat/>
    <w:uiPriority w:val="0"/>
    <w:rPr>
      <w:color w:val="FFFFFF"/>
      <w:sz w:val="21"/>
      <w:szCs w:val="21"/>
    </w:rPr>
  </w:style>
  <w:style w:type="character" w:customStyle="1" w:styleId="20">
    <w:name w:val="bg"/>
    <w:basedOn w:val="10"/>
    <w:qFormat/>
    <w:uiPriority w:val="0"/>
    <w:rPr>
      <w:shd w:val="clear" w:color="auto" w:fill="000000"/>
    </w:rPr>
  </w:style>
  <w:style w:type="paragraph" w:customStyle="1" w:styleId="21">
    <w:name w:val="样式4"/>
    <w:basedOn w:val="22"/>
    <w:qFormat/>
    <w:uiPriority w:val="0"/>
    <w:pPr>
      <w:outlineLvl w:val="2"/>
    </w:pPr>
  </w:style>
  <w:style w:type="paragraph" w:customStyle="1" w:styleId="22">
    <w:name w:val="CMheading3"/>
    <w:next w:val="23"/>
    <w:qFormat/>
    <w:uiPriority w:val="0"/>
    <w:pPr>
      <w:spacing w:before="200" w:after="140" w:line="360" w:lineRule="auto"/>
      <w:jc w:val="both"/>
    </w:pPr>
    <w:rPr>
      <w:rFonts w:ascii="Times New Roman" w:hAnsi="Times New Roman" w:eastAsia="黑体" w:cs="Times New Roman"/>
      <w:b/>
      <w:sz w:val="24"/>
      <w:szCs w:val="24"/>
      <w:lang w:val="en-US" w:eastAsia="zh-CN" w:bidi="ar-SA"/>
    </w:rPr>
  </w:style>
  <w:style w:type="paragraph" w:customStyle="1" w:styleId="23">
    <w:name w:val="CMcontent"/>
    <w:qFormat/>
    <w:uiPriority w:val="0"/>
    <w:pPr>
      <w:spacing w:line="360" w:lineRule="auto"/>
      <w:ind w:firstLine="200" w:firstLineChars="200"/>
      <w:jc w:val="both"/>
    </w:pPr>
    <w:rPr>
      <w:rFonts w:ascii="Times New Roman" w:hAnsi="Times New Roman" w:eastAsia="宋体" w:cs="Times New Roman"/>
      <w:sz w:val="24"/>
      <w:szCs w:val="24"/>
      <w:lang w:val="en-US" w:eastAsia="zh-CN" w:bidi="ar-SA"/>
    </w:rPr>
  </w:style>
  <w:style w:type="paragraph" w:customStyle="1" w:styleId="24">
    <w:name w:val="列出段落1"/>
    <w:basedOn w:val="1"/>
    <w:qFormat/>
    <w:uiPriority w:val="34"/>
    <w:pPr>
      <w:ind w:firstLine="420" w:firstLineChars="200"/>
    </w:pPr>
  </w:style>
  <w:style w:type="character" w:customStyle="1" w:styleId="25">
    <w:name w:val="页眉 Char"/>
    <w:basedOn w:val="10"/>
    <w:link w:val="7"/>
    <w:qFormat/>
    <w:uiPriority w:val="0"/>
    <w:rPr>
      <w:rFonts w:ascii="Calibri" w:hAnsi="Calibri"/>
      <w:kern w:val="2"/>
      <w:sz w:val="18"/>
      <w:szCs w:val="18"/>
    </w:rPr>
  </w:style>
  <w:style w:type="character" w:customStyle="1" w:styleId="26">
    <w:name w:val="页脚 Char"/>
    <w:basedOn w:val="10"/>
    <w:link w:val="6"/>
    <w:qFormat/>
    <w:uiPriority w:val="0"/>
    <w:rPr>
      <w:rFonts w:ascii="Calibri" w:hAnsi="Calibri"/>
      <w:kern w:val="2"/>
      <w:sz w:val="18"/>
      <w:szCs w:val="18"/>
    </w:rPr>
  </w:style>
  <w:style w:type="character" w:customStyle="1" w:styleId="27">
    <w:name w:val="kind"/>
    <w:basedOn w:val="10"/>
    <w:qFormat/>
    <w:uiPriority w:val="0"/>
    <w:rPr>
      <w:color w:val="336699"/>
      <w:bdr w:val="single" w:color="336699" w:sz="6" w:space="0"/>
    </w:rPr>
  </w:style>
  <w:style w:type="character" w:customStyle="1" w:styleId="28">
    <w:name w:val="sort"/>
    <w:basedOn w:val="10"/>
    <w:qFormat/>
    <w:uiPriority w:val="0"/>
    <w:rPr>
      <w:rFonts w:ascii="华文楷体" w:hAnsi="华文楷体" w:eastAsia="华文楷体" w:cs="华文楷体"/>
      <w:color w:val="666666"/>
    </w:rPr>
  </w:style>
  <w:style w:type="character" w:customStyle="1" w:styleId="29">
    <w:name w:val="time"/>
    <w:basedOn w:val="10"/>
    <w:qFormat/>
    <w:uiPriority w:val="0"/>
    <w:rPr>
      <w:color w:val="999999"/>
      <w:sz w:val="21"/>
      <w:szCs w:val="21"/>
    </w:rPr>
  </w:style>
  <w:style w:type="character" w:customStyle="1" w:styleId="30">
    <w:name w:val="time1"/>
    <w:basedOn w:val="10"/>
    <w:qFormat/>
    <w:uiPriority w:val="0"/>
    <w:rPr>
      <w:color w:val="999999"/>
      <w:sz w:val="21"/>
      <w:szCs w:val="21"/>
    </w:rPr>
  </w:style>
  <w:style w:type="character" w:customStyle="1" w:styleId="31">
    <w:name w:val="bq"/>
    <w:basedOn w:val="10"/>
    <w:qFormat/>
    <w:uiPriority w:val="0"/>
  </w:style>
  <w:style w:type="character" w:customStyle="1" w:styleId="32">
    <w:name w:val="to"/>
    <w:basedOn w:val="10"/>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5764</Words>
  <Characters>213</Characters>
  <Lines>1</Lines>
  <Paragraphs>11</Paragraphs>
  <TotalTime>1</TotalTime>
  <ScaleCrop>false</ScaleCrop>
  <LinksUpToDate>false</LinksUpToDate>
  <CharactersWithSpaces>5966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2020-01-06T00:45:00Z</dcterms:created>
  <dc:creator> </dc:creator>
  <cp:lastModifiedBy>冯华</cp:lastModifiedBy>
  <dcterms:modified xsi:type="dcterms:W3CDTF">2023-06-09T00:25:56Z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