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B" w:rsidRPr="007C3ED3" w:rsidRDefault="00AE1308" w:rsidP="00372DDB">
      <w:pPr>
        <w:pStyle w:val="a5"/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国家税务总局武汉市税务局</w:t>
      </w:r>
      <w:r w:rsidR="007C3ED3"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202</w:t>
      </w:r>
      <w:r w:rsidR="002C0AE1">
        <w:rPr>
          <w:rFonts w:ascii="方正小标宋简体" w:eastAsia="方正小标宋简体" w:hAnsi="宋体" w:cs="宋体" w:hint="eastAsia"/>
          <w:bCs/>
          <w:sz w:val="36"/>
          <w:szCs w:val="36"/>
        </w:rPr>
        <w:t>2</w:t>
      </w:r>
      <w:r w:rsidR="007C3ED3"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政府信息公开</w:t>
      </w:r>
    </w:p>
    <w:p w:rsidR="00950ECB" w:rsidRPr="007C3ED3" w:rsidRDefault="00AE1308" w:rsidP="00372DDB">
      <w:pPr>
        <w:pStyle w:val="a5"/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C3ED3">
        <w:rPr>
          <w:rFonts w:ascii="方正小标宋简体" w:eastAsia="方正小标宋简体" w:hAnsi="宋体" w:cs="宋体" w:hint="eastAsia"/>
          <w:bCs/>
          <w:sz w:val="36"/>
          <w:szCs w:val="36"/>
        </w:rPr>
        <w:t>工作年度报告</w:t>
      </w:r>
    </w:p>
    <w:p w:rsidR="001B0D27" w:rsidRDefault="001B0D27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3B79D6" w:rsidRDefault="00814112" w:rsidP="00372DDB">
      <w:pPr>
        <w:pStyle w:val="a5"/>
        <w:widowControl/>
        <w:spacing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</w:t>
      </w:r>
      <w:r w:rsidR="003B79D6">
        <w:rPr>
          <w:rFonts w:ascii="仿宋_GB2312" w:eastAsia="仿宋_GB2312" w:hAnsi="仿宋" w:cs="仿宋" w:hint="eastAsia"/>
          <w:sz w:val="32"/>
          <w:szCs w:val="32"/>
        </w:rPr>
        <w:t>22</w:t>
      </w:r>
      <w:r>
        <w:rPr>
          <w:rFonts w:ascii="仿宋_GB2312" w:eastAsia="仿宋_GB2312" w:hAnsi="仿宋" w:cs="仿宋" w:hint="eastAsia"/>
          <w:sz w:val="32"/>
          <w:szCs w:val="32"/>
        </w:rPr>
        <w:t>年，国家税务总局武汉市税务局</w:t>
      </w:r>
      <w:r w:rsidR="003B79D6">
        <w:rPr>
          <w:rFonts w:ascii="仿宋_GB2312" w:eastAsia="仿宋_GB2312" w:hAnsi="仿宋" w:cs="仿宋" w:hint="eastAsia"/>
          <w:sz w:val="32"/>
          <w:szCs w:val="32"/>
        </w:rPr>
        <w:t>坚持以习近平新时代中国特色社会主义思想为指导，按照</w:t>
      </w:r>
      <w:r>
        <w:rPr>
          <w:rFonts w:ascii="仿宋_GB2312" w:eastAsia="仿宋_GB2312" w:hAnsi="仿宋" w:cs="仿宋" w:hint="eastAsia"/>
          <w:sz w:val="32"/>
          <w:szCs w:val="32"/>
        </w:rPr>
        <w:t>《中华人民共和国政府信息公开条例》</w:t>
      </w:r>
      <w:r w:rsidR="003B79D6">
        <w:rPr>
          <w:rFonts w:ascii="仿宋_GB2312" w:eastAsia="仿宋_GB2312" w:hAnsi="仿宋" w:cs="仿宋" w:hint="eastAsia"/>
          <w:sz w:val="32"/>
          <w:szCs w:val="32"/>
        </w:rPr>
        <w:t>要求，积极改进和优化政府信息公开工作的方式方法，切实保障人民群众的知情权、参与权和监督权。</w:t>
      </w:r>
    </w:p>
    <w:p w:rsidR="003B79D6" w:rsidRDefault="00A70B70" w:rsidP="00372DDB">
      <w:pPr>
        <w:pStyle w:val="a5"/>
        <w:widowControl/>
        <w:spacing w:line="60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 w:rsidRPr="00BD1536">
        <w:rPr>
          <w:rFonts w:ascii="楷体_GB2312" w:eastAsia="楷体_GB2312" w:hAnsi="仿宋" w:cs="仿宋" w:hint="eastAsia"/>
          <w:b/>
          <w:sz w:val="32"/>
          <w:szCs w:val="32"/>
        </w:rPr>
        <w:t>（一）</w:t>
      </w:r>
      <w:r w:rsidR="00214B63" w:rsidRPr="00214B63">
        <w:rPr>
          <w:rFonts w:ascii="楷体_GB2312" w:eastAsia="楷体_GB2312" w:hAnsi="仿宋" w:cs="仿宋" w:hint="eastAsia"/>
          <w:b/>
          <w:sz w:val="32"/>
          <w:szCs w:val="32"/>
        </w:rPr>
        <w:t>政府信息主动公开情况</w:t>
      </w:r>
    </w:p>
    <w:p w:rsidR="00CB24ED" w:rsidRDefault="00CB24ED" w:rsidP="002B6854">
      <w:pPr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一是重点突出。</w:t>
      </w:r>
      <w:r>
        <w:rPr>
          <w:rFonts w:ascii="仿宋_GB2312" w:eastAsia="仿宋_GB2312" w:hint="eastAsia"/>
          <w:sz w:val="32"/>
          <w:szCs w:val="32"/>
        </w:rPr>
        <w:t>围绕税收宣传月、落实组合式税费支持政策、优化税收营商环境和创先争优等中心工作，开展了系列宣传报道活动。全年</w:t>
      </w:r>
      <w:r>
        <w:rPr>
          <w:rFonts w:ascii="仿宋_GB2312" w:eastAsia="仿宋_GB2312" w:hint="eastAsia"/>
          <w:kern w:val="0"/>
          <w:sz w:val="32"/>
          <w:szCs w:val="32"/>
        </w:rPr>
        <w:t>在主流媒体宣传556篇次，其中省级及以上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媒体占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比81.12%，</w:t>
      </w:r>
      <w:r>
        <w:rPr>
          <w:rFonts w:ascii="仿宋_GB2312" w:eastAsia="仿宋_GB2312" w:hint="eastAsia"/>
          <w:sz w:val="32"/>
          <w:szCs w:val="32"/>
        </w:rPr>
        <w:t>优秀新闻稿件首次获湖北日报专题刊发评论员文章。</w:t>
      </w:r>
      <w:r>
        <w:rPr>
          <w:rFonts w:ascii="仿宋_GB2312" w:eastAsia="仿宋_GB2312" w:hAnsi="仿宋" w:cs="仿宋" w:hint="eastAsia"/>
          <w:b/>
          <w:sz w:val="32"/>
          <w:szCs w:val="32"/>
        </w:rPr>
        <w:t>二是多点开花。</w:t>
      </w:r>
      <w:r w:rsidR="00776014" w:rsidRPr="00776014">
        <w:rPr>
          <w:rFonts w:ascii="仿宋_GB2312" w:eastAsia="仿宋_GB2312" w:hint="eastAsia"/>
          <w:kern w:val="0"/>
          <w:sz w:val="32"/>
          <w:szCs w:val="32"/>
        </w:rPr>
        <w:t>通过</w:t>
      </w:r>
      <w:r>
        <w:rPr>
          <w:rFonts w:ascii="仿宋_GB2312" w:eastAsia="仿宋_GB2312" w:hAnsi="仿宋" w:cs="仿宋" w:hint="eastAsia"/>
          <w:sz w:val="32"/>
          <w:szCs w:val="32"/>
        </w:rPr>
        <w:t>“武汉税务”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 w:rsidR="00776014">
        <w:rPr>
          <w:rFonts w:ascii="仿宋_GB2312" w:eastAsia="仿宋_GB2312" w:hAnsi="仿宋" w:cs="仿宋" w:hint="eastAsia"/>
          <w:sz w:val="32"/>
          <w:szCs w:val="32"/>
        </w:rPr>
        <w:t>开展宣传，</w:t>
      </w:r>
      <w:r>
        <w:rPr>
          <w:rFonts w:ascii="仿宋_GB2312" w:eastAsia="仿宋_GB2312" w:hAnsi="仿宋" w:cs="仿宋" w:hint="eastAsia"/>
          <w:sz w:val="32"/>
          <w:szCs w:val="32"/>
        </w:rPr>
        <w:t>全年合计发布文章707篇、原创文章242篇、总阅读量约634.3万次。特别是推出“江城春风四季有 税企携手向未来”“个人所得税汇算清缴”“献礼二十大 税惠暖人心”等系列宣传推文，深受纳税人缴费人好评。</w:t>
      </w:r>
      <w:r w:rsidR="006A3363">
        <w:rPr>
          <w:rFonts w:ascii="仿宋_GB2312" w:eastAsia="仿宋_GB2312" w:hAnsi="仿宋" w:cs="仿宋" w:hint="eastAsia"/>
          <w:sz w:val="32"/>
          <w:szCs w:val="32"/>
        </w:rPr>
        <w:t>通过“武汉税务”斗鱼</w:t>
      </w:r>
      <w:r w:rsidR="00143DF2">
        <w:rPr>
          <w:rFonts w:ascii="仿宋_GB2312" w:eastAsia="仿宋_GB2312" w:hAnsi="仿宋" w:cs="仿宋" w:hint="eastAsia"/>
          <w:sz w:val="32"/>
          <w:szCs w:val="32"/>
        </w:rPr>
        <w:t>平台，</w:t>
      </w:r>
      <w:r w:rsidR="00143DF2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直播</w:t>
      </w:r>
      <w:r w:rsidR="00143DF2">
        <w:rPr>
          <w:rFonts w:ascii="仿宋_GB2312" w:eastAsia="仿宋_GB2312" w:hAnsi="仿宋" w:cs="仿宋" w:hint="eastAsia"/>
          <w:sz w:val="32"/>
          <w:szCs w:val="32"/>
        </w:rPr>
        <w:t>开展</w:t>
      </w:r>
      <w:r w:rsidR="002B6854">
        <w:rPr>
          <w:rFonts w:ascii="华文仿宋" w:eastAsia="华文仿宋" w:hAnsi="Times New Roman" w:cs="华文仿宋"/>
          <w:color w:val="000000"/>
          <w:kern w:val="0"/>
          <w:sz w:val="32"/>
          <w:szCs w:val="32"/>
          <w:lang w:val="zh-CN"/>
        </w:rPr>
        <w:t>42</w:t>
      </w:r>
      <w:r w:rsidR="002B6854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场，</w:t>
      </w:r>
      <w:r w:rsidR="00143DF2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广泛宣传税费政策，</w:t>
      </w:r>
      <w:r w:rsidR="002B6854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累计观看人数</w:t>
      </w:r>
      <w:r w:rsidR="002B6854">
        <w:rPr>
          <w:rFonts w:ascii="华文仿宋" w:eastAsia="华文仿宋" w:hAnsi="Times New Roman" w:cs="华文仿宋"/>
          <w:color w:val="000000"/>
          <w:kern w:val="0"/>
          <w:sz w:val="32"/>
          <w:szCs w:val="32"/>
          <w:lang w:val="zh-CN"/>
        </w:rPr>
        <w:t>20.4</w:t>
      </w:r>
      <w:r w:rsidR="002B6854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万</w:t>
      </w:r>
      <w:r w:rsidR="00CB224B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人次</w:t>
      </w:r>
      <w:r w:rsidR="00143DF2">
        <w:rPr>
          <w:rFonts w:ascii="华文仿宋" w:eastAsia="华文仿宋" w:hAnsi="Times New Roman" w:cs="华文仿宋" w:hint="eastAsia"/>
          <w:color w:val="000000"/>
          <w:kern w:val="0"/>
          <w:sz w:val="32"/>
          <w:szCs w:val="32"/>
          <w:lang w:val="zh-CN"/>
        </w:rPr>
        <w:t>。</w:t>
      </w:r>
      <w:r>
        <w:rPr>
          <w:rFonts w:ascii="仿宋_GB2312" w:eastAsia="仿宋_GB2312" w:hAnsi="仿宋" w:cs="仿宋" w:hint="eastAsia"/>
          <w:b/>
          <w:sz w:val="32"/>
          <w:szCs w:val="32"/>
        </w:rPr>
        <w:t>三是亮点纷呈。</w:t>
      </w:r>
      <w:r>
        <w:rPr>
          <w:rFonts w:ascii="仿宋_GB2312" w:eastAsia="仿宋_GB2312" w:hAnsi="仿宋" w:cs="仿宋" w:hint="eastAsia"/>
          <w:sz w:val="32"/>
          <w:szCs w:val="32"/>
        </w:rPr>
        <w:t>结合回眸税收这十年、学习贯彻党的二十大等重点工作，开展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稳经济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一揽子政策</w:t>
      </w:r>
      <w:r w:rsidR="00FD1D37"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解读和效应宣传，在《人民日报》《中国税务报》等中央主流媒体发表系列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相关稿件，</w:t>
      </w:r>
      <w:r>
        <w:rPr>
          <w:rFonts w:ascii="仿宋_GB2312" w:eastAsia="仿宋_GB2312" w:hint="eastAsia"/>
          <w:sz w:val="32"/>
          <w:szCs w:val="32"/>
        </w:rPr>
        <w:t>拍摄制作《牢记嘱托 感恩奋进》等短视频，在湖北税务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展播。</w:t>
      </w:r>
    </w:p>
    <w:p w:rsidR="00214B63" w:rsidRDefault="00214B63" w:rsidP="00372DDB">
      <w:pPr>
        <w:pStyle w:val="a5"/>
        <w:widowControl/>
        <w:spacing w:line="60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（二）</w:t>
      </w:r>
      <w:r w:rsidRPr="00214B63">
        <w:rPr>
          <w:rFonts w:ascii="楷体_GB2312" w:eastAsia="楷体_GB2312" w:hAnsi="仿宋" w:cs="仿宋" w:hint="eastAsia"/>
          <w:b/>
          <w:sz w:val="32"/>
          <w:szCs w:val="32"/>
        </w:rPr>
        <w:t>政府信息依申请公开情况</w:t>
      </w:r>
    </w:p>
    <w:p w:rsidR="00D71ED1" w:rsidRDefault="00D71ED1" w:rsidP="001B4AD3">
      <w:pPr>
        <w:pStyle w:val="a5"/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严格按照</w:t>
      </w:r>
      <w:r w:rsidRPr="00D71ED1">
        <w:rPr>
          <w:rFonts w:ascii="仿宋_GB2312" w:eastAsia="仿宋_GB2312" w:hAnsi="仿宋" w:cs="仿宋" w:hint="eastAsia"/>
          <w:sz w:val="32"/>
          <w:szCs w:val="32"/>
        </w:rPr>
        <w:t>《税务机关政府信息公开申请办理规范》</w:t>
      </w:r>
      <w:r>
        <w:rPr>
          <w:rFonts w:ascii="仿宋_GB2312" w:eastAsia="仿宋_GB2312" w:hAnsi="仿宋" w:cs="仿宋" w:hint="eastAsia"/>
          <w:sz w:val="32"/>
          <w:szCs w:val="32"/>
        </w:rPr>
        <w:t>开展工作，2022年办理政府信息公开依申请公开办件30件，全部均在指定期限内回复，依法保障</w:t>
      </w:r>
      <w:r w:rsidR="00BF172B">
        <w:rPr>
          <w:rFonts w:ascii="仿宋_GB2312" w:eastAsia="仿宋_GB2312" w:hAnsi="仿宋" w:cs="仿宋" w:hint="eastAsia"/>
          <w:sz w:val="32"/>
          <w:szCs w:val="32"/>
        </w:rPr>
        <w:t>了</w:t>
      </w:r>
      <w:r>
        <w:rPr>
          <w:rFonts w:ascii="仿宋_GB2312" w:eastAsia="仿宋_GB2312" w:hAnsi="仿宋" w:cs="仿宋" w:hint="eastAsia"/>
          <w:sz w:val="32"/>
          <w:szCs w:val="32"/>
        </w:rPr>
        <w:t>公众合理信息需求。</w:t>
      </w:r>
    </w:p>
    <w:p w:rsidR="00214B63" w:rsidRDefault="00214B63" w:rsidP="00372DDB">
      <w:pPr>
        <w:pStyle w:val="a5"/>
        <w:widowControl/>
        <w:spacing w:line="60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（三）</w:t>
      </w:r>
      <w:r w:rsidRPr="00214B63">
        <w:rPr>
          <w:rFonts w:ascii="楷体_GB2312" w:eastAsia="楷体_GB2312" w:hAnsi="仿宋" w:cs="仿宋" w:hint="eastAsia"/>
          <w:b/>
          <w:sz w:val="32"/>
          <w:szCs w:val="32"/>
        </w:rPr>
        <w:t>政府信息管理情况</w:t>
      </w:r>
    </w:p>
    <w:p w:rsidR="009E6527" w:rsidRPr="009E6527" w:rsidRDefault="009E6527" w:rsidP="009E6527">
      <w:pPr>
        <w:pStyle w:val="a5"/>
        <w:widowControl/>
        <w:spacing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9E6527">
        <w:rPr>
          <w:rFonts w:ascii="仿宋_GB2312" w:eastAsia="仿宋_GB2312" w:hAnsi="仿宋" w:cs="仿宋" w:hint="eastAsia"/>
          <w:sz w:val="32"/>
          <w:szCs w:val="32"/>
        </w:rPr>
        <w:t>加强政府信息的日常管理，</w:t>
      </w:r>
      <w:r w:rsidR="004827B6">
        <w:rPr>
          <w:rFonts w:ascii="仿宋_GB2312" w:eastAsia="仿宋_GB2312" w:hAnsi="仿宋" w:cs="仿宋" w:hint="eastAsia"/>
          <w:sz w:val="32"/>
          <w:szCs w:val="32"/>
        </w:rPr>
        <w:t>定期</w:t>
      </w:r>
      <w:r w:rsidRPr="009E6527">
        <w:rPr>
          <w:rFonts w:ascii="仿宋_GB2312" w:eastAsia="仿宋_GB2312" w:hAnsi="仿宋" w:cs="仿宋" w:hint="eastAsia"/>
          <w:sz w:val="32"/>
          <w:szCs w:val="32"/>
        </w:rPr>
        <w:t>对本级规范性文件进行梳理</w:t>
      </w:r>
      <w:r w:rsidR="005006A8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将重点聚焦在文件</w:t>
      </w:r>
      <w:r w:rsidR="00C658B6">
        <w:rPr>
          <w:rFonts w:ascii="仿宋_GB2312" w:eastAsia="仿宋_GB2312" w:hAnsi="仿宋" w:cs="仿宋" w:hint="eastAsia"/>
          <w:sz w:val="32"/>
          <w:szCs w:val="32"/>
        </w:rPr>
        <w:t>公开</w:t>
      </w:r>
      <w:r>
        <w:rPr>
          <w:rFonts w:ascii="仿宋_GB2312" w:eastAsia="仿宋_GB2312" w:hAnsi="仿宋" w:cs="仿宋" w:hint="eastAsia"/>
          <w:sz w:val="32"/>
          <w:szCs w:val="32"/>
        </w:rPr>
        <w:t>属性审核</w:t>
      </w:r>
      <w:r w:rsidR="00E56FC2">
        <w:rPr>
          <w:rFonts w:ascii="仿宋_GB2312" w:eastAsia="仿宋_GB2312" w:hAnsi="仿宋" w:cs="仿宋" w:hint="eastAsia"/>
          <w:sz w:val="32"/>
          <w:szCs w:val="32"/>
        </w:rPr>
        <w:t>等</w:t>
      </w:r>
      <w:r>
        <w:rPr>
          <w:rFonts w:ascii="仿宋_GB2312" w:eastAsia="仿宋_GB2312" w:hAnsi="仿宋" w:cs="仿宋" w:hint="eastAsia"/>
          <w:sz w:val="32"/>
          <w:szCs w:val="32"/>
        </w:rPr>
        <w:t>方面，</w:t>
      </w:r>
      <w:r w:rsidR="003D29E9">
        <w:rPr>
          <w:rFonts w:ascii="仿宋_GB2312" w:eastAsia="仿宋_GB2312" w:hAnsi="仿宋" w:cs="仿宋" w:hint="eastAsia"/>
          <w:sz w:val="32"/>
          <w:szCs w:val="32"/>
        </w:rPr>
        <w:t>坚持</w:t>
      </w:r>
      <w:r w:rsidR="00637352">
        <w:rPr>
          <w:rFonts w:ascii="仿宋_GB2312" w:eastAsia="仿宋_GB2312" w:hAnsi="仿宋" w:cs="仿宋" w:hint="eastAsia"/>
          <w:sz w:val="32"/>
          <w:szCs w:val="32"/>
        </w:rPr>
        <w:t>“</w:t>
      </w:r>
      <w:r w:rsidR="003D29E9">
        <w:rPr>
          <w:rFonts w:ascii="仿宋_GB2312" w:eastAsia="仿宋_GB2312" w:hAnsi="仿宋" w:cs="仿宋" w:hint="eastAsia"/>
          <w:sz w:val="32"/>
          <w:szCs w:val="32"/>
        </w:rPr>
        <w:t>以</w:t>
      </w:r>
      <w:r w:rsidRPr="009E6527">
        <w:rPr>
          <w:rFonts w:ascii="仿宋_GB2312" w:eastAsia="仿宋_GB2312" w:hAnsi="仿宋" w:cs="仿宋" w:hint="eastAsia"/>
          <w:sz w:val="32"/>
          <w:szCs w:val="32"/>
        </w:rPr>
        <w:t>公</w:t>
      </w:r>
      <w:r>
        <w:rPr>
          <w:rFonts w:ascii="仿宋_GB2312" w:eastAsia="仿宋_GB2312" w:hAnsi="仿宋" w:cs="仿宋" w:hint="eastAsia"/>
          <w:sz w:val="32"/>
          <w:szCs w:val="32"/>
        </w:rPr>
        <w:t>开为常态、不公开为例外</w:t>
      </w:r>
      <w:r w:rsidR="00637352">
        <w:rPr>
          <w:rFonts w:ascii="仿宋_GB2312" w:eastAsia="仿宋_GB2312" w:hAnsi="仿宋" w:cs="仿宋" w:hint="eastAsia"/>
          <w:sz w:val="32"/>
          <w:szCs w:val="32"/>
        </w:rPr>
        <w:t>”</w:t>
      </w:r>
      <w:r w:rsidR="00637352" w:rsidRPr="00FB59ED">
        <w:rPr>
          <w:rFonts w:ascii="仿宋_GB2312" w:eastAsia="仿宋_GB2312" w:hint="eastAsia"/>
          <w:sz w:val="32"/>
          <w:szCs w:val="32"/>
        </w:rPr>
        <w:t>“先审查、再公开”</w:t>
      </w:r>
      <w:r w:rsidR="00D533AC">
        <w:rPr>
          <w:rFonts w:ascii="仿宋_GB2312" w:eastAsia="仿宋_GB2312" w:hint="eastAsia"/>
          <w:sz w:val="32"/>
          <w:szCs w:val="32"/>
        </w:rPr>
        <w:t>等</w:t>
      </w:r>
      <w:r w:rsidR="00637352" w:rsidRPr="00FB59ED">
        <w:rPr>
          <w:rFonts w:ascii="仿宋_GB2312" w:eastAsia="仿宋_GB2312" w:hint="eastAsia"/>
          <w:sz w:val="32"/>
          <w:szCs w:val="32"/>
        </w:rPr>
        <w:t>原则，</w:t>
      </w:r>
      <w:r w:rsidR="002A20FA">
        <w:rPr>
          <w:rFonts w:ascii="仿宋_GB2312" w:eastAsia="仿宋_GB2312" w:hint="eastAsia"/>
          <w:sz w:val="32"/>
          <w:szCs w:val="32"/>
        </w:rPr>
        <w:t>确保应公开尽公开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E207B" w:rsidRDefault="00DE207B" w:rsidP="00DE207B">
      <w:pPr>
        <w:pStyle w:val="a5"/>
        <w:widowControl/>
        <w:spacing w:line="60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（四）</w:t>
      </w:r>
      <w:r w:rsidRPr="00214B63">
        <w:rPr>
          <w:rFonts w:ascii="楷体_GB2312" w:eastAsia="楷体_GB2312" w:hAnsi="仿宋" w:cs="仿宋" w:hint="eastAsia"/>
          <w:b/>
          <w:sz w:val="32"/>
          <w:szCs w:val="32"/>
        </w:rPr>
        <w:t>政府信息公开平台建设情况</w:t>
      </w:r>
    </w:p>
    <w:p w:rsidR="00DE207B" w:rsidRDefault="00DE207B" w:rsidP="00DE207B">
      <w:pPr>
        <w:ind w:firstLineChars="200" w:firstLine="640"/>
      </w:pPr>
      <w:r>
        <w:rPr>
          <w:rFonts w:ascii="仿宋_GB2312" w:eastAsia="仿宋_GB2312" w:hAnsi="仿宋" w:cs="仿宋" w:hint="eastAsia"/>
          <w:sz w:val="32"/>
          <w:szCs w:val="32"/>
        </w:rPr>
        <w:t>认真维护</w:t>
      </w:r>
      <w:r w:rsidR="00326AD2">
        <w:rPr>
          <w:rFonts w:ascii="仿宋_GB2312" w:eastAsia="仿宋_GB2312" w:hAnsi="仿宋" w:cs="仿宋" w:hint="eastAsia"/>
          <w:sz w:val="32"/>
          <w:szCs w:val="32"/>
        </w:rPr>
        <w:t>市税务局</w:t>
      </w:r>
      <w:r>
        <w:rPr>
          <w:rFonts w:ascii="仿宋_GB2312" w:eastAsia="仿宋_GB2312" w:hAnsi="仿宋" w:cs="仿宋" w:hint="eastAsia"/>
          <w:sz w:val="32"/>
          <w:szCs w:val="32"/>
        </w:rPr>
        <w:t>外部门户网站，及时更新内容信息，全年合计发布各类信息1700余条。</w:t>
      </w:r>
      <w:r w:rsidR="002C723E"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定期开展网站内容自查清理，及时更正存在的错别字、敏感词等问题。</w:t>
      </w:r>
      <w:r w:rsidR="00703657">
        <w:rPr>
          <w:rFonts w:ascii="仿宋_GB2312" w:eastAsia="仿宋_GB2312" w:hAnsi="仿宋" w:cs="仿宋" w:hint="eastAsia"/>
          <w:sz w:val="32"/>
          <w:szCs w:val="32"/>
        </w:rPr>
        <w:t>不断优化</w:t>
      </w:r>
      <w:r w:rsidR="00703657" w:rsidRPr="00FB59ED">
        <w:rPr>
          <w:rFonts w:ascii="仿宋_GB2312" w:eastAsia="仿宋_GB2312" w:hAnsi="仿宋" w:cs="仿宋" w:hint="eastAsia"/>
          <w:sz w:val="32"/>
          <w:szCs w:val="32"/>
        </w:rPr>
        <w:t>行政</w:t>
      </w:r>
      <w:r w:rsidR="00703657">
        <w:rPr>
          <w:rFonts w:ascii="仿宋_GB2312" w:eastAsia="仿宋_GB2312" w:hAnsi="仿宋" w:cs="仿宋" w:hint="eastAsia"/>
          <w:sz w:val="32"/>
          <w:szCs w:val="32"/>
        </w:rPr>
        <w:t>执法信息平台，主动对</w:t>
      </w:r>
      <w:proofErr w:type="gramStart"/>
      <w:r w:rsidR="00703657">
        <w:rPr>
          <w:rFonts w:ascii="仿宋_GB2312" w:eastAsia="仿宋_GB2312" w:hAnsi="仿宋" w:cs="仿宋" w:hint="eastAsia"/>
          <w:sz w:val="32"/>
          <w:szCs w:val="32"/>
        </w:rPr>
        <w:t>外公示各类</w:t>
      </w:r>
      <w:proofErr w:type="gramEnd"/>
      <w:r w:rsidR="00703657">
        <w:rPr>
          <w:rFonts w:ascii="仿宋_GB2312" w:eastAsia="仿宋_GB2312" w:hAnsi="仿宋" w:cs="仿宋" w:hint="eastAsia"/>
          <w:sz w:val="32"/>
          <w:szCs w:val="32"/>
        </w:rPr>
        <w:t>执法信息。</w:t>
      </w:r>
      <w:r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严格遵守信息发布的保密审核流程，坚持</w:t>
      </w:r>
      <w:r w:rsidR="004E18AE"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一事一审</w:t>
      </w:r>
      <w:r w:rsidR="004E18AE"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”“</w:t>
      </w:r>
      <w:r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先审后发</w:t>
      </w:r>
      <w:r w:rsidR="004E18AE"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1"/>
          <w:szCs w:val="31"/>
        </w:rPr>
        <w:t>。</w:t>
      </w:r>
    </w:p>
    <w:p w:rsidR="00DE207B" w:rsidRDefault="00DE207B" w:rsidP="00DE207B">
      <w:pPr>
        <w:pStyle w:val="a5"/>
        <w:widowControl/>
        <w:spacing w:line="60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>
        <w:rPr>
          <w:rFonts w:ascii="楷体_GB2312" w:eastAsia="楷体_GB2312" w:hAnsi="仿宋" w:cs="仿宋" w:hint="eastAsia"/>
          <w:b/>
          <w:sz w:val="32"/>
          <w:szCs w:val="32"/>
        </w:rPr>
        <w:t>（五）</w:t>
      </w:r>
      <w:r w:rsidRPr="00214B63">
        <w:rPr>
          <w:rFonts w:ascii="楷体_GB2312" w:eastAsia="楷体_GB2312" w:hAnsi="仿宋" w:cs="仿宋" w:hint="eastAsia"/>
          <w:b/>
          <w:sz w:val="32"/>
          <w:szCs w:val="32"/>
        </w:rPr>
        <w:t>监督保障情况</w:t>
      </w:r>
    </w:p>
    <w:p w:rsidR="00DE207B" w:rsidRPr="00A25654" w:rsidRDefault="00A25654" w:rsidP="00A25654">
      <w:pPr>
        <w:pStyle w:val="a5"/>
        <w:widowControl/>
        <w:spacing w:line="600" w:lineRule="exact"/>
        <w:ind w:firstLineChars="200" w:firstLine="620"/>
        <w:rPr>
          <w:rFonts w:ascii="仿宋_GB2312" w:eastAsia="仿宋_GB2312" w:hAnsi="宋体" w:cs="宋体"/>
          <w:color w:val="000000"/>
          <w:sz w:val="31"/>
          <w:szCs w:val="31"/>
        </w:rPr>
      </w:pPr>
      <w:r w:rsidRPr="00A25654">
        <w:rPr>
          <w:rFonts w:ascii="仿宋_GB2312" w:eastAsia="仿宋_GB2312" w:hAnsi="宋体" w:cs="宋体" w:hint="eastAsia"/>
          <w:color w:val="000000"/>
          <w:sz w:val="31"/>
          <w:szCs w:val="31"/>
        </w:rPr>
        <w:tab/>
        <w:t>不断完善政府信息公开的工作流程和机制，将政府信息公开工作明确列入2022年绩效考核指标，加大考核力度，以考核促工作落实。</w:t>
      </w:r>
      <w:r w:rsidR="00D70F2D">
        <w:rPr>
          <w:rFonts w:ascii="仿宋_GB2312" w:eastAsia="仿宋_GB2312" w:hAnsi="宋体" w:cs="宋体" w:hint="eastAsia"/>
          <w:color w:val="000000"/>
          <w:sz w:val="31"/>
          <w:szCs w:val="31"/>
        </w:rPr>
        <w:t>对政府信息公开</w:t>
      </w:r>
      <w:r w:rsidR="00072AA7">
        <w:rPr>
          <w:rFonts w:ascii="仿宋_GB2312" w:eastAsia="仿宋_GB2312" w:hAnsi="宋体" w:cs="宋体" w:hint="eastAsia"/>
          <w:color w:val="000000"/>
          <w:sz w:val="31"/>
          <w:szCs w:val="31"/>
        </w:rPr>
        <w:t>工作</w:t>
      </w:r>
      <w:r w:rsidR="00D70F2D">
        <w:rPr>
          <w:rFonts w:ascii="仿宋_GB2312" w:eastAsia="仿宋_GB2312" w:hAnsi="宋体" w:cs="宋体" w:hint="eastAsia"/>
          <w:color w:val="000000"/>
          <w:sz w:val="31"/>
          <w:szCs w:val="31"/>
        </w:rPr>
        <w:t>自查过程中发现的问题及时整改，</w:t>
      </w:r>
      <w:r w:rsidR="00A7408D">
        <w:rPr>
          <w:rFonts w:ascii="仿宋_GB2312" w:eastAsia="仿宋_GB2312" w:hAnsi="宋体" w:cs="宋体" w:hint="eastAsia"/>
          <w:color w:val="000000"/>
          <w:sz w:val="31"/>
          <w:szCs w:val="31"/>
        </w:rPr>
        <w:t>丰富</w:t>
      </w:r>
      <w:r w:rsidR="00D70F2D">
        <w:rPr>
          <w:rFonts w:ascii="仿宋_GB2312" w:eastAsia="仿宋_GB2312" w:hAnsi="宋体" w:cs="宋体" w:hint="eastAsia"/>
          <w:color w:val="000000"/>
          <w:sz w:val="31"/>
          <w:szCs w:val="31"/>
        </w:rPr>
        <w:t>和充实</w:t>
      </w:r>
      <w:r w:rsidR="00A7408D">
        <w:rPr>
          <w:rFonts w:ascii="仿宋_GB2312" w:eastAsia="仿宋_GB2312" w:hAnsi="宋体" w:cs="宋体" w:hint="eastAsia"/>
          <w:color w:val="000000"/>
          <w:sz w:val="31"/>
          <w:szCs w:val="31"/>
        </w:rPr>
        <w:t>外</w:t>
      </w:r>
      <w:proofErr w:type="gramStart"/>
      <w:r w:rsidR="00A7408D">
        <w:rPr>
          <w:rFonts w:ascii="仿宋_GB2312" w:eastAsia="仿宋_GB2312" w:hAnsi="宋体" w:cs="宋体" w:hint="eastAsia"/>
          <w:color w:val="000000"/>
          <w:sz w:val="31"/>
          <w:szCs w:val="31"/>
        </w:rPr>
        <w:t>网政府</w:t>
      </w:r>
      <w:proofErr w:type="gramEnd"/>
      <w:r w:rsidR="00A7408D">
        <w:rPr>
          <w:rFonts w:ascii="仿宋_GB2312" w:eastAsia="仿宋_GB2312" w:hAnsi="宋体" w:cs="宋体" w:hint="eastAsia"/>
          <w:color w:val="000000"/>
          <w:sz w:val="31"/>
          <w:szCs w:val="31"/>
        </w:rPr>
        <w:t>信息公开专栏内容。</w:t>
      </w:r>
    </w:p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二、主动公开政府信息情况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5"/>
        <w:gridCol w:w="2155"/>
      </w:tblGrid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0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5C3B7B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735C5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C7236F">
            <w:pPr>
              <w:widowControl/>
              <w:spacing w:line="30" w:lineRule="atLeas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12</w:t>
            </w:r>
          </w:p>
        </w:tc>
      </w:tr>
      <w:tr w:rsidR="00950ECB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950ECB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ECB" w:rsidRDefault="00AE1308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950ECB" w:rsidRDefault="00950ECB">
      <w:pPr>
        <w:widowControl/>
        <w:jc w:val="left"/>
      </w:pPr>
    </w:p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4999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75"/>
        <w:gridCol w:w="817"/>
        <w:gridCol w:w="2922"/>
        <w:gridCol w:w="608"/>
        <w:gridCol w:w="608"/>
        <w:gridCol w:w="608"/>
        <w:gridCol w:w="608"/>
        <w:gridCol w:w="608"/>
        <w:gridCol w:w="631"/>
        <w:gridCol w:w="582"/>
      </w:tblGrid>
      <w:tr w:rsidR="00950ECB" w:rsidTr="00567027">
        <w:trPr>
          <w:jc w:val="center"/>
        </w:trPr>
        <w:tc>
          <w:tcPr>
            <w:tcW w:w="25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245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950ECB" w:rsidTr="00567027">
        <w:trPr>
          <w:jc w:val="center"/>
        </w:trPr>
        <w:tc>
          <w:tcPr>
            <w:tcW w:w="254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950ECB" w:rsidTr="00567027">
        <w:trPr>
          <w:jc w:val="center"/>
        </w:trPr>
        <w:tc>
          <w:tcPr>
            <w:tcW w:w="254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950ECB" w:rsidTr="00567027">
        <w:trPr>
          <w:jc w:val="center"/>
        </w:trPr>
        <w:tc>
          <w:tcPr>
            <w:tcW w:w="25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0B478B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0B478B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</w:tr>
      <w:tr w:rsidR="00950ECB" w:rsidTr="00567027">
        <w:trPr>
          <w:jc w:val="center"/>
        </w:trPr>
        <w:tc>
          <w:tcPr>
            <w:tcW w:w="25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1A68AC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950ECB" w:rsidTr="00567027">
        <w:trPr>
          <w:jc w:val="center"/>
        </w:trPr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D95E1B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CB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AE6F50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E6F50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F50" w:rsidRDefault="00AE6F5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0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0B478B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0B478B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lastRenderedPageBreak/>
              <w:t>供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lastRenderedPageBreak/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F20D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5031A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trHeight w:val="779"/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补正、行政机关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567027" w:rsidTr="00567027">
        <w:trPr>
          <w:jc w:val="center"/>
        </w:trPr>
        <w:tc>
          <w:tcPr>
            <w:tcW w:w="389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0B478B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0B478B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</w:tr>
      <w:tr w:rsidR="00567027" w:rsidTr="00567027">
        <w:trPr>
          <w:jc w:val="center"/>
        </w:trPr>
        <w:tc>
          <w:tcPr>
            <w:tcW w:w="25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027" w:rsidRDefault="00567027" w:rsidP="00AE6F50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950ECB" w:rsidRDefault="00AE1308">
      <w:pPr>
        <w:pStyle w:val="a5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80"/>
        <w:gridCol w:w="576"/>
        <w:gridCol w:w="577"/>
        <w:gridCol w:w="589"/>
        <w:gridCol w:w="579"/>
        <w:gridCol w:w="579"/>
        <w:gridCol w:w="581"/>
        <w:gridCol w:w="581"/>
        <w:gridCol w:w="588"/>
        <w:gridCol w:w="581"/>
        <w:gridCol w:w="581"/>
        <w:gridCol w:w="581"/>
        <w:gridCol w:w="581"/>
        <w:gridCol w:w="584"/>
      </w:tblGrid>
      <w:tr w:rsidR="00950ECB" w:rsidTr="00C74A2A">
        <w:trPr>
          <w:jc w:val="center"/>
        </w:trPr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950ECB" w:rsidTr="00C74A2A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950ECB" w:rsidTr="00C74A2A">
        <w:trPr>
          <w:jc w:val="center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950ECB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B" w:rsidRDefault="00AE1308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74A2A" w:rsidTr="00C74A2A">
        <w:trPr>
          <w:trHeight w:val="672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0B478B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0B478B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widowControl/>
              <w:spacing w:line="30" w:lineRule="atLeast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2A" w:rsidRDefault="00C74A2A" w:rsidP="00A77CF8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3</w:t>
            </w:r>
          </w:p>
        </w:tc>
      </w:tr>
    </w:tbl>
    <w:p w:rsidR="00950ECB" w:rsidRDefault="00950ECB">
      <w:pPr>
        <w:widowControl/>
        <w:jc w:val="left"/>
      </w:pP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926501" w:rsidRDefault="007D5B3B" w:rsidP="00372DDB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 w:rsidR="00B438B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市税务局政府信息</w:t>
      </w:r>
      <w:r w:rsidR="006F2321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工作存在的主要问题是依申请公开办件答复的规范性仍需提升。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对此，</w:t>
      </w:r>
      <w:r w:rsidR="00326AD2">
        <w:rPr>
          <w:rFonts w:ascii="仿宋_GB2312" w:eastAsia="仿宋_GB2312" w:hAnsi="宋体" w:cs="宋体" w:hint="eastAsia"/>
          <w:kern w:val="0"/>
          <w:sz w:val="32"/>
          <w:szCs w:val="32"/>
        </w:rPr>
        <w:t>市税务局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在2022</w:t>
      </w:r>
      <w:r w:rsidR="007312B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37965">
        <w:rPr>
          <w:rFonts w:ascii="仿宋_GB2312" w:eastAsia="仿宋_GB2312" w:hAnsi="宋体" w:cs="宋体" w:hint="eastAsia"/>
          <w:kern w:val="0"/>
          <w:sz w:val="32"/>
          <w:szCs w:val="32"/>
        </w:rPr>
        <w:t>重点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加强</w:t>
      </w:r>
      <w:r w:rsidR="00B37965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政府信息公开</w:t>
      </w:r>
      <w:r w:rsidR="00B54F5A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主管部门和政策法规部门</w:t>
      </w:r>
      <w:r w:rsidR="004B7881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8B0E1B">
        <w:rPr>
          <w:rFonts w:ascii="仿宋_GB2312" w:eastAsia="仿宋_GB2312" w:hAnsi="宋体" w:cs="宋体" w:hint="eastAsia"/>
          <w:kern w:val="0"/>
          <w:sz w:val="32"/>
          <w:szCs w:val="32"/>
        </w:rPr>
        <w:t>合作，</w:t>
      </w:r>
      <w:r w:rsidR="00A24AA6">
        <w:rPr>
          <w:rFonts w:ascii="仿宋_GB2312" w:eastAsia="仿宋_GB2312" w:hAnsi="宋体" w:cs="宋体" w:hint="eastAsia"/>
          <w:kern w:val="0"/>
          <w:sz w:val="32"/>
          <w:szCs w:val="32"/>
        </w:rPr>
        <w:t>通过参加法庭观摩现场教学</w:t>
      </w:r>
      <w:r w:rsidR="004B7881">
        <w:rPr>
          <w:rFonts w:ascii="仿宋_GB2312" w:eastAsia="仿宋_GB2312" w:hAnsi="宋体" w:cs="宋体" w:hint="eastAsia"/>
          <w:kern w:val="0"/>
          <w:sz w:val="32"/>
          <w:szCs w:val="32"/>
        </w:rPr>
        <w:t>、讨论相关行政复议案件</w:t>
      </w:r>
      <w:r w:rsidR="00A24AA6">
        <w:rPr>
          <w:rFonts w:ascii="仿宋_GB2312" w:eastAsia="仿宋_GB2312" w:hAnsi="宋体" w:cs="宋体" w:hint="eastAsia"/>
          <w:kern w:val="0"/>
          <w:sz w:val="32"/>
          <w:szCs w:val="32"/>
        </w:rPr>
        <w:t>等方式，增强实务操作能力和水平</w:t>
      </w:r>
      <w:r w:rsidR="004B788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727B7" w:rsidRPr="00D46A81" w:rsidRDefault="00A24AA6" w:rsidP="00372DDB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</w:t>
      </w:r>
      <w:r w:rsidR="00E63BE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26AD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438B9">
        <w:rPr>
          <w:rFonts w:ascii="仿宋_GB2312" w:eastAsia="仿宋_GB2312" w:hAnsi="宋体" w:cs="宋体" w:hint="eastAsia"/>
          <w:kern w:val="0"/>
          <w:sz w:val="32"/>
          <w:szCs w:val="32"/>
        </w:rPr>
        <w:t>市税务局政府信息公开工作还存在一定不足，主要表现在主动公开的推进力度还要加强，政策宣传和解读的精度仍需提升，</w:t>
      </w:r>
      <w:r w:rsidR="00E37045">
        <w:rPr>
          <w:rFonts w:ascii="仿宋_GB2312" w:eastAsia="仿宋_GB2312" w:hAnsi="宋体" w:cs="宋体" w:hint="eastAsia"/>
          <w:kern w:val="0"/>
          <w:sz w:val="32"/>
          <w:szCs w:val="32"/>
        </w:rPr>
        <w:t>公众参与税收决策的机制仍要健全</w:t>
      </w:r>
      <w:r w:rsidR="00E107DA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E3704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394AED">
        <w:rPr>
          <w:rFonts w:ascii="仿宋_GB2312" w:eastAsia="仿宋_GB2312" w:hAnsi="宋体" w:cs="宋体" w:hint="eastAsia"/>
          <w:kern w:val="0"/>
          <w:sz w:val="32"/>
          <w:szCs w:val="32"/>
        </w:rPr>
        <w:t>对此，</w:t>
      </w:r>
      <w:r w:rsidR="001741DB">
        <w:rPr>
          <w:rFonts w:ascii="仿宋_GB2312" w:eastAsia="仿宋_GB2312" w:hAnsi="宋体" w:cs="宋体" w:hint="eastAsia"/>
          <w:kern w:val="0"/>
          <w:sz w:val="32"/>
          <w:szCs w:val="32"/>
        </w:rPr>
        <w:t>市税务局将紧密围绕党中央、国务院关于政府信息公开工作的部署，</w:t>
      </w:r>
      <w:r w:rsidR="004B7FCE">
        <w:rPr>
          <w:rFonts w:ascii="仿宋_GB2312" w:eastAsia="仿宋_GB2312" w:hAnsi="宋体" w:cs="宋体" w:hint="eastAsia"/>
          <w:kern w:val="0"/>
          <w:sz w:val="32"/>
          <w:szCs w:val="32"/>
        </w:rPr>
        <w:t>不断</w:t>
      </w:r>
      <w:r w:rsidR="001741DB">
        <w:rPr>
          <w:rFonts w:ascii="仿宋_GB2312" w:eastAsia="仿宋_GB2312" w:hAnsi="宋体" w:cs="宋体" w:hint="eastAsia"/>
          <w:kern w:val="0"/>
          <w:sz w:val="32"/>
          <w:szCs w:val="32"/>
        </w:rPr>
        <w:t>丰富宣传</w:t>
      </w:r>
      <w:r w:rsidR="004B7FC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1741DB">
        <w:rPr>
          <w:rFonts w:ascii="仿宋_GB2312" w:eastAsia="仿宋_GB2312" w:hAnsi="宋体" w:cs="宋体" w:hint="eastAsia"/>
          <w:kern w:val="0"/>
          <w:sz w:val="32"/>
          <w:szCs w:val="32"/>
        </w:rPr>
        <w:t>载体</w:t>
      </w:r>
      <w:r w:rsidR="00966DC3">
        <w:rPr>
          <w:rFonts w:ascii="仿宋_GB2312" w:eastAsia="仿宋_GB2312" w:hAnsi="宋体" w:cs="宋体" w:hint="eastAsia"/>
          <w:kern w:val="0"/>
          <w:sz w:val="32"/>
          <w:szCs w:val="32"/>
        </w:rPr>
        <w:t>和形式，以高质量的公开推进税收治理能力现代化。</w:t>
      </w:r>
    </w:p>
    <w:p w:rsidR="00950ECB" w:rsidRDefault="00AE1308" w:rsidP="00372DDB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950ECB" w:rsidRDefault="00CD39E1" w:rsidP="00372DDB">
      <w:pPr>
        <w:pStyle w:val="a5"/>
        <w:widowControl/>
        <w:spacing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无。</w:t>
      </w:r>
    </w:p>
    <w:sectPr w:rsidR="00950ECB" w:rsidSect="009B781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72" w:rsidRDefault="00A81472" w:rsidP="0001241D">
      <w:r>
        <w:separator/>
      </w:r>
    </w:p>
  </w:endnote>
  <w:endnote w:type="continuationSeparator" w:id="0">
    <w:p w:rsidR="00A81472" w:rsidRDefault="00A81472" w:rsidP="0001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C382294-7865-4403-8551-A60BB74DB4A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51A0C90-B864-4996-9965-6B545A5F8457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420507B4-20DB-477A-ACDD-A68E8B8308D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4D1B739-7D28-4B1D-866F-7D4ED02E1E34}"/>
    <w:embedBold r:id="rId5" w:subsetted="1" w:fontKey="{9BF43F61-E810-4703-9930-4C23ADC08BF8}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4D526BEC-EB37-43F1-9F70-1E9C9533105D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7" w:subsetted="1" w:fontKey="{0C263AE5-8470-4DA1-B7C3-9AE5348A6221}"/>
  </w:font>
  <w:font w:name="楷体">
    <w:altName w:val="Arial Unicode MS"/>
    <w:charset w:val="86"/>
    <w:family w:val="auto"/>
    <w:pitch w:val="default"/>
    <w:sig w:usb0="00000000" w:usb1="00000000" w:usb2="00000016" w:usb3="00000000" w:csb0="00040001" w:csb1="00000000"/>
    <w:embedRegular r:id="rId8" w:subsetted="1" w:fontKey="{39CD8E3C-F688-45E2-A906-FEDB11A6551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72" w:rsidRDefault="00A81472" w:rsidP="0001241D">
      <w:r>
        <w:separator/>
      </w:r>
    </w:p>
  </w:footnote>
  <w:footnote w:type="continuationSeparator" w:id="0">
    <w:p w:rsidR="00A81472" w:rsidRDefault="00A81472" w:rsidP="00012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38B1E27"/>
    <w:rsid w:val="00000545"/>
    <w:rsid w:val="00000CFA"/>
    <w:rsid w:val="00011537"/>
    <w:rsid w:val="0001241D"/>
    <w:rsid w:val="000462D5"/>
    <w:rsid w:val="00056493"/>
    <w:rsid w:val="000607FD"/>
    <w:rsid w:val="00072AA7"/>
    <w:rsid w:val="000A5842"/>
    <w:rsid w:val="000B478B"/>
    <w:rsid w:val="000F27F1"/>
    <w:rsid w:val="000F2C31"/>
    <w:rsid w:val="001038D2"/>
    <w:rsid w:val="00106729"/>
    <w:rsid w:val="00107806"/>
    <w:rsid w:val="001153B2"/>
    <w:rsid w:val="00117882"/>
    <w:rsid w:val="00122810"/>
    <w:rsid w:val="00126075"/>
    <w:rsid w:val="00137438"/>
    <w:rsid w:val="00143DF2"/>
    <w:rsid w:val="00147A3E"/>
    <w:rsid w:val="001673F8"/>
    <w:rsid w:val="001720BD"/>
    <w:rsid w:val="001741DB"/>
    <w:rsid w:val="001770E2"/>
    <w:rsid w:val="00181316"/>
    <w:rsid w:val="001852A0"/>
    <w:rsid w:val="001917FB"/>
    <w:rsid w:val="001A68AC"/>
    <w:rsid w:val="001B0D27"/>
    <w:rsid w:val="001B2444"/>
    <w:rsid w:val="001B46D0"/>
    <w:rsid w:val="001B4AD3"/>
    <w:rsid w:val="001C31DA"/>
    <w:rsid w:val="001F73C2"/>
    <w:rsid w:val="00214B63"/>
    <w:rsid w:val="0023385D"/>
    <w:rsid w:val="002339D3"/>
    <w:rsid w:val="0024428D"/>
    <w:rsid w:val="002476B3"/>
    <w:rsid w:val="00283F46"/>
    <w:rsid w:val="0028437E"/>
    <w:rsid w:val="002924B9"/>
    <w:rsid w:val="002A20FA"/>
    <w:rsid w:val="002B1197"/>
    <w:rsid w:val="002B17D0"/>
    <w:rsid w:val="002B6854"/>
    <w:rsid w:val="002C0AE1"/>
    <w:rsid w:val="002C5648"/>
    <w:rsid w:val="002C723E"/>
    <w:rsid w:val="002C7A65"/>
    <w:rsid w:val="003008A8"/>
    <w:rsid w:val="00304966"/>
    <w:rsid w:val="003052B3"/>
    <w:rsid w:val="00312AAB"/>
    <w:rsid w:val="00312CDA"/>
    <w:rsid w:val="00317F41"/>
    <w:rsid w:val="00326AD2"/>
    <w:rsid w:val="00336B41"/>
    <w:rsid w:val="003405FC"/>
    <w:rsid w:val="00366D7A"/>
    <w:rsid w:val="00372DDB"/>
    <w:rsid w:val="00373232"/>
    <w:rsid w:val="00394AED"/>
    <w:rsid w:val="00397E9C"/>
    <w:rsid w:val="003A0DD7"/>
    <w:rsid w:val="003A709F"/>
    <w:rsid w:val="003B2685"/>
    <w:rsid w:val="003B755B"/>
    <w:rsid w:val="003B79D6"/>
    <w:rsid w:val="003C2799"/>
    <w:rsid w:val="003C286C"/>
    <w:rsid w:val="003C394F"/>
    <w:rsid w:val="003D18B9"/>
    <w:rsid w:val="003D29E9"/>
    <w:rsid w:val="003D386E"/>
    <w:rsid w:val="003D46E6"/>
    <w:rsid w:val="003D795F"/>
    <w:rsid w:val="003F6B55"/>
    <w:rsid w:val="004144FE"/>
    <w:rsid w:val="00432393"/>
    <w:rsid w:val="004568E9"/>
    <w:rsid w:val="00473AEF"/>
    <w:rsid w:val="004827B6"/>
    <w:rsid w:val="004844F6"/>
    <w:rsid w:val="004A0386"/>
    <w:rsid w:val="004A0E57"/>
    <w:rsid w:val="004B0976"/>
    <w:rsid w:val="004B7881"/>
    <w:rsid w:val="004B7FCE"/>
    <w:rsid w:val="004C58D7"/>
    <w:rsid w:val="004D0202"/>
    <w:rsid w:val="004E18AE"/>
    <w:rsid w:val="004F2201"/>
    <w:rsid w:val="005006A8"/>
    <w:rsid w:val="0051382B"/>
    <w:rsid w:val="00544671"/>
    <w:rsid w:val="00564DB8"/>
    <w:rsid w:val="00567027"/>
    <w:rsid w:val="0057358E"/>
    <w:rsid w:val="005921E4"/>
    <w:rsid w:val="005A0C69"/>
    <w:rsid w:val="005C3B7B"/>
    <w:rsid w:val="005E024A"/>
    <w:rsid w:val="005E79C9"/>
    <w:rsid w:val="005F68D8"/>
    <w:rsid w:val="00600101"/>
    <w:rsid w:val="006104EE"/>
    <w:rsid w:val="00634DED"/>
    <w:rsid w:val="00637352"/>
    <w:rsid w:val="0066308D"/>
    <w:rsid w:val="006727B7"/>
    <w:rsid w:val="00672A95"/>
    <w:rsid w:val="006816C9"/>
    <w:rsid w:val="006A216F"/>
    <w:rsid w:val="006A30F7"/>
    <w:rsid w:val="006A3363"/>
    <w:rsid w:val="006B4C27"/>
    <w:rsid w:val="006B7943"/>
    <w:rsid w:val="006C75F0"/>
    <w:rsid w:val="006E45C5"/>
    <w:rsid w:val="006F2321"/>
    <w:rsid w:val="00703657"/>
    <w:rsid w:val="007044F6"/>
    <w:rsid w:val="00723AEE"/>
    <w:rsid w:val="00727137"/>
    <w:rsid w:val="007312BA"/>
    <w:rsid w:val="00735423"/>
    <w:rsid w:val="00735C58"/>
    <w:rsid w:val="0074160D"/>
    <w:rsid w:val="00743F9F"/>
    <w:rsid w:val="0076095D"/>
    <w:rsid w:val="00771FFB"/>
    <w:rsid w:val="007752DC"/>
    <w:rsid w:val="00776014"/>
    <w:rsid w:val="007873D7"/>
    <w:rsid w:val="0079728E"/>
    <w:rsid w:val="007A5BD8"/>
    <w:rsid w:val="007A7F71"/>
    <w:rsid w:val="007C3ED3"/>
    <w:rsid w:val="007C7E8B"/>
    <w:rsid w:val="007D5B3B"/>
    <w:rsid w:val="007D5D44"/>
    <w:rsid w:val="007E18B3"/>
    <w:rsid w:val="007E2521"/>
    <w:rsid w:val="007F5A18"/>
    <w:rsid w:val="00805A2F"/>
    <w:rsid w:val="00814112"/>
    <w:rsid w:val="00830E71"/>
    <w:rsid w:val="00831FC0"/>
    <w:rsid w:val="00840BE0"/>
    <w:rsid w:val="00844187"/>
    <w:rsid w:val="00852E0F"/>
    <w:rsid w:val="00870F35"/>
    <w:rsid w:val="00895DC7"/>
    <w:rsid w:val="008A0A7A"/>
    <w:rsid w:val="008A0ADA"/>
    <w:rsid w:val="008A6AAC"/>
    <w:rsid w:val="008B0E1B"/>
    <w:rsid w:val="008B60C9"/>
    <w:rsid w:val="008C41E9"/>
    <w:rsid w:val="008F22EF"/>
    <w:rsid w:val="008F672A"/>
    <w:rsid w:val="00902198"/>
    <w:rsid w:val="00903034"/>
    <w:rsid w:val="00903E78"/>
    <w:rsid w:val="00904AFE"/>
    <w:rsid w:val="00906796"/>
    <w:rsid w:val="00922065"/>
    <w:rsid w:val="00926501"/>
    <w:rsid w:val="00931F7D"/>
    <w:rsid w:val="00950ECB"/>
    <w:rsid w:val="00964806"/>
    <w:rsid w:val="00966DC3"/>
    <w:rsid w:val="009721B6"/>
    <w:rsid w:val="00975D6C"/>
    <w:rsid w:val="00987764"/>
    <w:rsid w:val="009A288C"/>
    <w:rsid w:val="009A56DC"/>
    <w:rsid w:val="009B781A"/>
    <w:rsid w:val="009C3651"/>
    <w:rsid w:val="009C5530"/>
    <w:rsid w:val="009D20B1"/>
    <w:rsid w:val="009E310D"/>
    <w:rsid w:val="009E62FD"/>
    <w:rsid w:val="009E6527"/>
    <w:rsid w:val="009F4879"/>
    <w:rsid w:val="009F5B75"/>
    <w:rsid w:val="00A025CD"/>
    <w:rsid w:val="00A24AA6"/>
    <w:rsid w:val="00A25654"/>
    <w:rsid w:val="00A30B10"/>
    <w:rsid w:val="00A36828"/>
    <w:rsid w:val="00A4165F"/>
    <w:rsid w:val="00A57676"/>
    <w:rsid w:val="00A70B70"/>
    <w:rsid w:val="00A73113"/>
    <w:rsid w:val="00A7408D"/>
    <w:rsid w:val="00A77CF8"/>
    <w:rsid w:val="00A81472"/>
    <w:rsid w:val="00A9764C"/>
    <w:rsid w:val="00AA18D0"/>
    <w:rsid w:val="00AB2445"/>
    <w:rsid w:val="00AB7D06"/>
    <w:rsid w:val="00AC08D1"/>
    <w:rsid w:val="00AE0BA7"/>
    <w:rsid w:val="00AE1308"/>
    <w:rsid w:val="00AE55C6"/>
    <w:rsid w:val="00AE6F17"/>
    <w:rsid w:val="00AE6F50"/>
    <w:rsid w:val="00B00AE5"/>
    <w:rsid w:val="00B1301F"/>
    <w:rsid w:val="00B17A6A"/>
    <w:rsid w:val="00B32CEA"/>
    <w:rsid w:val="00B33FF5"/>
    <w:rsid w:val="00B37965"/>
    <w:rsid w:val="00B438B9"/>
    <w:rsid w:val="00B54F5A"/>
    <w:rsid w:val="00B75E90"/>
    <w:rsid w:val="00B77057"/>
    <w:rsid w:val="00B82A17"/>
    <w:rsid w:val="00B84774"/>
    <w:rsid w:val="00B863D9"/>
    <w:rsid w:val="00B9504E"/>
    <w:rsid w:val="00B97819"/>
    <w:rsid w:val="00BB5CA1"/>
    <w:rsid w:val="00BC0D9A"/>
    <w:rsid w:val="00BD1536"/>
    <w:rsid w:val="00BF172B"/>
    <w:rsid w:val="00BF2142"/>
    <w:rsid w:val="00BF5247"/>
    <w:rsid w:val="00C051AE"/>
    <w:rsid w:val="00C10A23"/>
    <w:rsid w:val="00C14F59"/>
    <w:rsid w:val="00C17E70"/>
    <w:rsid w:val="00C2543C"/>
    <w:rsid w:val="00C26C01"/>
    <w:rsid w:val="00C275AE"/>
    <w:rsid w:val="00C30FA2"/>
    <w:rsid w:val="00C477B4"/>
    <w:rsid w:val="00C50657"/>
    <w:rsid w:val="00C52762"/>
    <w:rsid w:val="00C658B6"/>
    <w:rsid w:val="00C7236F"/>
    <w:rsid w:val="00C74A2A"/>
    <w:rsid w:val="00C957C6"/>
    <w:rsid w:val="00CA07A9"/>
    <w:rsid w:val="00CA1AA3"/>
    <w:rsid w:val="00CA701B"/>
    <w:rsid w:val="00CA7C2D"/>
    <w:rsid w:val="00CB07C4"/>
    <w:rsid w:val="00CB224B"/>
    <w:rsid w:val="00CB24ED"/>
    <w:rsid w:val="00CB295B"/>
    <w:rsid w:val="00CC0B64"/>
    <w:rsid w:val="00CC46DB"/>
    <w:rsid w:val="00CD39E1"/>
    <w:rsid w:val="00CD3B71"/>
    <w:rsid w:val="00CD7386"/>
    <w:rsid w:val="00CE16E5"/>
    <w:rsid w:val="00CE2029"/>
    <w:rsid w:val="00CE45A2"/>
    <w:rsid w:val="00CF60CF"/>
    <w:rsid w:val="00D02F50"/>
    <w:rsid w:val="00D11D07"/>
    <w:rsid w:val="00D25F7F"/>
    <w:rsid w:val="00D352BA"/>
    <w:rsid w:val="00D46A81"/>
    <w:rsid w:val="00D51D98"/>
    <w:rsid w:val="00D533AC"/>
    <w:rsid w:val="00D56711"/>
    <w:rsid w:val="00D70F2D"/>
    <w:rsid w:val="00D71ED1"/>
    <w:rsid w:val="00D75F00"/>
    <w:rsid w:val="00D80435"/>
    <w:rsid w:val="00D843DE"/>
    <w:rsid w:val="00D95E1B"/>
    <w:rsid w:val="00DD34BD"/>
    <w:rsid w:val="00DD5E50"/>
    <w:rsid w:val="00DE207B"/>
    <w:rsid w:val="00DF0079"/>
    <w:rsid w:val="00DF0613"/>
    <w:rsid w:val="00DF2E5E"/>
    <w:rsid w:val="00E07BEF"/>
    <w:rsid w:val="00E107DA"/>
    <w:rsid w:val="00E129BC"/>
    <w:rsid w:val="00E16092"/>
    <w:rsid w:val="00E17244"/>
    <w:rsid w:val="00E24D4C"/>
    <w:rsid w:val="00E37045"/>
    <w:rsid w:val="00E37A5F"/>
    <w:rsid w:val="00E50F86"/>
    <w:rsid w:val="00E5677F"/>
    <w:rsid w:val="00E56FC2"/>
    <w:rsid w:val="00E57AD7"/>
    <w:rsid w:val="00E63BE2"/>
    <w:rsid w:val="00E65DBC"/>
    <w:rsid w:val="00E7191E"/>
    <w:rsid w:val="00E8161C"/>
    <w:rsid w:val="00EC518F"/>
    <w:rsid w:val="00ED4D12"/>
    <w:rsid w:val="00EE63C5"/>
    <w:rsid w:val="00F200E2"/>
    <w:rsid w:val="00F20D80"/>
    <w:rsid w:val="00F22984"/>
    <w:rsid w:val="00F31528"/>
    <w:rsid w:val="00F35D0B"/>
    <w:rsid w:val="00F4442A"/>
    <w:rsid w:val="00F559C4"/>
    <w:rsid w:val="00F67914"/>
    <w:rsid w:val="00F74836"/>
    <w:rsid w:val="00F84A6A"/>
    <w:rsid w:val="00F86002"/>
    <w:rsid w:val="00F95863"/>
    <w:rsid w:val="00FA4818"/>
    <w:rsid w:val="00FB59ED"/>
    <w:rsid w:val="00FD17B4"/>
    <w:rsid w:val="00FD1D37"/>
    <w:rsid w:val="00FE673E"/>
    <w:rsid w:val="00FF1262"/>
    <w:rsid w:val="15722991"/>
    <w:rsid w:val="238B1E27"/>
    <w:rsid w:val="246E2621"/>
    <w:rsid w:val="380214FF"/>
    <w:rsid w:val="397119C0"/>
    <w:rsid w:val="435D1D0D"/>
    <w:rsid w:val="460B0EC3"/>
    <w:rsid w:val="79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50ECB"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950E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50ECB"/>
    <w:rPr>
      <w:kern w:val="2"/>
      <w:sz w:val="18"/>
      <w:szCs w:val="18"/>
    </w:rPr>
  </w:style>
  <w:style w:type="character" w:customStyle="1" w:styleId="16">
    <w:name w:val="16"/>
    <w:qFormat/>
    <w:rsid w:val="00C52762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5</Pages>
  <Words>389</Words>
  <Characters>2221</Characters>
  <Application>Microsoft Office Word</Application>
  <DocSecurity>0</DocSecurity>
  <Lines>18</Lines>
  <Paragraphs>5</Paragraphs>
  <ScaleCrop>false</ScaleCrop>
  <Company>Delph7.com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张成</cp:lastModifiedBy>
  <cp:revision>321</cp:revision>
  <cp:lastPrinted>2022-01-05T02:30:00Z</cp:lastPrinted>
  <dcterms:created xsi:type="dcterms:W3CDTF">2021-12-21T15:19:00Z</dcterms:created>
  <dcterms:modified xsi:type="dcterms:W3CDTF">2023-02-17T09:24:00Z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