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国家税务总局武汉市青山区税务局</w:t>
      </w: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年信息公开年度工作报告</w:t>
      </w:r>
    </w:p>
    <w:p>
      <w:pPr>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仿宋_GB2312" w:eastAsia="仿宋_GB2312"/>
          <w:color w:val="00000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武汉市</w:t>
      </w:r>
      <w:r>
        <w:rPr>
          <w:rFonts w:hint="eastAsia" w:ascii="仿宋_GB2312" w:hAnsi="仿宋_GB2312" w:eastAsia="仿宋_GB2312" w:cs="仿宋_GB2312"/>
          <w:sz w:val="32"/>
          <w:szCs w:val="32"/>
        </w:rPr>
        <w:t>青山区税务局认真贯彻《中华人民共和国政府信息公开条例》，严格落实《国家税务总局关于全面推进政务公开工作的实施办法》要求，坚持人民至上理念，以公开为常态、不公开为例外，推进政府信息公开工作不断走深走实，切实保障人民群众知情权，全年没有</w:t>
      </w:r>
      <w:r>
        <w:rPr>
          <w:rFonts w:hint="eastAsia" w:ascii="仿宋_GB2312" w:eastAsia="仿宋_GB2312"/>
          <w:color w:val="000000"/>
          <w:sz w:val="32"/>
          <w:szCs w:val="32"/>
        </w:rPr>
        <w:t>发生因信息公开或不公开引起的行政复议和提起行政诉讼情况，</w:t>
      </w:r>
      <w:bookmarkStart w:id="0" w:name="_GoBack"/>
      <w:bookmarkEnd w:id="0"/>
      <w:r>
        <w:rPr>
          <w:rFonts w:hint="eastAsia" w:ascii="仿宋_GB2312" w:eastAsia="仿宋_GB2312"/>
          <w:color w:val="000000"/>
          <w:sz w:val="32"/>
          <w:szCs w:val="32"/>
        </w:rPr>
        <w:t>没有产生信息公开舆情。</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（一）主动公开情况。</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通过武汉市税务局和青山区政府信息公开平台</w:t>
      </w:r>
      <w:r>
        <w:rPr>
          <w:rFonts w:hint="eastAsia" w:ascii="仿宋_GB2312" w:hAnsi="仿宋_GB2312" w:eastAsia="仿宋_GB2312" w:cs="仿宋_GB2312"/>
          <w:sz w:val="32"/>
          <w:szCs w:val="32"/>
          <w:lang w:eastAsia="zh-CN"/>
        </w:rPr>
        <w:t>主动公开涉及公众利益、需要广泛知晓和公众参与决策的信息，具体包括：</w:t>
      </w:r>
      <w:r>
        <w:rPr>
          <w:rFonts w:hint="eastAsia" w:ascii="仿宋_GB2312" w:hAnsi="仿宋_GB2312" w:eastAsia="仿宋_GB2312" w:cs="仿宋_GB2312"/>
          <w:sz w:val="32"/>
          <w:szCs w:val="32"/>
        </w:rPr>
        <w:t>领导简介、机构设置、主要职能、行业概况、工作计划、工作动态、税收政策法规、税收征管制度、办税指南、行政许可规定、非许可审批、政府采购</w:t>
      </w:r>
      <w:r>
        <w:rPr>
          <w:rFonts w:hint="eastAsia" w:ascii="仿宋_GB2312" w:hAnsi="仿宋_GB2312" w:eastAsia="仿宋_GB2312" w:cs="仿宋_GB2312"/>
          <w:sz w:val="32"/>
          <w:szCs w:val="32"/>
          <w:lang w:eastAsia="zh-CN"/>
        </w:rPr>
        <w:t>等信息。同时，拓宽公开渠道和形式，</w:t>
      </w:r>
      <w:r>
        <w:rPr>
          <w:rFonts w:hint="eastAsia" w:ascii="仿宋_GB2312" w:hAnsi="仿宋_GB2312" w:eastAsia="仿宋_GB2312" w:cs="仿宋_GB2312"/>
          <w:sz w:val="32"/>
          <w:szCs w:val="32"/>
        </w:rPr>
        <w:t>综合利用各类纳税辅导培训、宣传栏、</w:t>
      </w:r>
      <w:r>
        <w:rPr>
          <w:rFonts w:hint="eastAsia" w:ascii="仿宋_GB2312" w:hAnsi="仿宋_GB2312" w:eastAsia="仿宋_GB2312" w:cs="仿宋_GB2312"/>
          <w:sz w:val="32"/>
          <w:szCs w:val="32"/>
          <w:lang w:eastAsia="zh-CN"/>
        </w:rPr>
        <w:t>办税服务厅</w:t>
      </w:r>
      <w:r>
        <w:rPr>
          <w:rFonts w:hint="eastAsia" w:ascii="仿宋_GB2312" w:hAnsi="仿宋_GB2312" w:eastAsia="仿宋_GB2312" w:cs="仿宋_GB2312"/>
          <w:sz w:val="32"/>
          <w:szCs w:val="32"/>
        </w:rPr>
        <w:t>电子显示屏</w:t>
      </w:r>
      <w:r>
        <w:rPr>
          <w:rFonts w:hint="eastAsia" w:ascii="仿宋_GB2312" w:hAnsi="仿宋_GB2312" w:eastAsia="仿宋_GB2312" w:cs="仿宋_GB2312"/>
          <w:sz w:val="32"/>
          <w:szCs w:val="32"/>
          <w:lang w:eastAsia="zh-CN"/>
        </w:rPr>
        <w:t>、热线电话、网络</w:t>
      </w:r>
      <w:r>
        <w:rPr>
          <w:rFonts w:hint="eastAsia" w:ascii="仿宋_GB2312" w:hAnsi="仿宋_GB2312" w:eastAsia="仿宋_GB2312" w:cs="仿宋_GB2312"/>
          <w:sz w:val="32"/>
          <w:szCs w:val="32"/>
          <w:lang w:val="en-US" w:eastAsia="zh-CN"/>
        </w:rPr>
        <w:t>APP</w:t>
      </w:r>
      <w:r>
        <w:rPr>
          <w:rFonts w:hint="eastAsia" w:ascii="仿宋_GB2312" w:hAnsi="仿宋_GB2312" w:eastAsia="仿宋_GB2312" w:cs="仿宋_GB2312"/>
          <w:sz w:val="32"/>
          <w:szCs w:val="32"/>
        </w:rPr>
        <w:t>等形式，及时公开税收政策、行政处罚、行政许可等各类信息，推进公开信息的电子化，降低纳税人查询成本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（二）依申请公开情况。</w:t>
      </w:r>
      <w:r>
        <w:rPr>
          <w:rFonts w:hint="eastAsia" w:ascii="仿宋_GB2312" w:hAnsi="仿宋_GB2312" w:eastAsia="仿宋_GB2312" w:cs="仿宋_GB2312"/>
          <w:sz w:val="32"/>
          <w:szCs w:val="32"/>
        </w:rPr>
        <w:t>武汉市青山区税务局202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年未收到政府信息公开申请。</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rPr>
        <w:t>（三）政府信息管理情况。</w:t>
      </w:r>
      <w:r>
        <w:rPr>
          <w:rFonts w:hint="eastAsia" w:ascii="仿宋_GB2312" w:hAnsi="仿宋_GB2312" w:eastAsia="仿宋_GB2312" w:cs="仿宋_GB2312"/>
          <w:sz w:val="32"/>
          <w:szCs w:val="32"/>
          <w:lang w:eastAsia="zh-CN"/>
        </w:rPr>
        <w:t>强化对</w:t>
      </w:r>
      <w:r>
        <w:rPr>
          <w:rFonts w:hint="eastAsia" w:ascii="仿宋_GB2312" w:hAnsi="仿宋_GB2312" w:eastAsia="仿宋_GB2312" w:cs="仿宋_GB2312"/>
          <w:sz w:val="32"/>
          <w:szCs w:val="32"/>
        </w:rPr>
        <w:t>执法信息公示平台</w:t>
      </w:r>
      <w:r>
        <w:rPr>
          <w:rFonts w:hint="eastAsia" w:ascii="仿宋_GB2312" w:hAnsi="仿宋_GB2312" w:eastAsia="仿宋_GB2312" w:cs="仿宋_GB2312"/>
          <w:sz w:val="32"/>
          <w:szCs w:val="32"/>
          <w:lang w:eastAsia="zh-CN"/>
        </w:rPr>
        <w:t>的管理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深入推行行政执法公示制度，按照“谁产生，谁采集，谁负责”的原则，在税务行政执法的事前、事中、事后三个环节，做到应公开尽公开，确保执法信息的公开透明。加强公文管理，</w:t>
      </w:r>
      <w:r>
        <w:rPr>
          <w:rFonts w:hint="eastAsia" w:ascii="仿宋_GB2312" w:eastAsia="仿宋_GB2312"/>
          <w:sz w:val="32"/>
          <w:szCs w:val="32"/>
        </w:rPr>
        <w:t>公文拟制部门根据公文内容，</w:t>
      </w:r>
      <w:r>
        <w:rPr>
          <w:rFonts w:hint="eastAsia" w:ascii="仿宋_GB2312" w:hAnsi="仿宋_GB2312" w:eastAsia="仿宋_GB2312" w:cs="仿宋_GB2312"/>
          <w:sz w:val="32"/>
          <w:szCs w:val="32"/>
        </w:rPr>
        <w:t>对拟公</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的执法信息进行</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审核，确保及时、安全、高效信息公</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完成内外网栏目更新，及时更新工作动态、发布税收政策、完成信息公开报告；针对税务机构调整和领导干部调整情况，及时修改了领导简介、机构设置等内容，确保公开信息及时更新。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（四）平台建设</w:t>
      </w:r>
      <w:r>
        <w:rPr>
          <w:rFonts w:hint="eastAsia" w:ascii="楷体_GB2312" w:hAnsi="楷体_GB2312" w:eastAsia="楷体_GB2312" w:cs="楷体_GB2312"/>
          <w:b/>
          <w:bCs/>
          <w:sz w:val="32"/>
          <w:szCs w:val="32"/>
          <w:lang w:eastAsia="zh-CN"/>
        </w:rPr>
        <w:t>情况。</w:t>
      </w:r>
      <w:r>
        <w:rPr>
          <w:rFonts w:hint="eastAsia" w:ascii="仿宋_GB2312" w:hAnsi="仿宋_GB2312" w:eastAsia="仿宋_GB2312" w:cs="仿宋_GB2312"/>
          <w:sz w:val="32"/>
          <w:szCs w:val="32"/>
          <w:lang w:eastAsia="zh-CN"/>
        </w:rPr>
        <w:t>安排专人定期查看</w:t>
      </w:r>
      <w:r>
        <w:rPr>
          <w:rFonts w:hint="eastAsia" w:ascii="仿宋_GB2312" w:hAnsi="仿宋_GB2312" w:eastAsia="仿宋_GB2312" w:cs="仿宋_GB2312"/>
          <w:sz w:val="32"/>
          <w:szCs w:val="32"/>
        </w:rPr>
        <w:t>武汉市税务局外网和青山区政府信息公示平台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w:t>
      </w:r>
      <w:r>
        <w:rPr>
          <w:rFonts w:hint="eastAsia" w:ascii="仿宋_GB2312" w:hAnsi="仿宋_GB2312" w:eastAsia="仿宋_GB2312" w:cs="仿宋_GB2312"/>
          <w:sz w:val="32"/>
          <w:szCs w:val="32"/>
          <w:lang w:eastAsia="zh-CN"/>
        </w:rPr>
        <w:t>关注</w:t>
      </w:r>
      <w:r>
        <w:rPr>
          <w:rFonts w:hint="eastAsia" w:ascii="仿宋_GB2312" w:hAnsi="仿宋_GB2312" w:eastAsia="仿宋_GB2312" w:cs="仿宋_GB2312"/>
          <w:sz w:val="32"/>
          <w:szCs w:val="32"/>
        </w:rPr>
        <w:t>信息公开动态和申请情况</w:t>
      </w:r>
      <w:r>
        <w:rPr>
          <w:rFonts w:hint="eastAsia" w:ascii="仿宋_GB2312" w:hAnsi="仿宋_GB2312" w:eastAsia="仿宋_GB2312" w:cs="仿宋_GB2312"/>
          <w:sz w:val="32"/>
          <w:szCs w:val="32"/>
          <w:lang w:eastAsia="zh-CN"/>
        </w:rPr>
        <w:t>，及时发布公开内容。</w:t>
      </w:r>
      <w:r>
        <w:rPr>
          <w:rFonts w:hint="eastAsia" w:ascii="仿宋_GB2312" w:hAnsi="仿宋_GB2312" w:eastAsia="仿宋_GB2312" w:cs="仿宋_GB2312"/>
          <w:sz w:val="32"/>
          <w:szCs w:val="32"/>
          <w:lang w:val="zh-CN"/>
        </w:rPr>
        <w:t>2022年，通过执法信息公示平台主动公开信息3176条，其中准予行政许可的结果2719条，税务行政普通程序处罚结果13条，非正常户认定信息338条、欠税信息102条、执法人员信息1条，监督救济信息1条，享受安置残疾人增值税优惠政策纳税人信息2条。向青山区人民政府报送信息73条，提供涉税信息查询</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件，共</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val="zh-CN"/>
        </w:rPr>
        <w:t>户次。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监督保障</w:t>
      </w:r>
      <w:r>
        <w:rPr>
          <w:rFonts w:hint="eastAsia" w:ascii="楷体_GB2312" w:hAnsi="楷体_GB2312" w:eastAsia="楷体_GB2312" w:cs="楷体_GB2312"/>
          <w:b/>
          <w:bCs/>
          <w:sz w:val="32"/>
          <w:szCs w:val="32"/>
          <w:lang w:eastAsia="zh-CN"/>
        </w:rPr>
        <w:t>情况</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将信息公开工作纳入绩效考核，专岗专责，</w:t>
      </w:r>
      <w:r>
        <w:rPr>
          <w:rFonts w:hint="eastAsia" w:ascii="仿宋_GB2312" w:hAnsi="仿宋_GB2312" w:eastAsia="仿宋_GB2312" w:cs="仿宋_GB2312"/>
          <w:sz w:val="32"/>
          <w:szCs w:val="32"/>
          <w:lang w:eastAsia="zh-CN"/>
        </w:rPr>
        <w:t>完成政务公开评估发现问题和</w:t>
      </w:r>
      <w:r>
        <w:rPr>
          <w:rFonts w:hint="eastAsia" w:ascii="仿宋_GB2312" w:hAnsi="仿宋_GB2312" w:eastAsia="仿宋_GB2312" w:cs="仿宋_GB2312"/>
          <w:sz w:val="32"/>
          <w:szCs w:val="32"/>
          <w:lang w:val="en-US" w:eastAsia="zh-CN"/>
        </w:rPr>
        <w:t>公开内容不完整问题的</w:t>
      </w:r>
      <w:r>
        <w:rPr>
          <w:rFonts w:hint="eastAsia" w:ascii="仿宋_GB2312" w:hAnsi="仿宋_GB2312" w:eastAsia="仿宋_GB2312" w:cs="仿宋_GB2312"/>
          <w:sz w:val="32"/>
          <w:szCs w:val="32"/>
          <w:lang w:eastAsia="zh-CN"/>
        </w:rPr>
        <w:t>自查整改。</w:t>
      </w:r>
      <w:r>
        <w:rPr>
          <w:rFonts w:hint="eastAsia" w:ascii="仿宋_GB2312" w:hAnsi="仿宋_GB2312" w:eastAsia="仿宋_GB2312" w:cs="仿宋_GB2312"/>
          <w:sz w:val="32"/>
          <w:szCs w:val="32"/>
        </w:rPr>
        <w:t>组织各部门保密联络员开展信息公开和保密工作培训，专门就保密工作要求、信息公开目录设置、信息公开网站信息发布、信息公开与保密审查要求、信息公开工作中存在的问题等具体工作进行提醒说明，为信息公开工作的有序开展奠定了坚实基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及时主动公开信息，最大限度保障公众知情权、参与权、监督权。</w:t>
      </w:r>
    </w:p>
    <w:tbl>
      <w:tblPr>
        <w:tblStyle w:val="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39"/>
        <w:gridCol w:w="2240"/>
        <w:gridCol w:w="224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firstLine="2520" w:firstLineChars="1200"/>
              <w:jc w:val="left"/>
              <w:rPr>
                <w:sz w:val="21"/>
                <w:szCs w:val="21"/>
              </w:rPr>
            </w:pPr>
            <w:r>
              <w:rPr>
                <w:rFonts w:hint="default" w:ascii="Calibri" w:hAnsi="Calibri" w:eastAsia="宋体" w:cs="Calibri"/>
                <w:color w:val="333333"/>
                <w:kern w:val="2"/>
                <w:sz w:val="21"/>
                <w:szCs w:val="21"/>
                <w:lang w:val="en-US" w:eastAsia="zh-CN" w:bidi="ar"/>
              </w:rPr>
              <w:t> 2719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2730" w:firstLineChars="1300"/>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2022年未收到政府信息公开申请。</w:t>
      </w:r>
    </w:p>
    <w:tbl>
      <w:tblPr>
        <w:tblStyle w:val="6"/>
        <w:tblW w:w="499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0" w:type="dxa"/>
          <w:left w:w="57" w:type="dxa"/>
          <w:bottom w:w="0" w:type="dxa"/>
          <w:right w:w="57" w:type="dxa"/>
        </w:tblCellMar>
      </w:tblPr>
      <w:tblGrid>
        <w:gridCol w:w="695"/>
        <w:gridCol w:w="850"/>
        <w:gridCol w:w="3028"/>
        <w:gridCol w:w="632"/>
        <w:gridCol w:w="632"/>
        <w:gridCol w:w="632"/>
        <w:gridCol w:w="632"/>
        <w:gridCol w:w="633"/>
        <w:gridCol w:w="639"/>
        <w:gridCol w:w="6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57" w:type="dxa"/>
            <w:bottom w:w="0" w:type="dxa"/>
            <w:right w:w="57" w:type="dxa"/>
          </w:tblCellMar>
        </w:tblPrEx>
        <w:trPr>
          <w:jc w:val="center"/>
        </w:trPr>
        <w:tc>
          <w:tcPr>
            <w:tcW w:w="2539" w:type="pct"/>
            <w:gridSpan w:val="3"/>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0" w:type="pct"/>
            <w:gridSpan w:val="7"/>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2539" w:type="pct"/>
            <w:gridSpan w:val="3"/>
            <w:vMerge w:val="continue"/>
            <w:tcBorders>
              <w:tl2br w:val="nil"/>
              <w:tr2bl w:val="nil"/>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2539" w:type="pct"/>
            <w:gridSpan w:val="3"/>
            <w:vMerge w:val="continue"/>
            <w:tcBorders>
              <w:tl2br w:val="nil"/>
              <w:tr2bl w:val="nil"/>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l2br w:val="nil"/>
              <w:tr2bl w:val="nil"/>
            </w:tcBorders>
            <w:shd w:val="clear" w:color="auto" w:fill="auto"/>
            <w:vAlign w:val="center"/>
          </w:tcPr>
          <w:p>
            <w:pPr>
              <w:jc w:val="left"/>
              <w:rPr>
                <w:rFonts w:hint="eastAsia" w:ascii="宋体" w:hAnsi="宋体" w:eastAsia="宋体" w:cs="宋体"/>
                <w:color w:val="333333"/>
                <w:sz w:val="21"/>
                <w:szCs w:val="21"/>
              </w:rPr>
            </w:pP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l2br w:val="nil"/>
              <w:tr2bl w:val="nil"/>
            </w:tcBorders>
            <w:shd w:val="clear" w:color="auto" w:fill="auto"/>
            <w:vAlign w:val="center"/>
          </w:tcPr>
          <w:p>
            <w:pPr>
              <w:jc w:val="left"/>
              <w:rPr>
                <w:rFonts w:hint="eastAsia" w:ascii="宋体" w:hAnsi="宋体" w:eastAsia="宋体" w:cs="宋体"/>
                <w:color w:val="333333"/>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2539" w:type="pct"/>
            <w:gridSpan w:val="3"/>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xml:space="preserve"> 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2539" w:type="pct"/>
            <w:gridSpan w:val="3"/>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restar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xml:space="preserve">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779" w:hRule="atLeast"/>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79"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386" w:type="pct"/>
            <w:vMerge w:val="continue"/>
            <w:tcBorders>
              <w:tl2br w:val="nil"/>
              <w:tr2bl w:val="nil"/>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jc w:val="center"/>
        </w:trPr>
        <w:tc>
          <w:tcPr>
            <w:tcW w:w="2539" w:type="pct"/>
            <w:gridSpan w:val="3"/>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l2br w:val="nil"/>
              <w:tr2bl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l2br w:val="nil"/>
              <w:tr2bl w:val="nil"/>
            </w:tcBorders>
            <w:shd w:val="clear" w:color="auto" w:fill="auto"/>
            <w:vAlign w:val="top"/>
          </w:tcPr>
          <w:p>
            <w:pPr>
              <w:ind w:firstLine="210" w:firstLineChars="100"/>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2022年没有行政复议、行政诉讼案件。</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1"/>
        <w:gridCol w:w="601"/>
        <w:gridCol w:w="601"/>
        <w:gridCol w:w="601"/>
        <w:gridCol w:w="616"/>
        <w:gridCol w:w="601"/>
        <w:gridCol w:w="602"/>
        <w:gridCol w:w="603"/>
        <w:gridCol w:w="603"/>
        <w:gridCol w:w="609"/>
        <w:gridCol w:w="603"/>
        <w:gridCol w:w="603"/>
        <w:gridCol w:w="603"/>
        <w:gridCol w:w="603"/>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r>
              <w:rPr>
                <w:rFonts w:ascii="黑体" w:hAnsi="宋体" w:eastAsia="黑体" w:cs="黑体"/>
                <w:color w:val="333333"/>
                <w:kern w:val="2"/>
                <w:sz w:val="20"/>
                <w:szCs w:val="20"/>
                <w:lang w:val="en-US" w:eastAsia="zh-CN" w:bidi="ar"/>
              </w:rPr>
              <w:t>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，青山区税务局对照上一年度存在的问题，着力加强</w:t>
      </w:r>
      <w:r>
        <w:rPr>
          <w:rFonts w:hint="eastAsia" w:ascii="仿宋_GB2312" w:hAnsi="仿宋_GB2312" w:eastAsia="仿宋_GB2312" w:cs="仿宋_GB2312"/>
          <w:bCs/>
          <w:sz w:val="32"/>
          <w:szCs w:val="32"/>
        </w:rPr>
        <w:t>对政府信息公开和保密</w:t>
      </w:r>
      <w:r>
        <w:rPr>
          <w:rFonts w:hint="eastAsia" w:ascii="仿宋_GB2312" w:hAnsi="仿宋_GB2312" w:eastAsia="仿宋_GB2312" w:cs="仿宋_GB2312"/>
          <w:bCs/>
          <w:sz w:val="32"/>
          <w:szCs w:val="32"/>
          <w:lang w:eastAsia="zh-CN"/>
        </w:rPr>
        <w:t>的培训，更加积极地与市税务局、青山区政府相关部门保持沟通联系，丰富了税务专员服务等信息传导措施，提升了信息公开质效。在具体工作中，也</w:t>
      </w:r>
      <w:r>
        <w:rPr>
          <w:rFonts w:hint="eastAsia" w:ascii="仿宋_GB2312" w:hAnsi="仿宋_GB2312" w:eastAsia="仿宋_GB2312" w:cs="仿宋_GB2312"/>
          <w:bCs/>
          <w:sz w:val="32"/>
          <w:szCs w:val="32"/>
        </w:rPr>
        <w:t>存在一些问题。主要表现在：一是</w:t>
      </w:r>
      <w:r>
        <w:rPr>
          <w:rFonts w:hint="eastAsia" w:ascii="仿宋_GB2312" w:hAnsi="仿宋_GB2312" w:eastAsia="仿宋_GB2312" w:cs="仿宋_GB2312"/>
          <w:bCs/>
          <w:sz w:val="32"/>
          <w:szCs w:val="32"/>
          <w:lang w:eastAsia="zh-CN"/>
        </w:rPr>
        <w:t>信息公开意识需要进一步提升，对一些新政策、新规定，通过信息公开平台发布的及时性有待提高。二是信息公开思路需要进一步打开，创新高效、快捷的主动公开方式有待进一步加强。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b/>
          <w:bCs w:val="0"/>
          <w:kern w:val="2"/>
          <w:sz w:val="32"/>
          <w:szCs w:val="32"/>
          <w:lang w:val="en-US" w:eastAsia="zh-CN" w:bidi="ar-SA"/>
        </w:rPr>
        <w:t>（一）建议提案办理情况。</w:t>
      </w:r>
      <w:r>
        <w:rPr>
          <w:rFonts w:hint="eastAsia" w:ascii="仿宋_GB2312" w:hAnsi="仿宋_GB2312" w:eastAsia="仿宋_GB2312" w:cs="仿宋_GB2312"/>
          <w:bCs/>
          <w:sz w:val="32"/>
          <w:szCs w:val="32"/>
          <w:lang w:val="en-US" w:eastAsia="zh-CN"/>
        </w:rPr>
        <w:t>2022年，青山区税务局共收到区人大议案、代表建议和区政协建提案7件（区人大议案2件、代表建议1件，区政协提案4件）。区局将议提案办理与常规工作相结合，明确目标任务，细化工作举措，狠抓办理落实，提高办理实效，“回复率”、主办件“走访率”、代表“满意率”均达100%。</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kern w:val="2"/>
          <w:sz w:val="32"/>
          <w:szCs w:val="32"/>
          <w:lang w:val="en-US" w:eastAsia="zh-CN" w:bidi="ar-SA"/>
        </w:rPr>
      </w:pPr>
      <w:r>
        <w:rPr>
          <w:rFonts w:hint="eastAsia" w:ascii="楷体_GB2312" w:hAnsi="楷体_GB2312" w:eastAsia="楷体_GB2312" w:cs="楷体_GB2312"/>
          <w:b/>
          <w:bCs w:val="0"/>
          <w:kern w:val="2"/>
          <w:sz w:val="32"/>
          <w:szCs w:val="32"/>
          <w:lang w:val="en-US" w:eastAsia="zh-CN" w:bidi="ar-SA"/>
        </w:rPr>
        <w:t>（二）政务公开工作要点落实情况。</w:t>
      </w:r>
      <w:r>
        <w:rPr>
          <w:rFonts w:hint="eastAsia" w:ascii="仿宋_GB2312" w:hAnsi="仿宋_GB2312" w:eastAsia="仿宋_GB2312" w:cs="仿宋_GB2312"/>
          <w:bCs/>
          <w:kern w:val="2"/>
          <w:sz w:val="32"/>
          <w:szCs w:val="32"/>
          <w:lang w:val="en-US" w:eastAsia="zh-CN" w:bidi="ar-SA"/>
        </w:rPr>
        <w:t>聚焦本部门责任范围，严格落实《2022年青山区（化工区）政务公开工作要点》，做好涉及减税降费的信息公开，在青山区政府信息公开平台推送已出台增值税留抵退税等税费支持政策，做到涉税政策应知尽知、应享尽享。</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国家税务总局武汉市青山区税务局</w:t>
      </w:r>
    </w:p>
    <w:p>
      <w:pPr>
        <w:pStyle w:val="2"/>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2023年1月6日</w:t>
      </w:r>
    </w:p>
    <w:sectPr>
      <w:footerReference r:id="rId3" w:type="default"/>
      <w:pgSz w:w="11906" w:h="16838"/>
      <w:pgMar w:top="2098" w:right="1474" w:bottom="2098"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C97DE1"/>
    <w:rsid w:val="0C551280"/>
    <w:rsid w:val="13BB1490"/>
    <w:rsid w:val="161C5B23"/>
    <w:rsid w:val="325335D8"/>
    <w:rsid w:val="516121AB"/>
    <w:rsid w:val="77BD7D86"/>
    <w:rsid w:val="7BA7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99"/>
    <w:pPr>
      <w:spacing w:before="156" w:after="156"/>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2023-01-05T00:42:00Z</dcterms:created>
  <dc:creator>qssw</dc:creator>
  <cp:lastModifiedBy>罗曼</cp:lastModifiedBy>
  <cp:lastPrinted>2023-01-05T03:36:00Z</cp:lastPrinted>
  <dcterms:modified xsi:type="dcterms:W3CDTF">2023-01-06T03:35:40Z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