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b/>
          <w:bCs/>
          <w:color w:val="333333"/>
          <w:sz w:val="36"/>
          <w:szCs w:val="36"/>
        </w:rPr>
      </w:pPr>
    </w:p>
    <w:p>
      <w:pPr>
        <w:widowControl/>
        <w:spacing w:line="432" w:lineRule="auto"/>
        <w:jc w:val="center"/>
        <w:rPr>
          <w:rFonts w:hint="eastAsia" w:ascii="方正小标宋简体" w:hAnsi="宋体" w:eastAsia="方正小标宋简体" w:cs="宋体"/>
          <w:b/>
          <w:bCs/>
          <w:color w:val="333333"/>
          <w:kern w:val="0"/>
          <w:sz w:val="36"/>
          <w:szCs w:val="32"/>
          <w:lang w:eastAsia="zh-CN"/>
        </w:rPr>
      </w:pPr>
      <w:r>
        <w:rPr>
          <w:rFonts w:hint="eastAsia" w:ascii="方正小标宋简体" w:hAnsi="宋体" w:eastAsia="方正小标宋简体" w:cs="宋体"/>
          <w:b/>
          <w:bCs/>
          <w:color w:val="333333"/>
          <w:kern w:val="0"/>
          <w:sz w:val="36"/>
          <w:szCs w:val="32"/>
          <w:lang w:eastAsia="zh-CN"/>
        </w:rPr>
        <w:t>国家税务总局武汉东湖新技术开发区税务局</w:t>
      </w:r>
    </w:p>
    <w:p>
      <w:pPr>
        <w:pStyle w:val="2"/>
        <w:keepNext w:val="0"/>
        <w:keepLines w:val="0"/>
        <w:widowControl/>
        <w:suppressLineNumbers w:val="0"/>
        <w:spacing w:before="0" w:beforeAutospacing="0" w:after="0" w:afterAutospacing="0" w:line="432" w:lineRule="auto"/>
        <w:ind w:left="0" w:firstLine="420"/>
        <w:jc w:val="center"/>
        <w:rPr>
          <w:rFonts w:hint="eastAsia" w:ascii="宋体" w:hAnsi="宋体" w:eastAsia="宋体" w:cs="宋体"/>
        </w:rPr>
      </w:pPr>
      <w:r>
        <w:rPr>
          <w:rFonts w:hint="eastAsia" w:ascii="方正小标宋简体" w:hAnsi="宋体" w:eastAsia="方正小标宋简体" w:cs="宋体"/>
          <w:b/>
          <w:bCs/>
          <w:color w:val="333333"/>
          <w:kern w:val="0"/>
          <w:sz w:val="36"/>
          <w:szCs w:val="32"/>
          <w:lang w:val="en-US" w:eastAsia="zh-CN"/>
        </w:rPr>
        <w:t>2022年</w:t>
      </w:r>
      <w:r>
        <w:rPr>
          <w:rFonts w:hint="eastAsia" w:ascii="方正小标宋简体" w:hAnsi="宋体" w:eastAsia="方正小标宋简体" w:cs="宋体"/>
          <w:b/>
          <w:bCs/>
          <w:color w:val="333333"/>
          <w:kern w:val="0"/>
          <w:sz w:val="36"/>
          <w:szCs w:val="32"/>
        </w:rPr>
        <w:t>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widowControl/>
        <w:spacing w:line="432" w:lineRule="auto"/>
        <w:ind w:firstLine="640" w:firstLineChars="200"/>
        <w:rPr>
          <w:rFonts w:hint="eastAsia" w:ascii="仿宋_GB2312" w:hAnsi="宋体" w:eastAsia="仿宋_GB2312" w:cs="宋体"/>
          <w:bCs/>
          <w:color w:val="333333"/>
          <w:kern w:val="0"/>
          <w:sz w:val="32"/>
          <w:szCs w:val="32"/>
          <w:lang w:val="en-US" w:eastAsia="zh-CN"/>
        </w:rPr>
      </w:pPr>
      <w:r>
        <w:rPr>
          <w:rFonts w:hint="eastAsia" w:ascii="仿宋_GB2312" w:hAnsi="宋体" w:eastAsia="仿宋_GB2312" w:cs="宋体"/>
          <w:bCs/>
          <w:color w:val="333333"/>
          <w:kern w:val="0"/>
          <w:sz w:val="32"/>
          <w:szCs w:val="32"/>
          <w:lang w:val="en-US" w:eastAsia="zh-CN"/>
        </w:rPr>
        <w:t>2022年，国家税务总局武汉东湖新技术开发区税务局（以下简称“区局”）深入落实《中华人民共和国政府信息公开条例》</w:t>
      </w:r>
      <w:r>
        <w:rPr>
          <w:rFonts w:hint="eastAsia" w:ascii="仿宋_GB2312" w:eastAsia="仿宋_GB2312"/>
          <w:sz w:val="32"/>
          <w:szCs w:val="32"/>
        </w:rPr>
        <w:t>《</w:t>
      </w:r>
      <w:r>
        <w:rPr>
          <w:rFonts w:hint="eastAsia" w:ascii="仿宋_GB2312" w:eastAsia="仿宋_GB2312"/>
          <w:sz w:val="32"/>
          <w:szCs w:val="32"/>
          <w:lang w:eastAsia="zh-CN"/>
        </w:rPr>
        <w:t>国务院办公厅政府信息与政府公开办公室关于印发中华人民共和国政务信息公开</w:t>
      </w:r>
      <w:r>
        <w:rPr>
          <w:rFonts w:hint="eastAsia" w:ascii="仿宋_GB2312" w:eastAsia="仿宋_GB2312"/>
          <w:sz w:val="32"/>
          <w:szCs w:val="32"/>
          <w:lang w:val="en-US" w:eastAsia="zh-CN"/>
        </w:rPr>
        <w:t>工作年度报告格式的通知</w:t>
      </w:r>
      <w:r>
        <w:rPr>
          <w:rFonts w:hint="eastAsia" w:ascii="仿宋_GB2312" w:eastAsia="仿宋_GB2312"/>
          <w:sz w:val="32"/>
          <w:szCs w:val="32"/>
        </w:rPr>
        <w:t>》</w:t>
      </w:r>
      <w:r>
        <w:rPr>
          <w:rFonts w:hint="eastAsia" w:ascii="仿宋_GB2312" w:eastAsia="仿宋_GB2312"/>
          <w:sz w:val="32"/>
          <w:szCs w:val="32"/>
          <w:lang w:eastAsia="zh-CN"/>
        </w:rPr>
        <w:t>和省、市相关工作</w:t>
      </w:r>
      <w:r>
        <w:rPr>
          <w:rFonts w:hint="eastAsia" w:ascii="仿宋_GB2312" w:eastAsia="仿宋_GB2312"/>
          <w:sz w:val="32"/>
          <w:szCs w:val="32"/>
        </w:rPr>
        <w:t>要求</w:t>
      </w:r>
      <w:r>
        <w:rPr>
          <w:rFonts w:hint="eastAsia" w:ascii="仿宋_GB2312" w:hAnsi="宋体" w:eastAsia="仿宋_GB2312" w:cs="宋体"/>
          <w:bCs/>
          <w:color w:val="333333"/>
          <w:kern w:val="0"/>
          <w:sz w:val="32"/>
          <w:szCs w:val="32"/>
          <w:lang w:val="en-US" w:eastAsia="zh-CN"/>
        </w:rPr>
        <w:t>，紧紧围绕税收中心工作，</w:t>
      </w:r>
      <w:r>
        <w:rPr>
          <w:rFonts w:hint="eastAsia" w:ascii="仿宋_GB2312" w:hAnsi="宋体" w:eastAsia="仿宋_GB2312"/>
          <w:sz w:val="32"/>
          <w:szCs w:val="32"/>
        </w:rPr>
        <w:t>坚持以</w:t>
      </w:r>
      <w:r>
        <w:rPr>
          <w:rFonts w:hint="eastAsia" w:ascii="仿宋_GB2312" w:hAnsi="宋体" w:eastAsia="仿宋_GB2312" w:cs="宋体"/>
          <w:bCs/>
          <w:color w:val="333333"/>
          <w:kern w:val="0"/>
          <w:sz w:val="32"/>
          <w:szCs w:val="32"/>
          <w:lang w:val="en-US" w:eastAsia="zh-CN"/>
        </w:rPr>
        <w:t>公开为常态、不公开为例外，全力推进政务公开工作，更好地发挥信息公开对建设法治、创新、服务、廉洁税务机关的促进作用。</w:t>
      </w:r>
    </w:p>
    <w:p>
      <w:pPr>
        <w:numPr>
          <w:ilvl w:val="0"/>
          <w:numId w:val="0"/>
        </w:numPr>
        <w:ind w:firstLine="643" w:firstLineChars="200"/>
        <w:rPr>
          <w:rFonts w:hint="eastAsia" w:ascii="仿宋" w:hAnsi="仿宋" w:eastAsia="仿宋" w:cs="仿宋"/>
          <w:sz w:val="32"/>
          <w:szCs w:val="32"/>
        </w:rPr>
      </w:pPr>
      <w:r>
        <w:rPr>
          <w:rFonts w:hint="eastAsia" w:ascii="楷体_GB2312" w:eastAsia="楷体_GB2312"/>
          <w:b/>
          <w:sz w:val="32"/>
          <w:szCs w:val="32"/>
        </w:rPr>
        <w:t>（</w:t>
      </w:r>
      <w:r>
        <w:rPr>
          <w:rFonts w:hint="eastAsia" w:ascii="楷体_GB2312" w:eastAsia="楷体_GB2312"/>
          <w:b/>
          <w:sz w:val="32"/>
          <w:szCs w:val="32"/>
          <w:lang w:eastAsia="zh-CN"/>
        </w:rPr>
        <w:t>一</w:t>
      </w:r>
      <w:r>
        <w:rPr>
          <w:rFonts w:hint="eastAsia" w:ascii="楷体_GB2312" w:eastAsia="楷体_GB2312"/>
          <w:b/>
          <w:sz w:val="32"/>
          <w:szCs w:val="32"/>
        </w:rPr>
        <w:t>）主动公开情况。</w:t>
      </w:r>
      <w:r>
        <w:rPr>
          <w:rFonts w:hint="eastAsia" w:ascii="仿宋_GB2312" w:eastAsia="仿宋_GB2312"/>
          <w:sz w:val="32"/>
          <w:szCs w:val="32"/>
        </w:rPr>
        <w:t>区局通过武汉市税务局门户网站、湖北省税务局、湖北税务行政执法信息公示平台、内部办公网等渠道，</w:t>
      </w:r>
      <w:r>
        <w:rPr>
          <w:rFonts w:hint="eastAsia" w:ascii="仿宋_GB2312" w:hAnsi="仿宋_GB2312" w:eastAsia="仿宋_GB2312" w:cs="仿宋_GB2312"/>
          <w:color w:val="000000" w:themeColor="text1"/>
          <w:sz w:val="32"/>
          <w:szCs w:val="32"/>
          <w14:textFill>
            <w14:solidFill>
              <w14:schemeClr w14:val="tx1"/>
            </w14:solidFill>
          </w14:textFill>
        </w:rPr>
        <w:t>主动公开政府信息，包括机构职能、领导简介、工作动态</w:t>
      </w:r>
      <w:r>
        <w:rPr>
          <w:rFonts w:hint="eastAsia" w:ascii="仿宋" w:hAnsi="仿宋" w:eastAsia="仿宋" w:cs="仿宋"/>
          <w:sz w:val="32"/>
          <w:szCs w:val="32"/>
        </w:rPr>
        <w:t>、办公地址、办公时间、联系方式</w:t>
      </w:r>
      <w:r>
        <w:rPr>
          <w:rFonts w:hint="eastAsia" w:ascii="仿宋_GB2312" w:hAnsi="仿宋_GB2312" w:eastAsia="仿宋_GB2312" w:cs="仿宋_GB2312"/>
          <w:color w:val="000000" w:themeColor="text1"/>
          <w:sz w:val="32"/>
          <w:szCs w:val="32"/>
          <w14:textFill>
            <w14:solidFill>
              <w14:schemeClr w14:val="tx1"/>
            </w14:solidFill>
          </w14:textFill>
        </w:rPr>
        <w:t>等政府信息</w:t>
      </w:r>
      <w:r>
        <w:rPr>
          <w:rFonts w:hint="eastAsia" w:ascii="仿宋" w:hAnsi="仿宋" w:eastAsia="仿宋" w:cs="仿宋"/>
          <w:sz w:val="32"/>
          <w:szCs w:val="32"/>
          <w:lang w:eastAsia="zh-CN"/>
        </w:rPr>
        <w:t>。区局2022年发布“准予行政许可的结果”15727户次，执法信息公示平台2022年发布“税务行政普通程序处罚结果”1户次。</w:t>
      </w:r>
    </w:p>
    <w:p>
      <w:pPr>
        <w:numPr>
          <w:ilvl w:val="0"/>
          <w:numId w:val="0"/>
        </w:num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）依申请公开情况。</w:t>
      </w:r>
      <w:r>
        <w:rPr>
          <w:rFonts w:hint="eastAsia" w:ascii="仿宋_GB2312" w:eastAsia="仿宋_GB2312"/>
          <w:color w:val="000000" w:themeColor="text1"/>
          <w:sz w:val="32"/>
          <w:szCs w:val="32"/>
          <w14:textFill>
            <w14:solidFill>
              <w14:schemeClr w14:val="tx1"/>
            </w14:solidFill>
          </w14:textFill>
        </w:rPr>
        <w:t>区局202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年依法受理了</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件依申请公开，自然人申请</w:t>
      </w:r>
      <w:r>
        <w:rPr>
          <w:rFonts w:hint="eastAsia" w:ascii="仿宋_GB2312" w:eastAsia="仿宋_GB2312"/>
          <w:color w:val="000000" w:themeColor="text1"/>
          <w:sz w:val="32"/>
          <w:szCs w:val="32"/>
          <w:lang w:val="en-US" w:eastAsia="zh-CN"/>
          <w14:textFill>
            <w14:solidFill>
              <w14:schemeClr w14:val="tx1"/>
            </w14:solidFill>
          </w14:textFill>
        </w:rPr>
        <w:t>1件，法人或其他组织申请2件</w:t>
      </w:r>
      <w:r>
        <w:rPr>
          <w:rFonts w:hint="eastAsia" w:ascii="仿宋_GB2312" w:eastAsia="仿宋_GB2312"/>
          <w:color w:val="000000" w:themeColor="text1"/>
          <w:sz w:val="32"/>
          <w:szCs w:val="32"/>
          <w14:textFill>
            <w14:solidFill>
              <w14:schemeClr w14:val="tx1"/>
            </w14:solidFill>
          </w14:textFill>
        </w:rPr>
        <w:t>。区局严格依照《中华人民共和国政府信息公开条例》</w:t>
      </w:r>
      <w:r>
        <w:rPr>
          <w:rFonts w:hint="eastAsia" w:ascii="仿宋_GB2312" w:eastAsia="仿宋_GB2312"/>
          <w:color w:val="000000" w:themeColor="text1"/>
          <w:sz w:val="32"/>
          <w:szCs w:val="32"/>
          <w:lang w:eastAsia="zh-CN"/>
          <w14:textFill>
            <w14:solidFill>
              <w14:schemeClr w14:val="tx1"/>
            </w14:solidFill>
          </w14:textFill>
        </w:rPr>
        <w:t>和国家税务总局关于</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税收信息对外提供管理办法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的通知</w:t>
      </w:r>
      <w:r>
        <w:rPr>
          <w:rFonts w:hint="eastAsia" w:ascii="仿宋_GB2312" w:eastAsia="仿宋_GB2312"/>
          <w:color w:val="000000" w:themeColor="text1"/>
          <w:sz w:val="32"/>
          <w:szCs w:val="32"/>
          <w14:textFill>
            <w14:solidFill>
              <w14:schemeClr w14:val="tx1"/>
            </w14:solidFill>
          </w14:textFill>
        </w:rPr>
        <w:t>等文件要求办理。在规定的时间内予以受理、办结并回复。</w:t>
      </w:r>
    </w:p>
    <w:p>
      <w:pPr>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）政府信息管理情况。</w:t>
      </w:r>
      <w:r>
        <w:rPr>
          <w:rFonts w:hint="eastAsia" w:ascii="仿宋_GB2312" w:eastAsia="仿宋_GB2312"/>
          <w:sz w:val="32"/>
          <w:szCs w:val="32"/>
        </w:rPr>
        <w:t>区局在依申请公开办理中，严格做好登记、审核、办理、答复、归档等流程，加强工作规范，严格执行保密审查制度，</w:t>
      </w:r>
      <w:r>
        <w:rPr>
          <w:rFonts w:hint="eastAsia" w:ascii="仿宋_GB2312" w:eastAsia="仿宋_GB2312"/>
          <w:sz w:val="32"/>
          <w:szCs w:val="32"/>
          <w:lang w:eastAsia="zh-CN"/>
        </w:rPr>
        <w:t>公开工作流程按相关政策运转有序</w:t>
      </w:r>
      <w:r>
        <w:rPr>
          <w:rFonts w:hint="eastAsia" w:ascii="仿宋_GB2312" w:eastAsia="仿宋_GB2312"/>
          <w:sz w:val="32"/>
          <w:szCs w:val="32"/>
        </w:rPr>
        <w:t>。</w:t>
      </w:r>
    </w:p>
    <w:p>
      <w:pPr>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）平台建设情况。</w:t>
      </w:r>
      <w:r>
        <w:rPr>
          <w:rFonts w:hint="eastAsia" w:ascii="仿宋_GB2312" w:eastAsia="仿宋_GB2312"/>
          <w:sz w:val="32"/>
          <w:szCs w:val="32"/>
        </w:rPr>
        <w:t>根据上级统一要求，区局利用武汉市税务局门户网站“政府信息依申请在线申请平台”接受依申请公开，纳税人可选择“当面申请、邮政寄送、在线申请”等多种方式发起依申请公开</w:t>
      </w:r>
      <w:r>
        <w:rPr>
          <w:rFonts w:hint="eastAsia" w:ascii="仿宋_GB2312" w:eastAsia="仿宋_GB2312"/>
          <w:sz w:val="32"/>
          <w:szCs w:val="32"/>
          <w:lang w:eastAsia="zh-CN"/>
        </w:rPr>
        <w:t>。明确专人负责政府信息公开的日常工作，按要求做好更新工作。确保公开渠道畅通。</w:t>
      </w:r>
      <w:r>
        <w:rPr>
          <w:rFonts w:hint="eastAsia" w:ascii="仿宋_GB2312" w:eastAsia="仿宋_GB2312"/>
          <w:sz w:val="32"/>
          <w:szCs w:val="32"/>
          <w:lang w:val="en-US" w:eastAsia="zh-CN"/>
        </w:rPr>
        <w:t>2022年，区局接受平台在线申请3起</w:t>
      </w:r>
      <w:r>
        <w:rPr>
          <w:rFonts w:hint="eastAsia" w:ascii="仿宋_GB2312" w:eastAsia="仿宋_GB2312"/>
          <w:sz w:val="32"/>
          <w:szCs w:val="32"/>
        </w:rPr>
        <w:t>。</w:t>
      </w:r>
    </w:p>
    <w:p>
      <w:pPr>
        <w:spacing w:line="560" w:lineRule="exact"/>
        <w:ind w:firstLine="646"/>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eastAsia="楷体_GB2312"/>
          <w:b/>
          <w:sz w:val="32"/>
          <w:szCs w:val="32"/>
        </w:rPr>
        <w:t>（</w:t>
      </w:r>
      <w:r>
        <w:rPr>
          <w:rFonts w:hint="eastAsia" w:ascii="楷体_GB2312" w:eastAsia="楷体_GB2312"/>
          <w:b/>
          <w:sz w:val="32"/>
          <w:szCs w:val="32"/>
          <w:lang w:eastAsia="zh-CN"/>
        </w:rPr>
        <w:t>五）</w:t>
      </w:r>
      <w:r>
        <w:rPr>
          <w:rFonts w:hint="eastAsia" w:ascii="楷体_GB2312" w:eastAsia="楷体_GB2312"/>
          <w:b/>
          <w:sz w:val="32"/>
          <w:szCs w:val="32"/>
        </w:rPr>
        <w:t>监督保障情况。</w:t>
      </w:r>
      <w:r>
        <w:rPr>
          <w:rFonts w:hint="eastAsia" w:ascii="仿宋_GB2312" w:eastAsia="仿宋_GB2312"/>
          <w:sz w:val="32"/>
          <w:szCs w:val="32"/>
        </w:rPr>
        <w:t>区局政府信息公开领导小组发挥引领作用</w:t>
      </w:r>
      <w:r>
        <w:rPr>
          <w:rFonts w:hint="eastAsia" w:ascii="仿宋_GB2312" w:eastAsia="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认真学习掌握落实上级政务公开工作要求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，严格审核各类信息公开和依申请公开事项，确保信息公开内容合法合规</w:t>
      </w:r>
      <w:r>
        <w:rPr>
          <w:rFonts w:hint="eastAsia" w:ascii="仿宋_GB2312" w:eastAsia="仿宋_GB2312"/>
          <w:sz w:val="32"/>
          <w:szCs w:val="32"/>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全年区局未收到因政府信息公开引发的投诉。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highlight w:val="yellow"/>
              </w:rPr>
            </w:pPr>
            <w:r>
              <w:rPr>
                <w:rFonts w:hint="eastAsia" w:ascii="宋体" w:hAnsi="宋体" w:eastAsia="宋体" w:cs="宋体"/>
                <w:color w:val="000000"/>
                <w:kern w:val="0"/>
                <w:sz w:val="21"/>
                <w:szCs w:val="21"/>
                <w:highlight w:val="none"/>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highlight w:val="yellow"/>
                <w:lang w:val="en-US"/>
              </w:rPr>
            </w:pPr>
            <w:r>
              <w:rPr>
                <w:rFonts w:hint="default" w:ascii="Calibri" w:hAnsi="Calibri" w:eastAsia="宋体" w:cs="Calibri"/>
                <w:color w:val="333333"/>
                <w:kern w:val="2"/>
                <w:sz w:val="21"/>
                <w:szCs w:val="21"/>
                <w:highlight w:val="none"/>
                <w:lang w:val="en-US" w:eastAsia="zh-CN" w:bidi="ar"/>
              </w:rPr>
              <w:t> </w:t>
            </w:r>
            <w:r>
              <w:rPr>
                <w:rFonts w:hint="eastAsia" w:ascii="Calibri" w:hAnsi="Calibri" w:eastAsia="宋体" w:cs="Calibri"/>
                <w:color w:val="auto"/>
                <w:kern w:val="2"/>
                <w:sz w:val="21"/>
                <w:szCs w:val="21"/>
                <w:highlight w:val="none"/>
                <w:lang w:val="en-US" w:eastAsia="zh-CN" w:bidi="ar"/>
              </w:rPr>
              <w:t>15727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highlight w:val="yellow"/>
              </w:rPr>
            </w:pPr>
            <w:r>
              <w:rPr>
                <w:rFonts w:hint="eastAsia" w:ascii="宋体" w:hAnsi="宋体" w:eastAsia="宋体" w:cs="宋体"/>
                <w:color w:val="000000"/>
                <w:kern w:val="0"/>
                <w:sz w:val="21"/>
                <w:szCs w:val="21"/>
                <w:highlight w:val="none"/>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highlight w:val="yellow"/>
                <w:lang w:val="en-US"/>
              </w:rPr>
            </w:pPr>
            <w:r>
              <w:rPr>
                <w:rFonts w:hint="eastAsia" w:ascii="宋体" w:hAnsi="宋体" w:eastAsia="宋体" w:cs="宋体"/>
                <w:color w:val="000000"/>
                <w:kern w:val="0"/>
                <w:sz w:val="21"/>
                <w:szCs w:val="21"/>
                <w:highlight w:val="none"/>
                <w:lang w:val="en-US" w:eastAsia="zh-CN" w:bidi="ar"/>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tbl>
      <w:tblPr>
        <w:tblStyle w:val="3"/>
        <w:tblW w:w="4947"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37"/>
        <w:gridCol w:w="781"/>
        <w:gridCol w:w="2829"/>
        <w:gridCol w:w="583"/>
        <w:gridCol w:w="583"/>
        <w:gridCol w:w="583"/>
        <w:gridCol w:w="583"/>
        <w:gridCol w:w="584"/>
        <w:gridCol w:w="61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382" w:hRule="atLeast"/>
          <w:jc w:val="center"/>
        </w:trPr>
        <w:tc>
          <w:tcPr>
            <w:tcW w:w="2534"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5"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2534"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48"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8"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1061" w:hRule="atLeast"/>
          <w:jc w:val="center"/>
        </w:trPr>
        <w:tc>
          <w:tcPr>
            <w:tcW w:w="2534"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48"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48"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48"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6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8"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2534"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2534"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4"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2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4"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1.属于国家秘密</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57"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2.其他法律行政法规禁止公开</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3.危及“三安全一稳定”</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4.保护第三方合法权益</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5.属于三类内部事务信息</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6.属于四类过程性信息</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7.属于行政执法案卷</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8.属于行政查询事项</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1.本机关不掌握相关政府信息</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2.没有现成信息需要另行制作</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3.补正后申请内容仍不明确</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8"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1.信访举报投诉类申请</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2.重复申请</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3.要求提供公开出版物</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4.无正当理由大量反复申请</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9"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outset" w:color="auto" w:sz="6" w:space="0"/>
              <w:right w:val="single" w:color="auto" w:sz="8" w:space="0"/>
            </w:tcBorders>
            <w:shd w:val="clear" w:color="auto" w:fill="auto"/>
            <w:vAlign w:val="center"/>
          </w:tcPr>
          <w:p>
            <w:pPr>
              <w:widowControl/>
              <w:spacing w:line="30" w:lineRule="atLeas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5.要求行政机关确认或重新出具已获取信息</w:t>
            </w:r>
          </w:p>
        </w:tc>
        <w:tc>
          <w:tcPr>
            <w:tcW w:w="34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71"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8" w:type="pct"/>
            <w:tcBorders>
              <w:top w:val="nil"/>
              <w:left w:val="nil"/>
              <w:bottom w:val="single" w:color="auto" w:sz="8" w:space="0"/>
              <w:right w:val="single" w:color="auto" w:sz="8" w:space="0"/>
            </w:tcBorders>
            <w:shd w:val="clear" w:color="auto" w:fill="auto"/>
            <w:vAlign w:val="center"/>
          </w:tcPr>
          <w:p>
            <w:pPr>
              <w:widowControl/>
              <w:spacing w:line="30" w:lineRule="atLeas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1.申请人无正当理由逾期不补正、行政机关不再处理其政府信息公开申请</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center"/>
          </w:tcPr>
          <w:p>
            <w:pPr>
              <w:widowControl/>
              <w:spacing w:line="30" w:lineRule="atLeas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2.申请人逾期未按收费通知要求缴纳费用、行政机关不再处理其政府信息公开申请</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6"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8" w:type="pct"/>
            <w:tcBorders>
              <w:top w:val="nil"/>
              <w:left w:val="nil"/>
              <w:bottom w:val="single" w:color="auto" w:sz="8" w:space="0"/>
              <w:right w:val="single" w:color="auto" w:sz="8" w:space="0"/>
            </w:tcBorders>
            <w:shd w:val="clear" w:color="auto" w:fill="auto"/>
            <w:vAlign w:val="center"/>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3.其他</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4"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424" w:hRule="atLeast"/>
          <w:jc w:val="center"/>
        </w:trPr>
        <w:tc>
          <w:tcPr>
            <w:tcW w:w="2534"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spacing w:line="560" w:lineRule="exact"/>
        <w:ind w:firstLine="640" w:firstLineChars="200"/>
        <w:rPr>
          <w:rFonts w:hint="eastAsia" w:ascii="仿宋_GB2312" w:hAnsi="宋体" w:eastAsia="仿宋_GB2312" w:cs="宋体"/>
          <w:color w:val="333333"/>
          <w:kern w:val="0"/>
          <w:sz w:val="32"/>
          <w:szCs w:val="24"/>
        </w:rPr>
      </w:pPr>
      <w:r>
        <w:rPr>
          <w:rFonts w:hint="eastAsia" w:ascii="仿宋_GB2312" w:eastAsia="仿宋_GB2312"/>
          <w:sz w:val="32"/>
          <w:szCs w:val="32"/>
        </w:rPr>
        <w:t>存在的问题主要</w:t>
      </w:r>
      <w:r>
        <w:rPr>
          <w:rFonts w:hint="eastAsia" w:ascii="仿宋_GB2312" w:eastAsia="仿宋_GB2312"/>
          <w:sz w:val="32"/>
          <w:szCs w:val="32"/>
          <w:lang w:eastAsia="zh-CN"/>
        </w:rPr>
        <w:t>：一是对信息公开</w:t>
      </w:r>
      <w:r>
        <w:rPr>
          <w:rFonts w:hint="eastAsia" w:ascii="仿宋_GB2312" w:eastAsia="仿宋_GB2312"/>
          <w:sz w:val="32"/>
          <w:szCs w:val="32"/>
        </w:rPr>
        <w:t>文件的学习掌握不够深入</w:t>
      </w:r>
      <w:r>
        <w:rPr>
          <w:rFonts w:hint="eastAsia" w:ascii="仿宋_GB2312" w:eastAsia="仿宋_GB2312"/>
          <w:sz w:val="32"/>
          <w:szCs w:val="32"/>
          <w:lang w:eastAsia="zh-CN"/>
        </w:rPr>
        <w:t>，</w:t>
      </w:r>
      <w:r>
        <w:rPr>
          <w:rFonts w:hint="eastAsia" w:ascii="仿宋_GB2312" w:hAnsi="宋体" w:eastAsia="仿宋_GB2312" w:cs="宋体"/>
          <w:color w:val="333333"/>
          <w:kern w:val="0"/>
          <w:sz w:val="32"/>
          <w:szCs w:val="24"/>
        </w:rPr>
        <w:t>主动公开的渠道有待进一步优化，</w:t>
      </w:r>
      <w:r>
        <w:rPr>
          <w:rFonts w:hint="eastAsia" w:ascii="仿宋_GB2312" w:hAnsi="宋体" w:eastAsia="仿宋_GB2312" w:cs="宋体"/>
          <w:color w:val="333333"/>
          <w:kern w:val="0"/>
          <w:sz w:val="32"/>
          <w:szCs w:val="24"/>
          <w:lang w:eastAsia="zh-CN"/>
        </w:rPr>
        <w:t>二是：政府信息公开队伍专业化水平不高，对政策的把握还需加强</w:t>
      </w:r>
      <w:r>
        <w:rPr>
          <w:rFonts w:hint="eastAsia" w:ascii="仿宋_GB2312" w:hAnsi="宋体" w:eastAsia="仿宋_GB2312" w:cs="宋体"/>
          <w:color w:val="333333"/>
          <w:kern w:val="0"/>
          <w:sz w:val="32"/>
          <w:szCs w:val="24"/>
        </w:rPr>
        <w:t>。</w:t>
      </w:r>
    </w:p>
    <w:p>
      <w:pPr>
        <w:spacing w:line="560" w:lineRule="exact"/>
        <w:ind w:firstLine="640" w:firstLineChars="200"/>
        <w:rPr>
          <w:rFonts w:ascii="仿宋" w:hAnsi="仿宋" w:eastAsia="仿宋" w:cs="仿宋"/>
          <w:sz w:val="32"/>
          <w:szCs w:val="32"/>
        </w:rPr>
      </w:pPr>
      <w:r>
        <w:rPr>
          <w:rFonts w:hint="eastAsia" w:ascii="仿宋_GB2312" w:hAnsi="宋体" w:eastAsia="仿宋_GB2312" w:cs="宋体"/>
          <w:color w:val="333333"/>
          <w:kern w:val="0"/>
          <w:sz w:val="32"/>
          <w:szCs w:val="24"/>
          <w:lang w:eastAsia="zh-CN"/>
        </w:rPr>
        <w:t>改进措施：一是扎实做好信息公开常态化管理，将信息公开工作融入到日常工作；二是</w:t>
      </w:r>
      <w:r>
        <w:rPr>
          <w:rFonts w:hint="eastAsia" w:ascii="仿宋_GB2312" w:eastAsia="仿宋_GB2312"/>
          <w:sz w:val="32"/>
          <w:szCs w:val="32"/>
        </w:rPr>
        <w:t>加强学习培训，</w:t>
      </w:r>
      <w:r>
        <w:rPr>
          <w:rFonts w:hint="eastAsia" w:ascii="仿宋_GB2312" w:eastAsia="仿宋_GB2312"/>
          <w:sz w:val="32"/>
          <w:szCs w:val="32"/>
          <w:lang w:eastAsia="zh-CN"/>
        </w:rPr>
        <w:t>加强信息公开工作人员业务水平</w:t>
      </w:r>
      <w:r>
        <w:rPr>
          <w:rFonts w:hint="eastAsia" w:ascii="仿宋" w:hAnsi="仿宋" w:eastAsia="仿宋" w:cs="仿宋"/>
          <w:sz w:val="32"/>
          <w:szCs w:val="32"/>
        </w:rPr>
        <w:t>，</w:t>
      </w:r>
      <w:r>
        <w:rPr>
          <w:rFonts w:hint="eastAsia" w:ascii="仿宋" w:hAnsi="仿宋" w:eastAsia="仿宋" w:cs="仿宋"/>
          <w:sz w:val="32"/>
          <w:szCs w:val="32"/>
          <w:lang w:eastAsia="zh-CN"/>
        </w:rPr>
        <w:t>增强责任意识，确保政府信息及时、准确、规范公开</w:t>
      </w:r>
      <w:r>
        <w:rPr>
          <w:rFonts w:hint="eastAsia" w:ascii="仿宋" w:hAnsi="仿宋" w:eastAsia="仿宋" w:cs="仿宋"/>
          <w:sz w:val="32"/>
          <w:szCs w:val="32"/>
        </w:rPr>
        <w:t>。</w:t>
      </w:r>
    </w:p>
    <w:p>
      <w:pPr>
        <w:widowControl/>
        <w:spacing w:line="432" w:lineRule="auto"/>
        <w:ind w:firstLine="480"/>
        <w:rPr>
          <w:rFonts w:ascii="黑体" w:hAnsi="宋体" w:eastAsia="黑体" w:cs="宋体"/>
          <w:b/>
          <w:bCs/>
          <w:color w:val="333333"/>
          <w:kern w:val="0"/>
          <w:sz w:val="32"/>
          <w:szCs w:val="32"/>
        </w:rPr>
      </w:pPr>
      <w:r>
        <w:rPr>
          <w:rFonts w:hint="eastAsia" w:ascii="黑体" w:hAnsi="宋体" w:eastAsia="黑体" w:cs="宋体"/>
          <w:b/>
          <w:bCs/>
          <w:color w:val="333333"/>
          <w:kern w:val="0"/>
          <w:sz w:val="32"/>
          <w:szCs w:val="32"/>
        </w:rPr>
        <w:t>六、其他需要报告的事项</w:t>
      </w:r>
    </w:p>
    <w:p>
      <w:pPr>
        <w:ind w:firstLine="640" w:firstLineChars="200"/>
        <w:rPr>
          <w:rFonts w:hint="eastAsia" w:eastAsiaTheme="minorEastAsia"/>
          <w:lang w:eastAsia="zh-CN"/>
        </w:rPr>
      </w:pPr>
      <w:r>
        <w:rPr>
          <w:rFonts w:hint="eastAsia" w:ascii="仿宋_GB2312" w:hAnsi="宋体" w:eastAsia="仿宋_GB2312" w:cs="宋体"/>
          <w:color w:val="333333"/>
          <w:kern w:val="0"/>
          <w:sz w:val="32"/>
          <w:szCs w:val="24"/>
          <w:lang w:eastAsia="zh-CN"/>
        </w:rPr>
        <w:t>本年度没有其他需要报告的事项。</w:t>
      </w:r>
    </w:p>
    <w:p/>
    <w:p/>
    <w:p/>
    <w:p>
      <w:pPr>
        <w:spacing w:line="560" w:lineRule="exact"/>
        <w:ind w:firstLine="1600" w:firstLineChars="500"/>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国家税务总局武汉市东湖新技术开发区税务局</w:t>
      </w:r>
    </w:p>
    <w:p>
      <w:pPr>
        <w:spacing w:line="560" w:lineRule="exact"/>
        <w:ind w:firstLine="1600" w:firstLineChars="500"/>
        <w:rPr>
          <w:rFonts w:hint="eastAsia" w:ascii="仿宋" w:hAnsi="仿宋" w:eastAsia="仿宋" w:cs="仿宋"/>
          <w:sz w:val="32"/>
          <w:szCs w:val="32"/>
          <w:lang w:eastAsia="zh-CN"/>
        </w:rPr>
      </w:pPr>
    </w:p>
    <w:p>
      <w:pPr>
        <w:spacing w:line="560" w:lineRule="exact"/>
        <w:ind w:firstLine="4160" w:firstLineChars="1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2023年1月18</w:t>
      </w:r>
      <w:bookmarkStart w:id="0" w:name="_GoBack"/>
      <w:bookmarkEnd w:id="0"/>
      <w:r>
        <w:rPr>
          <w:rFonts w:hint="eastAsia" w:ascii="仿宋" w:hAnsi="仿宋" w:eastAsia="仿宋" w:cs="仿宋"/>
          <w:sz w:val="32"/>
          <w:szCs w:val="32"/>
          <w:lang w:val="en-US" w:eastAsia="zh-CN"/>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B3BE06-7B51-4C8D-9E7A-0BC95996A2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C0494EF-8301-4510-BC4E-9219D9F90643}"/>
  </w:font>
  <w:font w:name="方正小标宋简体">
    <w:altName w:val="黑体"/>
    <w:panose1 w:val="02010601030101010101"/>
    <w:charset w:val="86"/>
    <w:family w:val="script"/>
    <w:pitch w:val="default"/>
    <w:sig w:usb0="00000000" w:usb1="00000000" w:usb2="00000000" w:usb3="00000000" w:csb0="00040000" w:csb1="00000000"/>
    <w:embedRegular r:id="rId3" w:fontKey="{FA016FB0-AB96-436A-97A0-7D75FD37FDB9}"/>
  </w:font>
  <w:font w:name="仿宋_GB2312">
    <w:panose1 w:val="02010609030101010101"/>
    <w:charset w:val="86"/>
    <w:family w:val="modern"/>
    <w:pitch w:val="default"/>
    <w:sig w:usb0="00000001" w:usb1="080E0000" w:usb2="00000000" w:usb3="00000000" w:csb0="00040000" w:csb1="00000000"/>
    <w:embedRegular r:id="rId4" w:fontKey="{8E9AA2F8-A50C-4CF3-BF0C-F05A32F60324}"/>
  </w:font>
  <w:font w:name="仿宋">
    <w:panose1 w:val="02010609060101010101"/>
    <w:charset w:val="86"/>
    <w:family w:val="auto"/>
    <w:pitch w:val="default"/>
    <w:sig w:usb0="800002BF" w:usb1="38CF7CFA" w:usb2="00000016" w:usb3="00000000" w:csb0="00040001" w:csb1="00000000"/>
    <w:embedRegular r:id="rId5" w:fontKey="{F27BCEF7-FC1A-4A5C-B2D3-A8ABED19BC0B}"/>
  </w:font>
  <w:font w:name="楷体_GB2312">
    <w:panose1 w:val="02010609030101010101"/>
    <w:charset w:val="86"/>
    <w:family w:val="modern"/>
    <w:pitch w:val="default"/>
    <w:sig w:usb0="00000001" w:usb1="080E0000" w:usb2="00000000" w:usb3="00000000" w:csb0="00040000" w:csb1="00000000"/>
    <w:embedRegular r:id="rId6" w:fontKey="{9679748F-0C5C-430F-94B6-D9B7CF6EF5C6}"/>
  </w:font>
  <w:font w:name="楷体">
    <w:panose1 w:val="02010609060101010101"/>
    <w:charset w:val="86"/>
    <w:family w:val="auto"/>
    <w:pitch w:val="default"/>
    <w:sig w:usb0="800002BF" w:usb1="38CF7CFA" w:usb2="00000016" w:usb3="00000000" w:csb0="00040001" w:csb1="00000000"/>
    <w:embedRegular r:id="rId7" w:fontKey="{C1208783-16D3-4E4B-A5F6-6588BBFBCD6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01927186"/>
    <w:rsid w:val="0425341A"/>
    <w:rsid w:val="05AE6BD1"/>
    <w:rsid w:val="0A935AB0"/>
    <w:rsid w:val="12F6764D"/>
    <w:rsid w:val="1A1615A6"/>
    <w:rsid w:val="1D1E46E9"/>
    <w:rsid w:val="21100D5D"/>
    <w:rsid w:val="238B1E27"/>
    <w:rsid w:val="246E2621"/>
    <w:rsid w:val="31BC15F2"/>
    <w:rsid w:val="380214FF"/>
    <w:rsid w:val="38791C18"/>
    <w:rsid w:val="397119C0"/>
    <w:rsid w:val="3EE00F79"/>
    <w:rsid w:val="3EE0233A"/>
    <w:rsid w:val="419B6055"/>
    <w:rsid w:val="46C04BB8"/>
    <w:rsid w:val="499D3855"/>
    <w:rsid w:val="4AB61875"/>
    <w:rsid w:val="5C34538D"/>
    <w:rsid w:val="62756AA6"/>
    <w:rsid w:val="714C7670"/>
    <w:rsid w:val="71734E55"/>
    <w:rsid w:val="73C2778C"/>
    <w:rsid w:val="767E6E8D"/>
    <w:rsid w:val="79FB1236"/>
    <w:rsid w:val="7D21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吴明克</cp:lastModifiedBy>
  <cp:lastPrinted>2023-01-16T06:19:00Z</cp:lastPrinted>
  <dcterms:modified xsi:type="dcterms:W3CDTF">2023-01-18T07:46:45Z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777F53E91E564B3B96F5A1A435D08748</vt:lpwstr>
  </property>
</Properties>
</file>