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CB" w:rsidRPr="007C3ED3" w:rsidRDefault="00AE1308" w:rsidP="00372DDB">
      <w:pPr>
        <w:pStyle w:val="a5"/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7C3ED3">
        <w:rPr>
          <w:rFonts w:ascii="方正小标宋简体" w:eastAsia="方正小标宋简体" w:hAnsi="宋体" w:cs="宋体" w:hint="eastAsia"/>
          <w:bCs/>
          <w:sz w:val="36"/>
          <w:szCs w:val="36"/>
        </w:rPr>
        <w:t>国家税务总局武汉市税务局</w:t>
      </w:r>
      <w:r w:rsidR="007C3ED3" w:rsidRPr="007C3ED3">
        <w:rPr>
          <w:rFonts w:ascii="方正小标宋简体" w:eastAsia="方正小标宋简体" w:hAnsi="宋体" w:cs="宋体" w:hint="eastAsia"/>
          <w:bCs/>
          <w:sz w:val="36"/>
          <w:szCs w:val="36"/>
        </w:rPr>
        <w:t>2021年</w:t>
      </w:r>
      <w:r w:rsidRPr="007C3ED3">
        <w:rPr>
          <w:rFonts w:ascii="方正小标宋简体" w:eastAsia="方正小标宋简体" w:hAnsi="宋体" w:cs="宋体" w:hint="eastAsia"/>
          <w:bCs/>
          <w:sz w:val="36"/>
          <w:szCs w:val="36"/>
        </w:rPr>
        <w:t>政府信息公开</w:t>
      </w:r>
    </w:p>
    <w:p w:rsidR="00950ECB" w:rsidRPr="007C3ED3" w:rsidRDefault="00AE1308" w:rsidP="00372DDB">
      <w:pPr>
        <w:pStyle w:val="a5"/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7C3ED3">
        <w:rPr>
          <w:rFonts w:ascii="方正小标宋简体" w:eastAsia="方正小标宋简体" w:hAnsi="宋体" w:cs="宋体" w:hint="eastAsia"/>
          <w:bCs/>
          <w:sz w:val="36"/>
          <w:szCs w:val="36"/>
        </w:rPr>
        <w:t>工作年度报告</w:t>
      </w:r>
    </w:p>
    <w:p w:rsidR="00950ECB" w:rsidRDefault="00AE1308" w:rsidP="00372DDB">
      <w:pPr>
        <w:pStyle w:val="a5"/>
        <w:widowControl/>
        <w:spacing w:line="60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一、总体情况</w:t>
      </w:r>
    </w:p>
    <w:p w:rsidR="00AA18D0" w:rsidRDefault="00814112" w:rsidP="00372DDB">
      <w:pPr>
        <w:pStyle w:val="a5"/>
        <w:widowControl/>
        <w:spacing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2021年，国家税务总局武汉市税务局认真贯彻《中华人民共和国政府信息公开条例》，在</w:t>
      </w:r>
      <w:r w:rsidR="00B82A17">
        <w:rPr>
          <w:rFonts w:ascii="仿宋_GB2312" w:eastAsia="仿宋_GB2312" w:hAnsi="仿宋" w:cs="仿宋" w:hint="eastAsia"/>
          <w:sz w:val="32"/>
          <w:szCs w:val="32"/>
        </w:rPr>
        <w:t>党中央、国务院、国家税务总局和</w:t>
      </w:r>
      <w:r>
        <w:rPr>
          <w:rFonts w:ascii="仿宋_GB2312" w:eastAsia="仿宋_GB2312" w:hAnsi="仿宋" w:cs="仿宋" w:hint="eastAsia"/>
          <w:sz w:val="32"/>
          <w:szCs w:val="32"/>
        </w:rPr>
        <w:t>国家税务总局湖北省税务局</w:t>
      </w:r>
      <w:r w:rsidR="00B82A17">
        <w:rPr>
          <w:rFonts w:ascii="仿宋_GB2312" w:eastAsia="仿宋_GB2312" w:hAnsi="仿宋" w:cs="仿宋" w:hint="eastAsia"/>
          <w:sz w:val="32"/>
          <w:szCs w:val="32"/>
        </w:rPr>
        <w:t>的</w:t>
      </w:r>
      <w:r>
        <w:rPr>
          <w:rFonts w:ascii="仿宋_GB2312" w:eastAsia="仿宋_GB2312" w:hAnsi="仿宋" w:cs="仿宋" w:hint="eastAsia"/>
          <w:sz w:val="32"/>
          <w:szCs w:val="32"/>
        </w:rPr>
        <w:t>指导下，坚持“以公开为常态、不公开为例外”，紧密结合税务工作实际，进一步规范政务公开管理，</w:t>
      </w:r>
      <w:r w:rsidR="00B82A17">
        <w:rPr>
          <w:rFonts w:ascii="仿宋_GB2312" w:eastAsia="仿宋_GB2312" w:hAnsi="仿宋" w:cs="仿宋" w:hint="eastAsia"/>
          <w:sz w:val="32"/>
          <w:szCs w:val="32"/>
        </w:rPr>
        <w:t>提升政府信息公开的深度和广度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="00B82A17">
        <w:rPr>
          <w:rFonts w:ascii="仿宋_GB2312" w:eastAsia="仿宋_GB2312" w:hAnsi="仿宋" w:cs="仿宋" w:hint="eastAsia"/>
          <w:sz w:val="32"/>
          <w:szCs w:val="32"/>
        </w:rPr>
        <w:t>为</w:t>
      </w:r>
      <w:r w:rsidR="00672A95">
        <w:rPr>
          <w:rFonts w:ascii="仿宋_GB2312" w:eastAsia="仿宋_GB2312" w:hAnsi="仿宋" w:cs="仿宋" w:hint="eastAsia"/>
          <w:sz w:val="32"/>
          <w:szCs w:val="32"/>
        </w:rPr>
        <w:t>落实税收</w:t>
      </w:r>
      <w:r w:rsidR="00B82A17">
        <w:rPr>
          <w:rFonts w:ascii="仿宋_GB2312" w:eastAsia="仿宋_GB2312" w:hAnsi="仿宋" w:cs="仿宋" w:hint="eastAsia"/>
          <w:sz w:val="32"/>
          <w:szCs w:val="32"/>
        </w:rPr>
        <w:t>征管改革</w:t>
      </w:r>
      <w:r w:rsidR="00672A95">
        <w:rPr>
          <w:rFonts w:ascii="仿宋_GB2312" w:eastAsia="仿宋_GB2312" w:hAnsi="仿宋" w:cs="仿宋" w:hint="eastAsia"/>
          <w:sz w:val="32"/>
          <w:szCs w:val="32"/>
        </w:rPr>
        <w:t>任务</w:t>
      </w:r>
      <w:r w:rsidR="0079728E">
        <w:rPr>
          <w:rFonts w:ascii="仿宋_GB2312" w:eastAsia="仿宋_GB2312" w:hAnsi="仿宋" w:cs="仿宋" w:hint="eastAsia"/>
          <w:sz w:val="32"/>
          <w:szCs w:val="32"/>
        </w:rPr>
        <w:t>和服务经济社会发展贡献力量。</w:t>
      </w:r>
    </w:p>
    <w:p w:rsidR="00E8161C" w:rsidRDefault="00A70B70" w:rsidP="00372DDB">
      <w:pPr>
        <w:pStyle w:val="a5"/>
        <w:widowControl/>
        <w:spacing w:line="60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BD1536">
        <w:rPr>
          <w:rFonts w:ascii="楷体_GB2312" w:eastAsia="楷体_GB2312" w:hAnsi="仿宋" w:cs="仿宋" w:hint="eastAsia"/>
          <w:b/>
          <w:sz w:val="32"/>
          <w:szCs w:val="32"/>
        </w:rPr>
        <w:t>（一）</w:t>
      </w:r>
      <w:r w:rsidR="00F4442A" w:rsidRPr="00BD1536">
        <w:rPr>
          <w:rFonts w:ascii="楷体_GB2312" w:eastAsia="楷体_GB2312" w:hAnsi="仿宋" w:cs="仿宋" w:hint="eastAsia"/>
          <w:b/>
          <w:sz w:val="32"/>
          <w:szCs w:val="32"/>
        </w:rPr>
        <w:t>深化主动公开</w:t>
      </w:r>
      <w:r w:rsidR="00BD1536" w:rsidRPr="00BD1536">
        <w:rPr>
          <w:rFonts w:ascii="楷体_GB2312" w:eastAsia="楷体_GB2312" w:hAnsi="仿宋" w:cs="仿宋" w:hint="eastAsia"/>
          <w:b/>
          <w:sz w:val="32"/>
          <w:szCs w:val="32"/>
        </w:rPr>
        <w:t>。</w:t>
      </w:r>
      <w:r w:rsidR="00E8161C" w:rsidRPr="00ED4D12">
        <w:rPr>
          <w:rFonts w:ascii="仿宋_GB2312" w:eastAsia="仿宋_GB2312" w:hAnsi="仿宋" w:cs="仿宋" w:hint="eastAsia"/>
          <w:b/>
          <w:sz w:val="32"/>
          <w:szCs w:val="32"/>
        </w:rPr>
        <w:t>一</w:t>
      </w:r>
      <w:r w:rsidR="00117882" w:rsidRPr="00ED4D12">
        <w:rPr>
          <w:rFonts w:ascii="仿宋_GB2312" w:eastAsia="仿宋_GB2312" w:hAnsi="仿宋" w:cs="仿宋" w:hint="eastAsia"/>
          <w:b/>
          <w:sz w:val="32"/>
          <w:szCs w:val="32"/>
        </w:rPr>
        <w:t>是</w:t>
      </w:r>
      <w:r w:rsidR="00C957C6" w:rsidRPr="00FB59ED">
        <w:rPr>
          <w:rFonts w:ascii="仿宋_GB2312" w:eastAsia="仿宋_GB2312" w:hAnsi="仿宋" w:cs="仿宋" w:hint="eastAsia"/>
          <w:sz w:val="32"/>
          <w:szCs w:val="32"/>
        </w:rPr>
        <w:t>落实政务公开要点。</w:t>
      </w:r>
      <w:r w:rsidR="004A0E57">
        <w:rPr>
          <w:rFonts w:ascii="仿宋_GB2312" w:eastAsia="仿宋_GB2312" w:hAnsi="仿宋" w:cs="仿宋" w:hint="eastAsia"/>
          <w:sz w:val="32"/>
          <w:szCs w:val="32"/>
        </w:rPr>
        <w:t>立足</w:t>
      </w:r>
      <w:r w:rsidR="00E8161C" w:rsidRPr="00E8161C">
        <w:rPr>
          <w:rFonts w:ascii="仿宋_GB2312" w:eastAsia="仿宋_GB2312" w:hAnsi="仿宋" w:cs="仿宋" w:hint="eastAsia"/>
          <w:sz w:val="32"/>
          <w:szCs w:val="32"/>
        </w:rPr>
        <w:t>政务公开重点任务</w:t>
      </w:r>
      <w:r w:rsidR="00E8161C">
        <w:rPr>
          <w:rFonts w:ascii="仿宋_GB2312" w:eastAsia="仿宋_GB2312" w:hAnsi="仿宋" w:cs="仿宋" w:hint="eastAsia"/>
          <w:sz w:val="32"/>
          <w:szCs w:val="32"/>
        </w:rPr>
        <w:t>，</w:t>
      </w:r>
      <w:r w:rsidR="00E8161C" w:rsidRPr="00E8161C">
        <w:rPr>
          <w:rFonts w:ascii="仿宋_GB2312" w:eastAsia="仿宋_GB2312" w:hAnsi="仿宋" w:cs="仿宋" w:hint="eastAsia"/>
          <w:sz w:val="32"/>
          <w:szCs w:val="32"/>
        </w:rPr>
        <w:t>围绕“十四五”开好局起好步</w:t>
      </w:r>
      <w:r w:rsidR="00E8161C">
        <w:rPr>
          <w:rFonts w:ascii="仿宋_GB2312" w:eastAsia="仿宋_GB2312" w:hAnsi="仿宋" w:cs="仿宋" w:hint="eastAsia"/>
          <w:sz w:val="32"/>
          <w:szCs w:val="32"/>
        </w:rPr>
        <w:t>、落</w:t>
      </w:r>
      <w:r w:rsidR="00E8161C" w:rsidRPr="00E8161C">
        <w:rPr>
          <w:rFonts w:ascii="仿宋_GB2312" w:eastAsia="仿宋_GB2312" w:hAnsi="仿宋" w:cs="仿宋" w:hint="eastAsia"/>
          <w:sz w:val="32"/>
          <w:szCs w:val="32"/>
        </w:rPr>
        <w:t>实《关于进一步深化税收征管改革的意见》</w:t>
      </w:r>
      <w:r w:rsidR="00E8161C">
        <w:rPr>
          <w:rFonts w:ascii="仿宋_GB2312" w:eastAsia="仿宋_GB2312" w:hAnsi="仿宋" w:cs="仿宋" w:hint="eastAsia"/>
          <w:sz w:val="32"/>
          <w:szCs w:val="32"/>
        </w:rPr>
        <w:t>、推动税费政策</w:t>
      </w:r>
      <w:r w:rsidR="00E8161C" w:rsidRPr="00E8161C">
        <w:rPr>
          <w:rFonts w:ascii="仿宋_GB2312" w:eastAsia="仿宋_GB2312" w:hAnsi="仿宋" w:cs="仿宋" w:hint="eastAsia"/>
          <w:sz w:val="32"/>
          <w:szCs w:val="32"/>
        </w:rPr>
        <w:t>落地</w:t>
      </w:r>
      <w:r w:rsidR="004A0E57">
        <w:rPr>
          <w:rFonts w:ascii="仿宋_GB2312" w:eastAsia="仿宋_GB2312" w:hAnsi="仿宋" w:cs="仿宋" w:hint="eastAsia"/>
          <w:sz w:val="32"/>
          <w:szCs w:val="32"/>
        </w:rPr>
        <w:t>等方面，主动</w:t>
      </w:r>
      <w:r w:rsidR="00E8161C">
        <w:rPr>
          <w:rFonts w:ascii="仿宋_GB2312" w:eastAsia="仿宋_GB2312" w:hAnsi="仿宋" w:cs="仿宋" w:hint="eastAsia"/>
          <w:sz w:val="32"/>
          <w:szCs w:val="32"/>
        </w:rPr>
        <w:t>对外推介税务工作</w:t>
      </w:r>
      <w:r w:rsidR="00C17E70">
        <w:rPr>
          <w:rFonts w:ascii="仿宋_GB2312" w:eastAsia="仿宋_GB2312" w:hAnsi="仿宋" w:cs="仿宋" w:hint="eastAsia"/>
          <w:sz w:val="32"/>
          <w:szCs w:val="32"/>
        </w:rPr>
        <w:t>。</w:t>
      </w:r>
      <w:r w:rsidR="00E8161C">
        <w:rPr>
          <w:rFonts w:ascii="仿宋_GB2312" w:eastAsia="仿宋_GB2312" w:hAnsi="仿宋" w:cs="仿宋" w:hint="eastAsia"/>
          <w:sz w:val="32"/>
          <w:szCs w:val="32"/>
        </w:rPr>
        <w:t>全年</w:t>
      </w:r>
      <w:r w:rsidR="00E8161C" w:rsidRPr="00E8161C">
        <w:rPr>
          <w:rFonts w:ascii="仿宋_GB2312" w:eastAsia="仿宋_GB2312" w:hAnsi="仿宋" w:cs="仿宋" w:hint="eastAsia"/>
          <w:sz w:val="32"/>
          <w:szCs w:val="32"/>
        </w:rPr>
        <w:t>在中央、省、市各类新闻媒体</w:t>
      </w:r>
      <w:r w:rsidR="00E8161C">
        <w:rPr>
          <w:rFonts w:ascii="仿宋_GB2312" w:eastAsia="仿宋_GB2312" w:hAnsi="仿宋" w:cs="仿宋" w:hint="eastAsia"/>
          <w:sz w:val="32"/>
          <w:szCs w:val="32"/>
        </w:rPr>
        <w:t>发布稿件</w:t>
      </w:r>
      <w:r w:rsidR="00E8161C" w:rsidRPr="00E8161C">
        <w:rPr>
          <w:rFonts w:ascii="仿宋_GB2312" w:eastAsia="仿宋_GB2312" w:hAnsi="仿宋" w:cs="仿宋" w:hint="eastAsia"/>
          <w:sz w:val="32"/>
          <w:szCs w:val="32"/>
        </w:rPr>
        <w:t>619篇，将各类</w:t>
      </w:r>
      <w:r w:rsidR="00C17E70">
        <w:rPr>
          <w:rFonts w:ascii="仿宋_GB2312" w:eastAsia="仿宋_GB2312" w:hAnsi="仿宋" w:cs="仿宋" w:hint="eastAsia"/>
          <w:sz w:val="32"/>
          <w:szCs w:val="32"/>
        </w:rPr>
        <w:t>减税降费政策</w:t>
      </w:r>
      <w:r w:rsidR="00E8161C" w:rsidRPr="00E8161C">
        <w:rPr>
          <w:rFonts w:ascii="仿宋_GB2312" w:eastAsia="仿宋_GB2312" w:hAnsi="仿宋" w:cs="仿宋" w:hint="eastAsia"/>
          <w:sz w:val="32"/>
          <w:szCs w:val="32"/>
        </w:rPr>
        <w:t>、便民办税举措和</w:t>
      </w:r>
      <w:r w:rsidR="004A0E57">
        <w:rPr>
          <w:rFonts w:ascii="仿宋_GB2312" w:eastAsia="仿宋_GB2312" w:hAnsi="仿宋" w:cs="仿宋" w:hint="eastAsia"/>
          <w:sz w:val="32"/>
          <w:szCs w:val="32"/>
        </w:rPr>
        <w:t>创新工作</w:t>
      </w:r>
      <w:r w:rsidR="00E8161C" w:rsidRPr="00E8161C">
        <w:rPr>
          <w:rFonts w:ascii="仿宋_GB2312" w:eastAsia="仿宋_GB2312" w:hAnsi="仿宋" w:cs="仿宋" w:hint="eastAsia"/>
          <w:sz w:val="32"/>
          <w:szCs w:val="32"/>
        </w:rPr>
        <w:t>宣传到位。</w:t>
      </w:r>
      <w:r w:rsidR="004A0E57" w:rsidRPr="00ED4D12">
        <w:rPr>
          <w:rFonts w:ascii="仿宋_GB2312" w:eastAsia="仿宋_GB2312" w:hAnsi="仿宋" w:cs="仿宋" w:hint="eastAsia"/>
          <w:b/>
          <w:sz w:val="32"/>
          <w:szCs w:val="32"/>
        </w:rPr>
        <w:t>二是</w:t>
      </w:r>
      <w:r w:rsidR="004A0E57" w:rsidRPr="00FB59ED">
        <w:rPr>
          <w:rFonts w:ascii="仿宋_GB2312" w:eastAsia="仿宋_GB2312" w:hAnsi="仿宋" w:cs="仿宋" w:hint="eastAsia"/>
          <w:sz w:val="32"/>
          <w:szCs w:val="32"/>
        </w:rPr>
        <w:t>认真办理建议提案。</w:t>
      </w:r>
      <w:r w:rsidR="004A0E57">
        <w:rPr>
          <w:rFonts w:ascii="仿宋_GB2312" w:eastAsia="仿宋_GB2312" w:hAnsi="仿宋" w:cs="仿宋" w:hint="eastAsia"/>
          <w:sz w:val="32"/>
          <w:szCs w:val="32"/>
        </w:rPr>
        <w:t>全年</w:t>
      </w:r>
      <w:r w:rsidR="004A0E57" w:rsidRPr="00987764">
        <w:rPr>
          <w:rFonts w:ascii="仿宋_GB2312" w:eastAsia="仿宋_GB2312" w:hAnsi="仿宋" w:cs="仿宋" w:hint="eastAsia"/>
          <w:sz w:val="32"/>
          <w:szCs w:val="32"/>
        </w:rPr>
        <w:t>承办</w:t>
      </w:r>
      <w:r w:rsidR="006A216F">
        <w:rPr>
          <w:rFonts w:ascii="仿宋_GB2312" w:eastAsia="仿宋_GB2312" w:hAnsi="仿宋" w:cs="仿宋" w:hint="eastAsia"/>
          <w:sz w:val="32"/>
          <w:szCs w:val="32"/>
        </w:rPr>
        <w:t>市</w:t>
      </w:r>
      <w:r w:rsidR="004A0E57" w:rsidRPr="00987764">
        <w:rPr>
          <w:rFonts w:ascii="仿宋_GB2312" w:eastAsia="仿宋_GB2312" w:hAnsi="仿宋" w:cs="仿宋" w:hint="eastAsia"/>
          <w:sz w:val="32"/>
          <w:szCs w:val="32"/>
        </w:rPr>
        <w:t>人大建议、政协提案34件，按时回复率、满意率及主办件走访率均达100%。</w:t>
      </w:r>
      <w:r w:rsidR="004A0E57" w:rsidRPr="00ED4D12">
        <w:rPr>
          <w:rFonts w:ascii="仿宋_GB2312" w:eastAsia="仿宋_GB2312" w:hAnsi="仿宋" w:cs="仿宋" w:hint="eastAsia"/>
          <w:b/>
          <w:sz w:val="32"/>
          <w:szCs w:val="32"/>
        </w:rPr>
        <w:t>三是</w:t>
      </w:r>
      <w:r w:rsidR="004A0E57" w:rsidRPr="00FB59ED">
        <w:rPr>
          <w:rFonts w:ascii="仿宋_GB2312" w:eastAsia="仿宋_GB2312" w:hAnsi="仿宋" w:cs="仿宋" w:hint="eastAsia"/>
          <w:sz w:val="32"/>
          <w:szCs w:val="32"/>
        </w:rPr>
        <w:t>创新方式</w:t>
      </w:r>
      <w:r w:rsidR="00D11D07" w:rsidRPr="00FB59ED">
        <w:rPr>
          <w:rFonts w:ascii="仿宋_GB2312" w:eastAsia="仿宋_GB2312" w:hAnsi="仿宋" w:cs="仿宋" w:hint="eastAsia"/>
          <w:sz w:val="32"/>
          <w:szCs w:val="32"/>
        </w:rPr>
        <w:t>对外</w:t>
      </w:r>
      <w:r w:rsidR="004A0E57" w:rsidRPr="00FB59ED">
        <w:rPr>
          <w:rFonts w:ascii="仿宋_GB2312" w:eastAsia="仿宋_GB2312" w:hAnsi="仿宋" w:cs="仿宋" w:hint="eastAsia"/>
          <w:sz w:val="32"/>
          <w:szCs w:val="32"/>
        </w:rPr>
        <w:t>公开。</w:t>
      </w:r>
      <w:r w:rsidR="00C14F59">
        <w:rPr>
          <w:rFonts w:ascii="仿宋_GB2312" w:eastAsia="仿宋_GB2312" w:hAnsi="仿宋" w:cs="仿宋" w:hint="eastAsia"/>
          <w:sz w:val="32"/>
          <w:szCs w:val="32"/>
        </w:rPr>
        <w:t>紧贴地方经济发展和纳税人缴费人需求，</w:t>
      </w:r>
      <w:r w:rsidR="004A0E57" w:rsidRPr="00BD1536">
        <w:rPr>
          <w:rFonts w:ascii="仿宋_GB2312" w:eastAsia="仿宋_GB2312" w:hAnsi="仿宋" w:cs="仿宋" w:hint="eastAsia"/>
          <w:sz w:val="32"/>
          <w:szCs w:val="32"/>
        </w:rPr>
        <w:t>先后组织“‘五个中心’税收专业服务团队”“年度税务账单发布”“‘票e得’停车开票系统”等启动仪式</w:t>
      </w:r>
      <w:r w:rsidR="00C17E70">
        <w:rPr>
          <w:rFonts w:ascii="仿宋_GB2312" w:eastAsia="仿宋_GB2312" w:hAnsi="仿宋" w:cs="仿宋" w:hint="eastAsia"/>
          <w:sz w:val="32"/>
          <w:szCs w:val="32"/>
        </w:rPr>
        <w:t>和</w:t>
      </w:r>
      <w:r w:rsidR="004A0E57">
        <w:rPr>
          <w:rFonts w:ascii="仿宋_GB2312" w:eastAsia="仿宋_GB2312" w:hAnsi="仿宋" w:cs="仿宋" w:hint="eastAsia"/>
          <w:sz w:val="32"/>
          <w:szCs w:val="32"/>
        </w:rPr>
        <w:t>活动</w:t>
      </w:r>
      <w:r w:rsidR="004A0E57" w:rsidRPr="00BD1536">
        <w:rPr>
          <w:rFonts w:ascii="仿宋_GB2312" w:eastAsia="仿宋_GB2312" w:hAnsi="仿宋" w:cs="仿宋" w:hint="eastAsia"/>
          <w:sz w:val="32"/>
          <w:szCs w:val="32"/>
        </w:rPr>
        <w:t>，在各主流媒体网站、客户端等新媒体平台</w:t>
      </w:r>
      <w:r w:rsidR="00C17E70">
        <w:rPr>
          <w:rFonts w:ascii="仿宋_GB2312" w:eastAsia="仿宋_GB2312" w:hAnsi="仿宋" w:cs="仿宋" w:hint="eastAsia"/>
          <w:sz w:val="32"/>
          <w:szCs w:val="32"/>
        </w:rPr>
        <w:t>发布</w:t>
      </w:r>
      <w:r w:rsidR="004A0E57" w:rsidRPr="00BD1536">
        <w:rPr>
          <w:rFonts w:ascii="仿宋_GB2312" w:eastAsia="仿宋_GB2312" w:hAnsi="仿宋" w:cs="仿宋" w:hint="eastAsia"/>
          <w:sz w:val="32"/>
          <w:szCs w:val="32"/>
        </w:rPr>
        <w:t>文字、视频等衍生作品477篇</w:t>
      </w:r>
      <w:r w:rsidR="00CA07A9">
        <w:rPr>
          <w:rFonts w:ascii="仿宋_GB2312" w:eastAsia="仿宋_GB2312" w:hAnsi="仿宋" w:cs="仿宋" w:hint="eastAsia"/>
          <w:sz w:val="32"/>
          <w:szCs w:val="32"/>
        </w:rPr>
        <w:t>，促</w:t>
      </w:r>
      <w:r w:rsidR="007A5BD8">
        <w:rPr>
          <w:rFonts w:ascii="仿宋_GB2312" w:eastAsia="仿宋_GB2312" w:hAnsi="仿宋" w:cs="仿宋" w:hint="eastAsia"/>
          <w:sz w:val="32"/>
          <w:szCs w:val="32"/>
        </w:rPr>
        <w:t>税收</w:t>
      </w:r>
      <w:r w:rsidR="00CA07A9">
        <w:rPr>
          <w:rFonts w:ascii="仿宋_GB2312" w:eastAsia="仿宋_GB2312" w:hAnsi="仿宋" w:cs="仿宋" w:hint="eastAsia"/>
          <w:sz w:val="32"/>
          <w:szCs w:val="32"/>
        </w:rPr>
        <w:t>营商环境更加优化。</w:t>
      </w:r>
    </w:p>
    <w:p w:rsidR="008F22EF" w:rsidRDefault="00A70B70" w:rsidP="00372DDB">
      <w:pPr>
        <w:pStyle w:val="a5"/>
        <w:widowControl/>
        <w:spacing w:line="600" w:lineRule="exact"/>
        <w:ind w:firstLineChars="200" w:firstLine="643"/>
        <w:jc w:val="both"/>
        <w:rPr>
          <w:rFonts w:ascii="仿宋_GB2312" w:eastAsia="仿宋_GB2312" w:hAnsi="仿宋" w:cs="仿宋"/>
          <w:sz w:val="32"/>
          <w:szCs w:val="32"/>
        </w:rPr>
      </w:pPr>
      <w:r w:rsidRPr="00117882">
        <w:rPr>
          <w:rFonts w:ascii="楷体_GB2312" w:eastAsia="楷体_GB2312" w:hAnsi="仿宋" w:cs="仿宋" w:hint="eastAsia"/>
          <w:b/>
          <w:sz w:val="32"/>
          <w:szCs w:val="32"/>
        </w:rPr>
        <w:lastRenderedPageBreak/>
        <w:t>（二）</w:t>
      </w:r>
      <w:r w:rsidR="00F4442A" w:rsidRPr="00117882">
        <w:rPr>
          <w:rFonts w:ascii="楷体_GB2312" w:eastAsia="楷体_GB2312" w:hAnsi="仿宋" w:cs="仿宋" w:hint="eastAsia"/>
          <w:b/>
          <w:sz w:val="32"/>
          <w:szCs w:val="32"/>
        </w:rPr>
        <w:t>规范</w:t>
      </w:r>
      <w:r w:rsidR="00E37A5F">
        <w:rPr>
          <w:rFonts w:ascii="楷体_GB2312" w:eastAsia="楷体_GB2312" w:hAnsi="仿宋" w:cs="仿宋" w:hint="eastAsia"/>
          <w:b/>
          <w:sz w:val="32"/>
          <w:szCs w:val="32"/>
        </w:rPr>
        <w:t>依申请公开</w:t>
      </w:r>
      <w:r w:rsidR="00F4442A" w:rsidRPr="00117882">
        <w:rPr>
          <w:rFonts w:ascii="楷体_GB2312" w:eastAsia="楷体_GB2312" w:hAnsi="仿宋" w:cs="仿宋" w:hint="eastAsia"/>
          <w:b/>
          <w:sz w:val="32"/>
          <w:szCs w:val="32"/>
        </w:rPr>
        <w:t>。</w:t>
      </w:r>
      <w:r w:rsidR="008F22EF" w:rsidRPr="00ED4D12">
        <w:rPr>
          <w:rFonts w:ascii="仿宋_GB2312" w:eastAsia="仿宋_GB2312" w:hAnsi="仿宋" w:cs="仿宋" w:hint="eastAsia"/>
          <w:b/>
          <w:sz w:val="32"/>
          <w:szCs w:val="32"/>
        </w:rPr>
        <w:t>一是</w:t>
      </w:r>
      <w:r w:rsidR="008F22EF" w:rsidRPr="00FB59ED">
        <w:rPr>
          <w:rFonts w:ascii="仿宋_GB2312" w:eastAsia="仿宋_GB2312" w:hAnsi="仿宋" w:cs="仿宋" w:hint="eastAsia"/>
          <w:sz w:val="32"/>
          <w:szCs w:val="32"/>
        </w:rPr>
        <w:t>依法办理依申请公开办件。</w:t>
      </w:r>
      <w:r w:rsidR="00E37A5F" w:rsidRPr="00FB59ED">
        <w:rPr>
          <w:rFonts w:ascii="仿宋_GB2312" w:eastAsia="仿宋_GB2312" w:hAnsi="仿宋" w:cs="仿宋" w:hint="eastAsia"/>
          <w:sz w:val="32"/>
          <w:szCs w:val="32"/>
        </w:rPr>
        <w:t>梳理和规范依申请公开</w:t>
      </w:r>
      <w:r w:rsidR="00922065" w:rsidRPr="00FB59ED">
        <w:rPr>
          <w:rFonts w:ascii="仿宋_GB2312" w:eastAsia="仿宋_GB2312" w:hAnsi="仿宋" w:cs="仿宋" w:hint="eastAsia"/>
          <w:sz w:val="32"/>
          <w:szCs w:val="32"/>
        </w:rPr>
        <w:t>的</w:t>
      </w:r>
      <w:r w:rsidR="00E37A5F" w:rsidRPr="00FB59ED">
        <w:rPr>
          <w:rFonts w:ascii="仿宋_GB2312" w:eastAsia="仿宋_GB2312" w:hAnsi="仿宋" w:cs="仿宋" w:hint="eastAsia"/>
          <w:sz w:val="32"/>
          <w:szCs w:val="32"/>
        </w:rPr>
        <w:t>登记、审核、</w:t>
      </w:r>
      <w:r w:rsidR="007E18B3" w:rsidRPr="00FB59ED">
        <w:rPr>
          <w:rFonts w:ascii="仿宋_GB2312" w:eastAsia="仿宋_GB2312" w:hAnsi="仿宋" w:cs="仿宋" w:hint="eastAsia"/>
          <w:sz w:val="32"/>
          <w:szCs w:val="32"/>
        </w:rPr>
        <w:t>转办</w:t>
      </w:r>
      <w:r w:rsidR="00E37A5F" w:rsidRPr="00FB59ED">
        <w:rPr>
          <w:rFonts w:ascii="仿宋_GB2312" w:eastAsia="仿宋_GB2312" w:hAnsi="仿宋" w:cs="仿宋" w:hint="eastAsia"/>
          <w:sz w:val="32"/>
          <w:szCs w:val="32"/>
        </w:rPr>
        <w:t>、答</w:t>
      </w:r>
      <w:r w:rsidR="00E37A5F">
        <w:rPr>
          <w:rFonts w:ascii="仿宋_GB2312" w:eastAsia="仿宋_GB2312" w:hAnsi="仿宋" w:cs="仿宋" w:hint="eastAsia"/>
          <w:sz w:val="32"/>
          <w:szCs w:val="32"/>
        </w:rPr>
        <w:t>复和</w:t>
      </w:r>
      <w:r w:rsidR="00922065">
        <w:rPr>
          <w:rFonts w:ascii="仿宋_GB2312" w:eastAsia="仿宋_GB2312" w:hAnsi="仿宋" w:cs="仿宋" w:hint="eastAsia"/>
          <w:sz w:val="32"/>
          <w:szCs w:val="32"/>
        </w:rPr>
        <w:t>归档等环节流程</w:t>
      </w:r>
      <w:r w:rsidR="008F22EF">
        <w:rPr>
          <w:rFonts w:ascii="仿宋_GB2312" w:eastAsia="仿宋_GB2312" w:hAnsi="仿宋" w:cs="仿宋" w:hint="eastAsia"/>
          <w:sz w:val="32"/>
          <w:szCs w:val="32"/>
        </w:rPr>
        <w:t>，全年办理</w:t>
      </w:r>
      <w:r w:rsidR="004C58D7">
        <w:rPr>
          <w:rFonts w:ascii="仿宋_GB2312" w:eastAsia="仿宋_GB2312" w:hAnsi="仿宋" w:cs="仿宋" w:hint="eastAsia"/>
          <w:sz w:val="32"/>
          <w:szCs w:val="32"/>
        </w:rPr>
        <w:t>依申请公开办件60件。</w:t>
      </w:r>
      <w:r w:rsidR="004C58D7" w:rsidRPr="00ED4D12">
        <w:rPr>
          <w:rFonts w:ascii="仿宋_GB2312" w:eastAsia="仿宋_GB2312" w:hAnsi="仿宋" w:cs="仿宋" w:hint="eastAsia"/>
          <w:b/>
          <w:sz w:val="32"/>
          <w:szCs w:val="32"/>
        </w:rPr>
        <w:t>二是</w:t>
      </w:r>
      <w:r w:rsidR="00C26C01" w:rsidRPr="00FB59ED">
        <w:rPr>
          <w:rFonts w:ascii="仿宋_GB2312" w:eastAsia="仿宋_GB2312" w:hAnsi="仿宋" w:cs="仿宋" w:hint="eastAsia"/>
          <w:sz w:val="32"/>
          <w:szCs w:val="32"/>
        </w:rPr>
        <w:t>加大</w:t>
      </w:r>
      <w:r w:rsidR="004C58D7" w:rsidRPr="00FB59ED">
        <w:rPr>
          <w:rFonts w:ascii="仿宋_GB2312" w:eastAsia="仿宋_GB2312" w:hAnsi="仿宋" w:cs="仿宋" w:hint="eastAsia"/>
          <w:sz w:val="32"/>
          <w:szCs w:val="32"/>
        </w:rPr>
        <w:t>学习</w:t>
      </w:r>
      <w:r w:rsidR="00C26C01" w:rsidRPr="00FB59ED">
        <w:rPr>
          <w:rFonts w:ascii="仿宋_GB2312" w:eastAsia="仿宋_GB2312" w:hAnsi="仿宋" w:cs="仿宋" w:hint="eastAsia"/>
          <w:sz w:val="32"/>
          <w:szCs w:val="32"/>
        </w:rPr>
        <w:t>培训工作</w:t>
      </w:r>
      <w:r w:rsidR="004C58D7" w:rsidRPr="00FB59ED">
        <w:rPr>
          <w:rFonts w:ascii="仿宋_GB2312" w:eastAsia="仿宋_GB2312" w:hAnsi="仿宋" w:cs="仿宋" w:hint="eastAsia"/>
          <w:sz w:val="32"/>
          <w:szCs w:val="32"/>
        </w:rPr>
        <w:t>力度。组织全市税务系统40</w:t>
      </w:r>
      <w:r w:rsidR="00126075" w:rsidRPr="00FB59ED">
        <w:rPr>
          <w:rFonts w:ascii="仿宋_GB2312" w:eastAsia="仿宋_GB2312" w:hAnsi="仿宋" w:cs="仿宋" w:hint="eastAsia"/>
          <w:sz w:val="32"/>
          <w:szCs w:val="32"/>
        </w:rPr>
        <w:t>8</w:t>
      </w:r>
      <w:r w:rsidR="00922065" w:rsidRPr="00FB59ED">
        <w:rPr>
          <w:rFonts w:ascii="仿宋_GB2312" w:eastAsia="仿宋_GB2312" w:hAnsi="仿宋" w:cs="仿宋" w:hint="eastAsia"/>
          <w:sz w:val="32"/>
          <w:szCs w:val="32"/>
        </w:rPr>
        <w:t>人</w:t>
      </w:r>
      <w:r w:rsidR="004C58D7" w:rsidRPr="00FB59ED">
        <w:rPr>
          <w:rFonts w:ascii="仿宋_GB2312" w:eastAsia="仿宋_GB2312" w:hAnsi="仿宋" w:cs="仿宋" w:hint="eastAsia"/>
          <w:sz w:val="32"/>
          <w:szCs w:val="32"/>
        </w:rPr>
        <w:t>参加</w:t>
      </w:r>
      <w:r w:rsidR="00126075" w:rsidRPr="00FB59ED">
        <w:rPr>
          <w:rFonts w:ascii="仿宋_GB2312" w:eastAsia="仿宋_GB2312" w:hAnsi="仿宋" w:cs="仿宋" w:hint="eastAsia"/>
          <w:sz w:val="32"/>
          <w:szCs w:val="32"/>
        </w:rPr>
        <w:t>税务总</w:t>
      </w:r>
      <w:r w:rsidR="00126075">
        <w:rPr>
          <w:rFonts w:ascii="仿宋_GB2312" w:eastAsia="仿宋_GB2312" w:hAnsi="仿宋" w:cs="仿宋" w:hint="eastAsia"/>
          <w:sz w:val="32"/>
          <w:szCs w:val="32"/>
        </w:rPr>
        <w:t>局主办的政务公开视频培训，</w:t>
      </w:r>
      <w:r w:rsidR="00922065">
        <w:rPr>
          <w:rFonts w:ascii="仿宋_GB2312" w:eastAsia="仿宋_GB2312" w:hAnsi="仿宋" w:cs="仿宋" w:hint="eastAsia"/>
          <w:sz w:val="32"/>
          <w:szCs w:val="32"/>
        </w:rPr>
        <w:t>推动整体政务公开</w:t>
      </w:r>
      <w:r w:rsidR="007A5BD8">
        <w:rPr>
          <w:rFonts w:ascii="仿宋_GB2312" w:eastAsia="仿宋_GB2312" w:hAnsi="仿宋" w:cs="仿宋" w:hint="eastAsia"/>
          <w:sz w:val="32"/>
          <w:szCs w:val="32"/>
        </w:rPr>
        <w:t>能力</w:t>
      </w:r>
      <w:r w:rsidR="00922065">
        <w:rPr>
          <w:rFonts w:ascii="仿宋_GB2312" w:eastAsia="仿宋_GB2312" w:hAnsi="仿宋" w:cs="仿宋" w:hint="eastAsia"/>
          <w:sz w:val="32"/>
          <w:szCs w:val="32"/>
        </w:rPr>
        <w:t>和</w:t>
      </w:r>
      <w:r w:rsidR="007A5BD8">
        <w:rPr>
          <w:rFonts w:ascii="仿宋_GB2312" w:eastAsia="仿宋_GB2312" w:hAnsi="仿宋" w:cs="仿宋" w:hint="eastAsia"/>
          <w:sz w:val="32"/>
          <w:szCs w:val="32"/>
        </w:rPr>
        <w:t>水平</w:t>
      </w:r>
      <w:r w:rsidR="00126075">
        <w:rPr>
          <w:rFonts w:ascii="仿宋_GB2312" w:eastAsia="仿宋_GB2312" w:hAnsi="仿宋" w:cs="仿宋" w:hint="eastAsia"/>
          <w:sz w:val="32"/>
          <w:szCs w:val="32"/>
        </w:rPr>
        <w:t>提升。</w:t>
      </w:r>
    </w:p>
    <w:p w:rsidR="00950ECB" w:rsidRDefault="00A70B70" w:rsidP="00372DDB">
      <w:pPr>
        <w:pStyle w:val="a5"/>
        <w:widowControl/>
        <w:spacing w:line="600" w:lineRule="exact"/>
        <w:ind w:firstLineChars="200" w:firstLine="643"/>
        <w:jc w:val="both"/>
        <w:rPr>
          <w:rFonts w:ascii="仿宋_GB2312" w:eastAsia="仿宋_GB2312" w:hAnsi="仿宋" w:cs="仿宋"/>
          <w:sz w:val="32"/>
          <w:szCs w:val="32"/>
        </w:rPr>
      </w:pPr>
      <w:r w:rsidRPr="00C52762">
        <w:rPr>
          <w:rFonts w:ascii="楷体_GB2312" w:eastAsia="楷体_GB2312" w:hAnsi="仿宋" w:cs="仿宋" w:hint="eastAsia"/>
          <w:b/>
          <w:sz w:val="32"/>
          <w:szCs w:val="32"/>
        </w:rPr>
        <w:t>（三）</w:t>
      </w:r>
      <w:r w:rsidR="00C52762">
        <w:rPr>
          <w:rFonts w:ascii="楷体_GB2312" w:eastAsia="楷体_GB2312" w:hAnsi="仿宋" w:cs="仿宋" w:hint="eastAsia"/>
          <w:b/>
          <w:sz w:val="32"/>
          <w:szCs w:val="32"/>
        </w:rPr>
        <w:t>加强</w:t>
      </w:r>
      <w:r w:rsidR="00AE1308" w:rsidRPr="00C52762">
        <w:rPr>
          <w:rFonts w:ascii="楷体_GB2312" w:eastAsia="楷体_GB2312" w:hAnsi="仿宋" w:cs="仿宋" w:hint="eastAsia"/>
          <w:b/>
          <w:sz w:val="32"/>
          <w:szCs w:val="32"/>
        </w:rPr>
        <w:t>信息管理</w:t>
      </w:r>
      <w:r w:rsidR="00922065" w:rsidRPr="00C52762">
        <w:rPr>
          <w:rFonts w:ascii="楷体_GB2312" w:eastAsia="楷体_GB2312" w:hAnsi="仿宋" w:cs="仿宋" w:hint="eastAsia"/>
          <w:b/>
          <w:sz w:val="32"/>
          <w:szCs w:val="32"/>
        </w:rPr>
        <w:t>。</w:t>
      </w:r>
      <w:r w:rsidR="00C52762" w:rsidRPr="00ED4D12">
        <w:rPr>
          <w:rFonts w:ascii="仿宋_GB2312" w:eastAsia="仿宋_GB2312" w:hAnsi="仿宋" w:cs="仿宋" w:hint="eastAsia"/>
          <w:b/>
          <w:sz w:val="32"/>
          <w:szCs w:val="32"/>
        </w:rPr>
        <w:t>一是</w:t>
      </w:r>
      <w:r w:rsidR="0057358E" w:rsidRPr="00FB59ED">
        <w:rPr>
          <w:rFonts w:ascii="仿宋_GB2312" w:eastAsia="仿宋_GB2312" w:hAnsi="仿宋" w:cs="仿宋" w:hint="eastAsia"/>
          <w:sz w:val="32"/>
          <w:szCs w:val="32"/>
        </w:rPr>
        <w:t>执法信息</w:t>
      </w:r>
      <w:r w:rsidR="00C50657" w:rsidRPr="00FB59ED">
        <w:rPr>
          <w:rFonts w:ascii="仿宋_GB2312" w:eastAsia="仿宋_GB2312" w:hAnsi="仿宋" w:cs="仿宋" w:hint="eastAsia"/>
          <w:sz w:val="32"/>
          <w:szCs w:val="32"/>
        </w:rPr>
        <w:t>公示</w:t>
      </w:r>
      <w:r w:rsidR="0057358E" w:rsidRPr="00FB59ED">
        <w:rPr>
          <w:rFonts w:ascii="仿宋_GB2312" w:eastAsia="仿宋_GB2312" w:hAnsi="仿宋" w:cs="仿宋" w:hint="eastAsia"/>
          <w:sz w:val="32"/>
          <w:szCs w:val="32"/>
        </w:rPr>
        <w:t>更加常态。</w:t>
      </w:r>
      <w:r w:rsidR="00CE45A2">
        <w:rPr>
          <w:rFonts w:ascii="仿宋_GB2312" w:eastAsia="仿宋_GB2312" w:hAnsi="仿宋" w:cs="仿宋" w:hint="eastAsia"/>
          <w:sz w:val="32"/>
          <w:szCs w:val="32"/>
        </w:rPr>
        <w:t>认真落实</w:t>
      </w:r>
      <w:r w:rsidR="0057358E" w:rsidRPr="00FB59ED">
        <w:rPr>
          <w:rFonts w:ascii="仿宋_GB2312" w:eastAsia="仿宋_GB2312" w:hAnsi="仿宋" w:cs="仿宋" w:hint="eastAsia"/>
          <w:sz w:val="32"/>
          <w:szCs w:val="32"/>
        </w:rPr>
        <w:t>“三项制度”，依托</w:t>
      </w:r>
      <w:r w:rsidR="00F559C4">
        <w:rPr>
          <w:rFonts w:ascii="仿宋_GB2312" w:eastAsia="仿宋_GB2312" w:hAnsi="仿宋" w:cs="仿宋" w:hint="eastAsia"/>
          <w:sz w:val="32"/>
          <w:szCs w:val="32"/>
        </w:rPr>
        <w:t>对外</w:t>
      </w:r>
      <w:r w:rsidR="008A0ADA" w:rsidRPr="00FB59ED">
        <w:rPr>
          <w:rFonts w:ascii="仿宋_GB2312" w:eastAsia="仿宋_GB2312" w:hAnsi="仿宋" w:cs="仿宋" w:hint="eastAsia"/>
          <w:sz w:val="32"/>
          <w:szCs w:val="32"/>
        </w:rPr>
        <w:t>的</w:t>
      </w:r>
      <w:r w:rsidR="0057358E" w:rsidRPr="00FB59ED">
        <w:rPr>
          <w:rFonts w:ascii="仿宋_GB2312" w:eastAsia="仿宋_GB2312" w:hAnsi="仿宋" w:cs="仿宋" w:hint="eastAsia"/>
          <w:sz w:val="32"/>
          <w:szCs w:val="32"/>
        </w:rPr>
        <w:t>行政</w:t>
      </w:r>
      <w:r w:rsidR="0057358E">
        <w:rPr>
          <w:rFonts w:ascii="仿宋_GB2312" w:eastAsia="仿宋_GB2312" w:hAnsi="仿宋" w:cs="仿宋" w:hint="eastAsia"/>
          <w:sz w:val="32"/>
          <w:szCs w:val="32"/>
        </w:rPr>
        <w:t>执法信息平台，在</w:t>
      </w:r>
      <w:r w:rsidR="0057358E" w:rsidRPr="0057358E">
        <w:rPr>
          <w:rFonts w:ascii="仿宋_GB2312" w:eastAsia="仿宋_GB2312" w:hAnsi="仿宋" w:cs="仿宋" w:hint="eastAsia"/>
          <w:sz w:val="32"/>
          <w:szCs w:val="32"/>
        </w:rPr>
        <w:t>严格履行保密审查程序</w:t>
      </w:r>
      <w:r w:rsidR="0057358E">
        <w:rPr>
          <w:rFonts w:ascii="仿宋_GB2312" w:eastAsia="仿宋_GB2312" w:hAnsi="仿宋" w:cs="仿宋" w:hint="eastAsia"/>
          <w:sz w:val="32"/>
          <w:szCs w:val="32"/>
        </w:rPr>
        <w:t>基础上，全年主动对</w:t>
      </w:r>
      <w:proofErr w:type="gramStart"/>
      <w:r w:rsidR="0057358E">
        <w:rPr>
          <w:rFonts w:ascii="仿宋_GB2312" w:eastAsia="仿宋_GB2312" w:hAnsi="仿宋" w:cs="仿宋" w:hint="eastAsia"/>
          <w:sz w:val="32"/>
          <w:szCs w:val="32"/>
        </w:rPr>
        <w:t>外公示各类</w:t>
      </w:r>
      <w:proofErr w:type="gramEnd"/>
      <w:r w:rsidR="0057358E">
        <w:rPr>
          <w:rFonts w:ascii="仿宋_GB2312" w:eastAsia="仿宋_GB2312" w:hAnsi="仿宋" w:cs="仿宋" w:hint="eastAsia"/>
          <w:sz w:val="32"/>
          <w:szCs w:val="32"/>
        </w:rPr>
        <w:t>执法信息</w:t>
      </w:r>
      <w:r w:rsidR="00B863D9">
        <w:rPr>
          <w:rFonts w:ascii="仿宋_GB2312" w:eastAsia="仿宋_GB2312" w:hAnsi="仿宋" w:cs="仿宋" w:hint="eastAsia"/>
          <w:sz w:val="32"/>
          <w:szCs w:val="32"/>
        </w:rPr>
        <w:t>13</w:t>
      </w:r>
      <w:r w:rsidR="00A30B10">
        <w:rPr>
          <w:rFonts w:ascii="仿宋_GB2312" w:eastAsia="仿宋_GB2312" w:hAnsi="仿宋" w:cs="仿宋" w:hint="eastAsia"/>
          <w:sz w:val="32"/>
          <w:szCs w:val="32"/>
        </w:rPr>
        <w:t>.1</w:t>
      </w:r>
      <w:r w:rsidR="0057358E">
        <w:rPr>
          <w:rFonts w:ascii="仿宋_GB2312" w:eastAsia="仿宋_GB2312" w:hAnsi="仿宋" w:cs="仿宋" w:hint="eastAsia"/>
          <w:sz w:val="32"/>
          <w:szCs w:val="32"/>
        </w:rPr>
        <w:t>万条</w:t>
      </w:r>
      <w:r w:rsidR="005A0C69">
        <w:rPr>
          <w:rFonts w:ascii="仿宋_GB2312" w:eastAsia="仿宋_GB2312" w:hAnsi="仿宋" w:cs="仿宋" w:hint="eastAsia"/>
          <w:sz w:val="32"/>
          <w:szCs w:val="32"/>
        </w:rPr>
        <w:t>，制发</w:t>
      </w:r>
      <w:r w:rsidR="00C50657">
        <w:rPr>
          <w:rFonts w:ascii="仿宋_GB2312" w:eastAsia="仿宋_GB2312" w:hAnsi="仿宋" w:cs="仿宋" w:hint="eastAsia"/>
          <w:sz w:val="32"/>
          <w:szCs w:val="32"/>
        </w:rPr>
        <w:t>税收</w:t>
      </w:r>
      <w:r w:rsidR="005A0C69">
        <w:rPr>
          <w:rFonts w:ascii="仿宋_GB2312" w:eastAsia="仿宋_GB2312" w:hAnsi="仿宋" w:cs="仿宋" w:hint="eastAsia"/>
          <w:sz w:val="32"/>
          <w:szCs w:val="32"/>
        </w:rPr>
        <w:t>规范性文件2件</w:t>
      </w:r>
      <w:r w:rsidR="0057358E">
        <w:rPr>
          <w:rFonts w:ascii="仿宋_GB2312" w:eastAsia="仿宋_GB2312" w:hAnsi="仿宋" w:cs="仿宋" w:hint="eastAsia"/>
          <w:sz w:val="32"/>
          <w:szCs w:val="32"/>
        </w:rPr>
        <w:t>。</w:t>
      </w:r>
      <w:r w:rsidR="0057358E" w:rsidRPr="00ED4D12">
        <w:rPr>
          <w:rFonts w:ascii="仿宋_GB2312" w:eastAsia="仿宋_GB2312" w:hAnsi="仿宋" w:cs="仿宋" w:hint="eastAsia"/>
          <w:b/>
          <w:sz w:val="32"/>
          <w:szCs w:val="32"/>
        </w:rPr>
        <w:t>二是</w:t>
      </w:r>
      <w:r w:rsidR="0057358E" w:rsidRPr="00FB59ED">
        <w:rPr>
          <w:rFonts w:ascii="仿宋_GB2312" w:eastAsia="仿宋_GB2312" w:hAnsi="仿宋" w:cs="仿宋" w:hint="eastAsia"/>
          <w:sz w:val="32"/>
          <w:szCs w:val="32"/>
        </w:rPr>
        <w:t>日常信息公开更加及时。</w:t>
      </w:r>
      <w:r w:rsidR="0057358E" w:rsidRPr="00FB59ED">
        <w:rPr>
          <w:rFonts w:ascii="仿宋_GB2312" w:eastAsia="仿宋_GB2312" w:hint="eastAsia"/>
          <w:sz w:val="32"/>
          <w:szCs w:val="32"/>
        </w:rPr>
        <w:t>坚持“先审查、再公开”</w:t>
      </w:r>
      <w:r w:rsidR="0028437E" w:rsidRPr="00FB59ED">
        <w:rPr>
          <w:rFonts w:ascii="仿宋_GB2312" w:eastAsia="仿宋_GB2312" w:hint="eastAsia"/>
          <w:sz w:val="32"/>
          <w:szCs w:val="32"/>
        </w:rPr>
        <w:t>原则</w:t>
      </w:r>
      <w:r w:rsidR="0057358E" w:rsidRPr="00FB59ED">
        <w:rPr>
          <w:rFonts w:ascii="仿宋_GB2312" w:eastAsia="仿宋_GB2312" w:hint="eastAsia"/>
          <w:sz w:val="32"/>
          <w:szCs w:val="32"/>
        </w:rPr>
        <w:t>，</w:t>
      </w:r>
      <w:r w:rsidR="00E17244" w:rsidRPr="00FB59ED">
        <w:rPr>
          <w:rFonts w:ascii="仿宋_GB2312" w:eastAsia="仿宋_GB2312" w:hint="eastAsia"/>
          <w:sz w:val="32"/>
          <w:szCs w:val="32"/>
        </w:rPr>
        <w:t>持续</w:t>
      </w:r>
      <w:r w:rsidR="00E17244">
        <w:rPr>
          <w:rFonts w:ascii="仿宋_GB2312" w:eastAsia="仿宋_GB2312" w:hint="eastAsia"/>
          <w:sz w:val="32"/>
          <w:szCs w:val="32"/>
        </w:rPr>
        <w:t>通过外部门户网站</w:t>
      </w:r>
      <w:r w:rsidR="002476B3">
        <w:rPr>
          <w:rFonts w:ascii="仿宋_GB2312" w:eastAsia="仿宋_GB2312" w:hint="eastAsia"/>
          <w:sz w:val="32"/>
          <w:szCs w:val="32"/>
        </w:rPr>
        <w:t>更新</w:t>
      </w:r>
      <w:r w:rsidR="00E17244">
        <w:rPr>
          <w:rFonts w:ascii="仿宋_GB2312" w:eastAsia="仿宋_GB2312" w:hint="eastAsia"/>
          <w:sz w:val="32"/>
          <w:szCs w:val="32"/>
        </w:rPr>
        <w:t>发布信息，全年</w:t>
      </w:r>
      <w:r w:rsidR="002476B3">
        <w:rPr>
          <w:rFonts w:ascii="仿宋_GB2312" w:eastAsia="仿宋_GB2312" w:hint="eastAsia"/>
          <w:sz w:val="32"/>
          <w:szCs w:val="32"/>
        </w:rPr>
        <w:t>公开</w:t>
      </w:r>
      <w:r w:rsidR="0057358E" w:rsidRPr="00052B24">
        <w:rPr>
          <w:rFonts w:ascii="仿宋_GB2312" w:eastAsia="仿宋_GB2312" w:hint="eastAsia"/>
          <w:sz w:val="32"/>
          <w:szCs w:val="32"/>
        </w:rPr>
        <w:t>各类</w:t>
      </w:r>
      <w:r w:rsidR="0057358E">
        <w:rPr>
          <w:rFonts w:ascii="仿宋_GB2312" w:eastAsia="仿宋_GB2312" w:hint="eastAsia"/>
          <w:sz w:val="32"/>
          <w:szCs w:val="32"/>
        </w:rPr>
        <w:t>动态</w:t>
      </w:r>
      <w:r w:rsidR="0057358E" w:rsidRPr="00052B24">
        <w:rPr>
          <w:rFonts w:ascii="仿宋_GB2312" w:eastAsia="仿宋_GB2312" w:hint="eastAsia"/>
          <w:sz w:val="32"/>
          <w:szCs w:val="32"/>
        </w:rPr>
        <w:t>信息</w:t>
      </w:r>
      <w:r w:rsidR="0057358E">
        <w:rPr>
          <w:rFonts w:ascii="仿宋_GB2312" w:eastAsia="仿宋_GB2312" w:hint="eastAsia"/>
          <w:sz w:val="32"/>
          <w:szCs w:val="32"/>
        </w:rPr>
        <w:t>600余</w:t>
      </w:r>
      <w:r w:rsidR="0057358E" w:rsidRPr="00052B24">
        <w:rPr>
          <w:rFonts w:ascii="仿宋_GB2312" w:eastAsia="仿宋_GB2312" w:hint="eastAsia"/>
          <w:sz w:val="32"/>
          <w:szCs w:val="32"/>
        </w:rPr>
        <w:t>条</w:t>
      </w:r>
      <w:r w:rsidR="0057358E">
        <w:rPr>
          <w:rFonts w:ascii="仿宋_GB2312" w:eastAsia="仿宋_GB2312" w:hint="eastAsia"/>
          <w:sz w:val="32"/>
          <w:szCs w:val="32"/>
        </w:rPr>
        <w:t>。</w:t>
      </w:r>
      <w:r w:rsidR="0057358E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C2543C" w:rsidRDefault="00C26C01" w:rsidP="00372DDB">
      <w:pPr>
        <w:pStyle w:val="a5"/>
        <w:widowControl/>
        <w:spacing w:line="600" w:lineRule="exact"/>
        <w:ind w:firstLineChars="200" w:firstLine="643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</w:t>
      </w:r>
      <w:r w:rsidR="00A70B70" w:rsidRPr="00117882">
        <w:rPr>
          <w:rFonts w:ascii="楷体_GB2312" w:eastAsia="楷体_GB2312" w:hAnsi="仿宋" w:cs="仿宋" w:hint="eastAsia"/>
          <w:b/>
          <w:sz w:val="32"/>
          <w:szCs w:val="32"/>
        </w:rPr>
        <w:t>四）</w:t>
      </w:r>
      <w:r w:rsidR="00C52762">
        <w:rPr>
          <w:rFonts w:ascii="楷体_GB2312" w:eastAsia="楷体_GB2312" w:hAnsi="仿宋" w:cs="仿宋" w:hint="eastAsia"/>
          <w:b/>
          <w:sz w:val="32"/>
          <w:szCs w:val="32"/>
        </w:rPr>
        <w:t>优化</w:t>
      </w:r>
      <w:r w:rsidR="00F4442A" w:rsidRPr="00117882">
        <w:rPr>
          <w:rFonts w:ascii="楷体_GB2312" w:eastAsia="楷体_GB2312" w:hAnsi="仿宋" w:cs="仿宋" w:hint="eastAsia"/>
          <w:b/>
          <w:sz w:val="32"/>
          <w:szCs w:val="32"/>
        </w:rPr>
        <w:t>平台建设。</w:t>
      </w:r>
      <w:r w:rsidR="00E24D4C" w:rsidRPr="00ED4D12">
        <w:rPr>
          <w:rFonts w:ascii="仿宋_GB2312" w:eastAsia="仿宋_GB2312" w:hAnsi="仿宋" w:cs="仿宋" w:hint="eastAsia"/>
          <w:b/>
          <w:sz w:val="32"/>
          <w:szCs w:val="32"/>
        </w:rPr>
        <w:t>一是</w:t>
      </w:r>
      <w:r w:rsidR="00E24D4C" w:rsidRPr="00FB59ED">
        <w:rPr>
          <w:rFonts w:ascii="仿宋_GB2312" w:eastAsia="仿宋_GB2312" w:hAnsi="仿宋" w:cs="仿宋" w:hint="eastAsia"/>
          <w:sz w:val="32"/>
          <w:szCs w:val="32"/>
        </w:rPr>
        <w:t>门户网站更加丰富。</w:t>
      </w:r>
      <w:r w:rsidR="00137438" w:rsidRPr="00FB59ED">
        <w:rPr>
          <w:rFonts w:ascii="仿宋_GB2312" w:eastAsia="仿宋_GB2312" w:hint="eastAsia"/>
          <w:sz w:val="32"/>
          <w:szCs w:val="32"/>
        </w:rPr>
        <w:t>在</w:t>
      </w:r>
      <w:r w:rsidR="00137438" w:rsidRPr="00FB59ED">
        <w:rPr>
          <w:rFonts w:ascii="仿宋_GB2312" w:eastAsia="仿宋_GB2312" w:hAnsi="仿宋" w:cs="仿宋" w:hint="eastAsia"/>
          <w:sz w:val="32"/>
          <w:szCs w:val="32"/>
        </w:rPr>
        <w:t>省</w:t>
      </w:r>
      <w:r w:rsidR="008A0ADA" w:rsidRPr="00FB59ED">
        <w:rPr>
          <w:rFonts w:ascii="仿宋_GB2312" w:eastAsia="仿宋_GB2312" w:hAnsi="仿宋" w:cs="仿宋" w:hint="eastAsia"/>
          <w:sz w:val="32"/>
          <w:szCs w:val="32"/>
        </w:rPr>
        <w:t>税务局统一</w:t>
      </w:r>
      <w:r w:rsidR="00C2543C" w:rsidRPr="00FB59ED">
        <w:rPr>
          <w:rFonts w:ascii="仿宋_GB2312" w:eastAsia="仿宋_GB2312" w:hAnsi="仿宋" w:cs="仿宋" w:hint="eastAsia"/>
          <w:sz w:val="32"/>
          <w:szCs w:val="32"/>
        </w:rPr>
        <w:t>部署下，</w:t>
      </w:r>
      <w:r w:rsidR="00964806" w:rsidRPr="00FB59ED">
        <w:rPr>
          <w:rFonts w:ascii="仿宋_GB2312" w:eastAsia="仿宋_GB2312" w:hAnsi="仿宋" w:cs="仿宋" w:hint="eastAsia"/>
          <w:sz w:val="32"/>
          <w:szCs w:val="32"/>
        </w:rPr>
        <w:t>不断</w:t>
      </w:r>
      <w:proofErr w:type="gramStart"/>
      <w:r w:rsidR="00E24D4C" w:rsidRPr="00FB59ED">
        <w:rPr>
          <w:rFonts w:ascii="仿宋_GB2312" w:eastAsia="仿宋_GB2312" w:hAnsi="仿宋" w:cs="仿宋" w:hint="eastAsia"/>
          <w:sz w:val="32"/>
          <w:szCs w:val="32"/>
        </w:rPr>
        <w:t>改进市</w:t>
      </w:r>
      <w:proofErr w:type="gramEnd"/>
      <w:r w:rsidR="00E24D4C" w:rsidRPr="00FB59ED">
        <w:rPr>
          <w:rFonts w:ascii="仿宋_GB2312" w:eastAsia="仿宋_GB2312" w:hAnsi="仿宋" w:cs="仿宋" w:hint="eastAsia"/>
          <w:sz w:val="32"/>
          <w:szCs w:val="32"/>
        </w:rPr>
        <w:t>税务局外部门户网站栏目，升级</w:t>
      </w:r>
      <w:r w:rsidR="00147A3E" w:rsidRPr="00FB59ED">
        <w:rPr>
          <w:rFonts w:ascii="仿宋_GB2312" w:eastAsia="仿宋_GB2312" w:hAnsi="仿宋" w:cs="仿宋" w:hint="eastAsia"/>
          <w:sz w:val="32"/>
          <w:szCs w:val="32"/>
        </w:rPr>
        <w:t>和</w:t>
      </w:r>
      <w:r w:rsidR="00564DB8" w:rsidRPr="00FB59ED">
        <w:rPr>
          <w:rFonts w:ascii="仿宋_GB2312" w:eastAsia="仿宋_GB2312" w:hAnsi="仿宋" w:cs="仿宋" w:hint="eastAsia"/>
          <w:sz w:val="32"/>
          <w:szCs w:val="32"/>
        </w:rPr>
        <w:t>改版</w:t>
      </w:r>
      <w:r w:rsidR="00E24D4C" w:rsidRPr="00FB59ED">
        <w:rPr>
          <w:rFonts w:ascii="仿宋_GB2312" w:eastAsia="仿宋_GB2312" w:hAnsi="仿宋" w:cs="仿宋" w:hint="eastAsia"/>
          <w:sz w:val="32"/>
          <w:szCs w:val="32"/>
        </w:rPr>
        <w:t>了“优化税收营商环境在行动”等专栏。</w:t>
      </w:r>
      <w:r w:rsidR="00E24D4C" w:rsidRPr="00ED4D12">
        <w:rPr>
          <w:rFonts w:ascii="仿宋_GB2312" w:eastAsia="仿宋_GB2312" w:hAnsi="仿宋" w:cs="仿宋" w:hint="eastAsia"/>
          <w:b/>
          <w:sz w:val="32"/>
          <w:szCs w:val="32"/>
        </w:rPr>
        <w:t>二是</w:t>
      </w:r>
      <w:r w:rsidR="00E24D4C" w:rsidRPr="00FB59ED">
        <w:rPr>
          <w:rFonts w:ascii="仿宋_GB2312" w:eastAsia="仿宋_GB2312" w:hAnsi="仿宋" w:cs="仿宋" w:hint="eastAsia"/>
          <w:sz w:val="32"/>
          <w:szCs w:val="32"/>
        </w:rPr>
        <w:t>媒体矩阵更加立体。</w:t>
      </w:r>
      <w:r w:rsidR="00E24D4C">
        <w:rPr>
          <w:rFonts w:ascii="仿宋_GB2312" w:eastAsia="仿宋_GB2312" w:hAnsi="仿宋" w:cs="仿宋" w:hint="eastAsia"/>
          <w:sz w:val="32"/>
          <w:szCs w:val="32"/>
        </w:rPr>
        <w:t>以“武汉税务”</w:t>
      </w:r>
      <w:proofErr w:type="gramStart"/>
      <w:r w:rsidR="00E24D4C">
        <w:rPr>
          <w:rFonts w:ascii="仿宋_GB2312" w:eastAsia="仿宋_GB2312" w:hAnsi="仿宋" w:cs="仿宋" w:hint="eastAsia"/>
          <w:sz w:val="32"/>
          <w:szCs w:val="32"/>
        </w:rPr>
        <w:t>微信公众号</w:t>
      </w:r>
      <w:proofErr w:type="gramEnd"/>
      <w:r w:rsidR="00F74836">
        <w:rPr>
          <w:rFonts w:ascii="仿宋_GB2312" w:eastAsia="仿宋_GB2312" w:hAnsi="仿宋" w:cs="仿宋" w:hint="eastAsia"/>
          <w:sz w:val="32"/>
          <w:szCs w:val="32"/>
        </w:rPr>
        <w:t>为</w:t>
      </w:r>
      <w:r w:rsidR="00DF0613">
        <w:rPr>
          <w:rFonts w:ascii="仿宋_GB2312" w:eastAsia="仿宋_GB2312" w:hAnsi="仿宋" w:cs="仿宋" w:hint="eastAsia"/>
          <w:sz w:val="32"/>
          <w:szCs w:val="32"/>
        </w:rPr>
        <w:t>重要</w:t>
      </w:r>
      <w:r w:rsidR="00F74836">
        <w:rPr>
          <w:rFonts w:ascii="仿宋_GB2312" w:eastAsia="仿宋_GB2312" w:hAnsi="仿宋" w:cs="仿宋" w:hint="eastAsia"/>
          <w:sz w:val="32"/>
          <w:szCs w:val="32"/>
        </w:rPr>
        <w:t>阵地</w:t>
      </w:r>
      <w:r w:rsidR="00E24D4C">
        <w:rPr>
          <w:rFonts w:ascii="仿宋_GB2312" w:eastAsia="仿宋_GB2312" w:hAnsi="仿宋" w:cs="仿宋" w:hint="eastAsia"/>
          <w:sz w:val="32"/>
          <w:szCs w:val="32"/>
        </w:rPr>
        <w:t>，提升信息发布、解读回应、办事服务的整体水平，全年</w:t>
      </w:r>
      <w:r w:rsidR="00E24D4C" w:rsidRPr="00BD1536">
        <w:rPr>
          <w:rFonts w:ascii="仿宋_GB2312" w:eastAsia="仿宋_GB2312" w:hAnsi="仿宋" w:cs="仿宋" w:hint="eastAsia"/>
          <w:sz w:val="32"/>
          <w:szCs w:val="32"/>
        </w:rPr>
        <w:t>发布文章</w:t>
      </w:r>
      <w:r w:rsidR="00E24D4C">
        <w:rPr>
          <w:rFonts w:ascii="仿宋_GB2312" w:eastAsia="仿宋_GB2312" w:hAnsi="仿宋" w:cs="仿宋" w:hint="eastAsia"/>
          <w:sz w:val="32"/>
          <w:szCs w:val="32"/>
        </w:rPr>
        <w:t>708</w:t>
      </w:r>
      <w:r w:rsidR="00E24D4C" w:rsidRPr="00BD1536">
        <w:rPr>
          <w:rFonts w:ascii="仿宋_GB2312" w:eastAsia="仿宋_GB2312" w:hAnsi="仿宋" w:cs="仿宋" w:hint="eastAsia"/>
          <w:sz w:val="32"/>
          <w:szCs w:val="32"/>
        </w:rPr>
        <w:t>篇，</w:t>
      </w:r>
      <w:r w:rsidR="00E24D4C">
        <w:rPr>
          <w:rFonts w:ascii="仿宋_GB2312" w:eastAsia="仿宋_GB2312" w:hAnsi="仿宋" w:cs="仿宋" w:hint="eastAsia"/>
          <w:sz w:val="32"/>
          <w:szCs w:val="32"/>
        </w:rPr>
        <w:t>总阅读量超380万人次，同比增加41%</w:t>
      </w:r>
      <w:r w:rsidR="005E79C9">
        <w:rPr>
          <w:rFonts w:ascii="仿宋_GB2312" w:eastAsia="仿宋_GB2312" w:hAnsi="仿宋" w:cs="仿宋" w:hint="eastAsia"/>
          <w:sz w:val="32"/>
          <w:szCs w:val="32"/>
        </w:rPr>
        <w:t>。</w:t>
      </w:r>
      <w:r w:rsidR="003C2799">
        <w:rPr>
          <w:rFonts w:ascii="仿宋_GB2312" w:eastAsia="仿宋_GB2312" w:hAnsi="仿宋" w:cs="仿宋" w:hint="eastAsia"/>
          <w:sz w:val="32"/>
          <w:szCs w:val="32"/>
        </w:rPr>
        <w:t>借助</w:t>
      </w:r>
      <w:proofErr w:type="gramStart"/>
      <w:r w:rsidR="00E24D4C">
        <w:rPr>
          <w:rFonts w:ascii="仿宋_GB2312" w:eastAsia="仿宋_GB2312" w:hAnsi="仿宋" w:cs="仿宋" w:hint="eastAsia"/>
          <w:sz w:val="32"/>
          <w:szCs w:val="32"/>
        </w:rPr>
        <w:t>“武汉税务”抖音号</w:t>
      </w:r>
      <w:proofErr w:type="gramEnd"/>
      <w:r w:rsidR="00473AEF">
        <w:rPr>
          <w:rFonts w:ascii="仿宋_GB2312" w:eastAsia="仿宋_GB2312" w:hAnsi="仿宋" w:cs="仿宋" w:hint="eastAsia"/>
          <w:sz w:val="32"/>
          <w:szCs w:val="32"/>
        </w:rPr>
        <w:t>打造“税直播”</w:t>
      </w:r>
      <w:r w:rsidR="007E2521">
        <w:rPr>
          <w:rFonts w:ascii="仿宋_GB2312" w:eastAsia="仿宋_GB2312" w:hAnsi="仿宋" w:cs="仿宋" w:hint="eastAsia"/>
          <w:sz w:val="32"/>
          <w:szCs w:val="32"/>
        </w:rPr>
        <w:t>特色</w:t>
      </w:r>
      <w:r w:rsidR="00E129BC">
        <w:rPr>
          <w:rFonts w:ascii="仿宋_GB2312" w:eastAsia="仿宋_GB2312" w:hAnsi="仿宋" w:cs="仿宋" w:hint="eastAsia"/>
          <w:sz w:val="32"/>
          <w:szCs w:val="32"/>
        </w:rPr>
        <w:t>品牌，</w:t>
      </w:r>
      <w:r w:rsidR="00BB5CA1">
        <w:rPr>
          <w:rFonts w:ascii="仿宋_GB2312" w:eastAsia="仿宋_GB2312" w:hAnsi="仿宋" w:cs="仿宋" w:hint="eastAsia"/>
          <w:sz w:val="32"/>
          <w:szCs w:val="32"/>
        </w:rPr>
        <w:t>全年举办各类</w:t>
      </w:r>
      <w:r w:rsidR="007E2521">
        <w:rPr>
          <w:rFonts w:ascii="仿宋_GB2312" w:eastAsia="仿宋_GB2312" w:hAnsi="仿宋" w:cs="仿宋" w:hint="eastAsia"/>
          <w:sz w:val="32"/>
          <w:szCs w:val="32"/>
        </w:rPr>
        <w:t>直播培训</w:t>
      </w:r>
      <w:r w:rsidR="00BB5CA1">
        <w:rPr>
          <w:rFonts w:ascii="仿宋_GB2312" w:eastAsia="仿宋_GB2312" w:hAnsi="仿宋" w:cs="仿宋" w:hint="eastAsia"/>
          <w:sz w:val="32"/>
          <w:szCs w:val="32"/>
        </w:rPr>
        <w:t>45场</w:t>
      </w:r>
      <w:r w:rsidR="003A0DD7">
        <w:rPr>
          <w:rFonts w:ascii="仿宋_GB2312" w:eastAsia="仿宋_GB2312" w:hAnsi="仿宋" w:cs="仿宋" w:hint="eastAsia"/>
          <w:sz w:val="32"/>
          <w:szCs w:val="32"/>
        </w:rPr>
        <w:t>，</w:t>
      </w:r>
      <w:r w:rsidR="00BB5CA1">
        <w:rPr>
          <w:rFonts w:ascii="仿宋_GB2312" w:eastAsia="仿宋_GB2312" w:hAnsi="仿宋" w:cs="仿宋" w:hint="eastAsia"/>
          <w:sz w:val="32"/>
          <w:szCs w:val="32"/>
        </w:rPr>
        <w:t>累计观看人数100.8万</w:t>
      </w:r>
      <w:r w:rsidR="003C2799">
        <w:rPr>
          <w:rFonts w:ascii="仿宋_GB2312" w:eastAsia="仿宋_GB2312" w:hAnsi="仿宋" w:cs="仿宋" w:hint="eastAsia"/>
          <w:sz w:val="32"/>
          <w:szCs w:val="32"/>
        </w:rPr>
        <w:t>人次</w:t>
      </w:r>
      <w:r w:rsidR="007E2521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84774" w:rsidRDefault="00A70B70" w:rsidP="00372DDB">
      <w:pPr>
        <w:pStyle w:val="a5"/>
        <w:widowControl/>
        <w:spacing w:line="600" w:lineRule="exact"/>
        <w:ind w:firstLineChars="200" w:firstLine="643"/>
        <w:jc w:val="both"/>
        <w:rPr>
          <w:rFonts w:ascii="仿宋_GB2312" w:eastAsia="仿宋_GB2312" w:hAnsi="仿宋" w:cs="仿宋"/>
          <w:sz w:val="32"/>
          <w:szCs w:val="32"/>
        </w:rPr>
      </w:pPr>
      <w:r w:rsidRPr="00117882">
        <w:rPr>
          <w:rFonts w:ascii="楷体_GB2312" w:eastAsia="楷体_GB2312" w:hAnsi="仿宋" w:cs="仿宋" w:hint="eastAsia"/>
          <w:b/>
          <w:sz w:val="32"/>
          <w:szCs w:val="32"/>
        </w:rPr>
        <w:t>（五）</w:t>
      </w:r>
      <w:r w:rsidR="00C52762">
        <w:rPr>
          <w:rFonts w:ascii="楷体_GB2312" w:eastAsia="楷体_GB2312" w:hAnsi="仿宋" w:cs="仿宋" w:hint="eastAsia"/>
          <w:b/>
          <w:sz w:val="32"/>
          <w:szCs w:val="32"/>
        </w:rPr>
        <w:t>强化</w:t>
      </w:r>
      <w:r w:rsidRPr="00117882">
        <w:rPr>
          <w:rFonts w:ascii="楷体_GB2312" w:eastAsia="楷体_GB2312" w:hAnsi="仿宋" w:cs="仿宋" w:hint="eastAsia"/>
          <w:b/>
          <w:sz w:val="32"/>
          <w:szCs w:val="32"/>
        </w:rPr>
        <w:t>监督保障</w:t>
      </w:r>
      <w:r w:rsidR="00F4442A" w:rsidRPr="00117882">
        <w:rPr>
          <w:rFonts w:ascii="楷体_GB2312" w:eastAsia="楷体_GB2312" w:hAnsi="仿宋" w:cs="仿宋" w:hint="eastAsia"/>
          <w:b/>
          <w:sz w:val="32"/>
          <w:szCs w:val="32"/>
        </w:rPr>
        <w:t>。</w:t>
      </w:r>
      <w:r w:rsidR="00840BE0" w:rsidRPr="00ED4D12">
        <w:rPr>
          <w:rFonts w:ascii="仿宋_GB2312" w:eastAsia="仿宋_GB2312" w:hAnsi="仿宋" w:cs="仿宋" w:hint="eastAsia"/>
          <w:b/>
          <w:sz w:val="32"/>
          <w:szCs w:val="32"/>
        </w:rPr>
        <w:t>一是</w:t>
      </w:r>
      <w:r w:rsidR="007A7F71" w:rsidRPr="00FB59ED">
        <w:rPr>
          <w:rFonts w:ascii="仿宋_GB2312" w:eastAsia="仿宋_GB2312" w:hAnsi="仿宋" w:cs="仿宋" w:hint="eastAsia"/>
          <w:sz w:val="32"/>
          <w:szCs w:val="32"/>
        </w:rPr>
        <w:t>以绩效管理促工作落实。编制政务公开相关绩效管理指标，发挥绩效考评的</w:t>
      </w:r>
      <w:r w:rsidR="007A7F71">
        <w:rPr>
          <w:rFonts w:ascii="仿宋_GB2312" w:eastAsia="仿宋_GB2312" w:hAnsi="仿宋" w:cs="仿宋" w:hint="eastAsia"/>
          <w:sz w:val="32"/>
          <w:szCs w:val="32"/>
        </w:rPr>
        <w:t>指挥棒作用。</w:t>
      </w:r>
      <w:r w:rsidR="007A7F71" w:rsidRPr="00ED4D12">
        <w:rPr>
          <w:rFonts w:ascii="仿宋_GB2312" w:eastAsia="仿宋_GB2312" w:hAnsi="仿宋" w:cs="仿宋" w:hint="eastAsia"/>
          <w:b/>
          <w:sz w:val="32"/>
          <w:szCs w:val="32"/>
        </w:rPr>
        <w:t>二是</w:t>
      </w:r>
      <w:r w:rsidR="007A7F71" w:rsidRPr="00FB59ED">
        <w:rPr>
          <w:rFonts w:ascii="仿宋_GB2312" w:eastAsia="仿宋_GB2312" w:hAnsi="仿宋" w:cs="仿宋" w:hint="eastAsia"/>
          <w:sz w:val="32"/>
          <w:szCs w:val="32"/>
        </w:rPr>
        <w:t>以问题整改促工作提升。</w:t>
      </w:r>
      <w:r w:rsidR="00B84774" w:rsidRPr="00FB59ED">
        <w:rPr>
          <w:rFonts w:ascii="仿宋_GB2312" w:eastAsia="仿宋_GB2312" w:hAnsi="仿宋" w:cs="仿宋" w:hint="eastAsia"/>
          <w:sz w:val="32"/>
          <w:szCs w:val="32"/>
        </w:rPr>
        <w:t>通过</w:t>
      </w:r>
      <w:r w:rsidR="007A7F71" w:rsidRPr="00FB59ED">
        <w:rPr>
          <w:rFonts w:ascii="仿宋_GB2312" w:eastAsia="仿宋_GB2312" w:hAnsi="仿宋" w:cs="仿宋" w:hint="eastAsia"/>
          <w:sz w:val="32"/>
          <w:szCs w:val="32"/>
        </w:rPr>
        <w:t>对</w:t>
      </w:r>
      <w:r w:rsidR="00CA1AA3" w:rsidRPr="00FB59ED">
        <w:rPr>
          <w:rFonts w:ascii="仿宋_GB2312" w:eastAsia="仿宋_GB2312" w:hAnsi="仿宋" w:cs="仿宋" w:hint="eastAsia"/>
          <w:sz w:val="32"/>
          <w:szCs w:val="32"/>
        </w:rPr>
        <w:t>市税</w:t>
      </w:r>
      <w:r w:rsidR="00CA1AA3">
        <w:rPr>
          <w:rFonts w:ascii="仿宋_GB2312" w:eastAsia="仿宋_GB2312" w:hAnsi="仿宋" w:cs="仿宋" w:hint="eastAsia"/>
          <w:sz w:val="32"/>
          <w:szCs w:val="32"/>
        </w:rPr>
        <w:t>务局政府信息公开</w:t>
      </w:r>
      <w:r w:rsidR="00931F7D">
        <w:rPr>
          <w:rFonts w:ascii="仿宋_GB2312" w:eastAsia="仿宋_GB2312" w:hAnsi="仿宋" w:cs="仿宋" w:hint="eastAsia"/>
          <w:sz w:val="32"/>
          <w:szCs w:val="32"/>
        </w:rPr>
        <w:t>工作</w:t>
      </w:r>
      <w:r w:rsidR="00FF1262">
        <w:rPr>
          <w:rFonts w:ascii="仿宋_GB2312" w:eastAsia="仿宋_GB2312" w:hAnsi="仿宋" w:cs="仿宋" w:hint="eastAsia"/>
          <w:sz w:val="32"/>
          <w:szCs w:val="32"/>
        </w:rPr>
        <w:lastRenderedPageBreak/>
        <w:t>开展</w:t>
      </w:r>
      <w:r w:rsidR="007A7F71">
        <w:rPr>
          <w:rFonts w:ascii="仿宋_GB2312" w:eastAsia="仿宋_GB2312" w:hAnsi="仿宋" w:cs="仿宋" w:hint="eastAsia"/>
          <w:sz w:val="32"/>
          <w:szCs w:val="32"/>
        </w:rPr>
        <w:t>自查整改，进一步</w:t>
      </w:r>
      <w:r w:rsidR="00931F7D">
        <w:rPr>
          <w:rFonts w:ascii="仿宋_GB2312" w:eastAsia="仿宋_GB2312" w:hAnsi="仿宋" w:cs="仿宋" w:hint="eastAsia"/>
          <w:sz w:val="32"/>
          <w:szCs w:val="32"/>
        </w:rPr>
        <w:t>规范了重点</w:t>
      </w:r>
      <w:r w:rsidR="00B84774">
        <w:rPr>
          <w:rFonts w:ascii="仿宋_GB2312" w:eastAsia="仿宋_GB2312" w:hAnsi="仿宋" w:cs="仿宋" w:hint="eastAsia"/>
          <w:sz w:val="32"/>
          <w:szCs w:val="32"/>
        </w:rPr>
        <w:t>栏目</w:t>
      </w:r>
      <w:r w:rsidR="00931F7D">
        <w:rPr>
          <w:rFonts w:ascii="仿宋_GB2312" w:eastAsia="仿宋_GB2312" w:hAnsi="仿宋" w:cs="仿宋" w:hint="eastAsia"/>
          <w:sz w:val="32"/>
          <w:szCs w:val="32"/>
        </w:rPr>
        <w:t>设置，特别是在“法定主动公开”栏目新增</w:t>
      </w:r>
      <w:r w:rsidR="003405FC">
        <w:rPr>
          <w:rFonts w:ascii="仿宋_GB2312" w:eastAsia="仿宋_GB2312" w:hAnsi="仿宋" w:cs="仿宋" w:hint="eastAsia"/>
          <w:sz w:val="32"/>
          <w:szCs w:val="32"/>
        </w:rPr>
        <w:t>了多个</w:t>
      </w:r>
      <w:r w:rsidR="00931F7D">
        <w:rPr>
          <w:rFonts w:ascii="仿宋_GB2312" w:eastAsia="仿宋_GB2312" w:hAnsi="仿宋" w:cs="仿宋" w:hint="eastAsia"/>
          <w:sz w:val="32"/>
          <w:szCs w:val="32"/>
        </w:rPr>
        <w:t>链接，</w:t>
      </w:r>
      <w:r w:rsidR="00544671">
        <w:rPr>
          <w:rFonts w:ascii="仿宋_GB2312" w:eastAsia="仿宋_GB2312" w:hAnsi="仿宋" w:cs="仿宋" w:hint="eastAsia"/>
          <w:sz w:val="32"/>
          <w:szCs w:val="32"/>
        </w:rPr>
        <w:t>细分</w:t>
      </w:r>
      <w:r w:rsidR="00A4165F">
        <w:rPr>
          <w:rFonts w:ascii="仿宋_GB2312" w:eastAsia="仿宋_GB2312" w:hAnsi="仿宋" w:cs="仿宋" w:hint="eastAsia"/>
          <w:sz w:val="32"/>
          <w:szCs w:val="32"/>
        </w:rPr>
        <w:t>了“政府采购”</w:t>
      </w:r>
      <w:r w:rsidR="00805A2F">
        <w:rPr>
          <w:rFonts w:ascii="仿宋_GB2312" w:eastAsia="仿宋_GB2312" w:hAnsi="仿宋" w:cs="仿宋" w:hint="eastAsia"/>
          <w:sz w:val="32"/>
          <w:szCs w:val="32"/>
        </w:rPr>
        <w:t>栏目层次</w:t>
      </w:r>
      <w:r w:rsidR="00B9504E">
        <w:rPr>
          <w:rFonts w:ascii="仿宋_GB2312" w:eastAsia="仿宋_GB2312" w:hAnsi="仿宋" w:cs="仿宋" w:hint="eastAsia"/>
          <w:sz w:val="32"/>
          <w:szCs w:val="32"/>
        </w:rPr>
        <w:t>，丰富了“政策解读”栏目内容</w:t>
      </w:r>
      <w:r w:rsidR="00A4165F">
        <w:rPr>
          <w:rFonts w:ascii="仿宋_GB2312" w:eastAsia="仿宋_GB2312" w:hAnsi="仿宋" w:cs="仿宋" w:hint="eastAsia"/>
          <w:sz w:val="32"/>
          <w:szCs w:val="32"/>
        </w:rPr>
        <w:t>，</w:t>
      </w:r>
      <w:proofErr w:type="gramStart"/>
      <w:r w:rsidR="00931F7D">
        <w:rPr>
          <w:rFonts w:ascii="仿宋_GB2312" w:eastAsia="仿宋_GB2312" w:hAnsi="仿宋" w:cs="仿宋" w:hint="eastAsia"/>
          <w:sz w:val="32"/>
          <w:szCs w:val="32"/>
        </w:rPr>
        <w:t>让</w:t>
      </w:r>
      <w:r w:rsidR="00397E9C">
        <w:rPr>
          <w:rFonts w:ascii="仿宋_GB2312" w:eastAsia="仿宋_GB2312" w:hAnsi="仿宋" w:cs="仿宋" w:hint="eastAsia"/>
          <w:sz w:val="32"/>
          <w:szCs w:val="32"/>
        </w:rPr>
        <w:t>相关</w:t>
      </w:r>
      <w:proofErr w:type="gramEnd"/>
      <w:r w:rsidR="00544671">
        <w:rPr>
          <w:rFonts w:ascii="仿宋_GB2312" w:eastAsia="仿宋_GB2312" w:hAnsi="仿宋" w:cs="仿宋" w:hint="eastAsia"/>
          <w:sz w:val="32"/>
          <w:szCs w:val="32"/>
        </w:rPr>
        <w:t>信息</w:t>
      </w:r>
      <w:r w:rsidR="00A4165F">
        <w:rPr>
          <w:rFonts w:ascii="仿宋_GB2312" w:eastAsia="仿宋_GB2312" w:hAnsi="仿宋" w:cs="仿宋" w:hint="eastAsia"/>
          <w:sz w:val="32"/>
          <w:szCs w:val="32"/>
        </w:rPr>
        <w:t>的展示</w:t>
      </w:r>
      <w:r w:rsidR="00931F7D">
        <w:rPr>
          <w:rFonts w:ascii="仿宋_GB2312" w:eastAsia="仿宋_GB2312" w:hAnsi="仿宋" w:cs="仿宋" w:hint="eastAsia"/>
          <w:sz w:val="32"/>
          <w:szCs w:val="32"/>
        </w:rPr>
        <w:t>更加清晰</w:t>
      </w:r>
      <w:r w:rsidR="00397E9C">
        <w:rPr>
          <w:rFonts w:ascii="仿宋_GB2312" w:eastAsia="仿宋_GB2312" w:hAnsi="仿宋" w:cs="仿宋" w:hint="eastAsia"/>
          <w:sz w:val="32"/>
          <w:szCs w:val="32"/>
        </w:rPr>
        <w:t>直观</w:t>
      </w:r>
      <w:r w:rsidR="00931F7D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50ECB" w:rsidRDefault="00AE1308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二、主动公开政府信息情况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54"/>
        <w:gridCol w:w="2154"/>
        <w:gridCol w:w="2155"/>
        <w:gridCol w:w="2155"/>
      </w:tblGrid>
      <w:tr w:rsidR="00950ECB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现行有效件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ascii="Calibri" w:eastAsia="宋体" w:hAnsi="Calibri" w:cs="Calibri" w:hint="eastAsia"/>
                <w:color w:val="333333"/>
                <w:szCs w:val="21"/>
              </w:rPr>
              <w:t>0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5503EE"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5503EE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Calibri" w:eastAsia="宋体" w:hAnsi="Calibri" w:cs="Calibri" w:hint="eastAsia"/>
                <w:color w:val="333333"/>
                <w:szCs w:val="21"/>
              </w:rPr>
              <w:t>35</w:t>
            </w:r>
          </w:p>
        </w:tc>
      </w:tr>
      <w:tr w:rsidR="00950ECB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ascii="Calibri" w:eastAsia="宋体" w:hAnsi="Calibri" w:cs="Calibri" w:hint="eastAsia"/>
                <w:color w:val="333333"/>
                <w:szCs w:val="21"/>
              </w:rPr>
              <w:t>0</w:t>
            </w:r>
          </w:p>
        </w:tc>
      </w:tr>
      <w:tr w:rsidR="00950ECB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870F35">
            <w:pPr>
              <w:widowControl/>
              <w:spacing w:line="30" w:lineRule="atLeast"/>
              <w:jc w:val="center"/>
              <w:rPr>
                <w:szCs w:val="21"/>
              </w:rPr>
            </w:pPr>
            <w:bookmarkStart w:id="0" w:name="_GoBack"/>
            <w:bookmarkEnd w:id="0"/>
            <w:r w:rsidRPr="00870F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950ECB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950ECB" w:rsidRDefault="00950ECB">
      <w:pPr>
        <w:widowControl/>
        <w:jc w:val="left"/>
      </w:pPr>
    </w:p>
    <w:p w:rsidR="00950ECB" w:rsidRDefault="00AE1308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三、收到和处理政府信息公开申请情况</w:t>
      </w:r>
    </w:p>
    <w:tbl>
      <w:tblPr>
        <w:tblW w:w="4999" w:type="pct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70"/>
        <w:gridCol w:w="817"/>
        <w:gridCol w:w="2913"/>
        <w:gridCol w:w="608"/>
        <w:gridCol w:w="608"/>
        <w:gridCol w:w="608"/>
        <w:gridCol w:w="608"/>
        <w:gridCol w:w="608"/>
        <w:gridCol w:w="631"/>
        <w:gridCol w:w="596"/>
      </w:tblGrid>
      <w:tr w:rsidR="00950ECB" w:rsidTr="00AE6F50">
        <w:trPr>
          <w:jc w:val="center"/>
        </w:trPr>
        <w:tc>
          <w:tcPr>
            <w:tcW w:w="253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246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申请人情况</w:t>
            </w:r>
          </w:p>
        </w:tc>
      </w:tr>
      <w:tr w:rsidR="00950ECB" w:rsidTr="00AE6F50">
        <w:trPr>
          <w:jc w:val="center"/>
        </w:trPr>
        <w:tc>
          <w:tcPr>
            <w:tcW w:w="253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176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总计</w:t>
            </w:r>
          </w:p>
        </w:tc>
      </w:tr>
      <w:tr w:rsidR="00950ECB" w:rsidTr="00AE6F50">
        <w:trPr>
          <w:jc w:val="center"/>
        </w:trPr>
        <w:tc>
          <w:tcPr>
            <w:tcW w:w="253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商业</w:t>
            </w:r>
          </w:p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科研</w:t>
            </w:r>
          </w:p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950ECB" w:rsidTr="00AE6F50"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59</w:t>
            </w:r>
          </w:p>
        </w:tc>
      </w:tr>
      <w:tr w:rsidR="00950ECB" w:rsidTr="00AE6F50"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55C6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950ECB" w:rsidTr="00AE6F50"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0F27F1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1770E2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1770E2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3.危及“三安全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1770E2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1770E2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1770E2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（五）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不予处理</w:t>
            </w:r>
            <w:proofErr w:type="gramEnd"/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1770E2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1770E2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AE6F50">
        <w:trPr>
          <w:trHeight w:val="779"/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1.申请人无正当理由逾期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不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补正、行政机关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不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1770E2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2.申请人逾期未按收费通知要求缴纳费用、行政机关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不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AE6F50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60</w:t>
            </w:r>
          </w:p>
        </w:tc>
      </w:tr>
      <w:tr w:rsidR="00AE6F50" w:rsidTr="00AE6F50"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 w:rsidP="00AE6F50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950ECB" w:rsidRDefault="00AE1308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四、政府信息公开行政复议、行政诉讼情况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80"/>
        <w:gridCol w:w="578"/>
        <w:gridCol w:w="578"/>
        <w:gridCol w:w="588"/>
        <w:gridCol w:w="579"/>
        <w:gridCol w:w="579"/>
        <w:gridCol w:w="581"/>
        <w:gridCol w:w="581"/>
        <w:gridCol w:w="586"/>
        <w:gridCol w:w="581"/>
        <w:gridCol w:w="581"/>
        <w:gridCol w:w="581"/>
        <w:gridCol w:w="581"/>
        <w:gridCol w:w="584"/>
      </w:tblGrid>
      <w:tr w:rsidR="00950ECB">
        <w:trPr>
          <w:jc w:val="center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 w:rsidR="00950ECB"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 w:rsidR="00950ECB">
        <w:trPr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50ECB">
        <w:trPr>
          <w:trHeight w:val="672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/>
                <w:color w:val="333333"/>
                <w:sz w:val="20"/>
                <w:szCs w:val="20"/>
              </w:rPr>
              <w:t> </w:t>
            </w:r>
            <w:r w:rsidR="0001241D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 </w:t>
            </w:r>
            <w:r w:rsidR="0001241D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 </w:t>
            </w:r>
            <w:r w:rsidR="0001241D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 </w:t>
            </w:r>
            <w:r w:rsidR="0001241D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 </w:t>
            </w:r>
            <w:r w:rsidR="0001241D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31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 </w:t>
            </w:r>
            <w:r w:rsidR="0001241D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 </w:t>
            </w:r>
            <w:r w:rsidR="0001241D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 </w:t>
            </w:r>
            <w:r w:rsidR="0001241D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 </w:t>
            </w:r>
            <w:r w:rsidR="0001241D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 </w:t>
            </w:r>
            <w:r w:rsidR="0001241D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 </w:t>
            </w:r>
            <w:r w:rsidR="0001241D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 </w:t>
            </w:r>
            <w:r w:rsidR="0001241D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 </w:t>
            </w:r>
            <w:r w:rsidR="0001241D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01241D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01241D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950ECB" w:rsidRDefault="00950ECB">
      <w:pPr>
        <w:widowControl/>
        <w:jc w:val="left"/>
      </w:pPr>
    </w:p>
    <w:p w:rsidR="00950ECB" w:rsidRDefault="00AE1308" w:rsidP="00372DDB">
      <w:pPr>
        <w:pStyle w:val="a5"/>
        <w:widowControl/>
        <w:spacing w:line="60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五、存在的主要问题及改进情况</w:t>
      </w:r>
    </w:p>
    <w:p w:rsidR="00CD39E1" w:rsidRDefault="006727B7" w:rsidP="00372DDB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2020年市税务局</w:t>
      </w:r>
      <w:r w:rsidR="00106729">
        <w:rPr>
          <w:rFonts w:ascii="仿宋_GB2312" w:eastAsia="仿宋_GB2312" w:hAnsi="仿宋" w:cs="仿宋" w:hint="eastAsia"/>
          <w:sz w:val="32"/>
          <w:szCs w:val="32"/>
        </w:rPr>
        <w:t>政府信息公开</w:t>
      </w:r>
      <w:r w:rsidR="00D46A81">
        <w:rPr>
          <w:rFonts w:ascii="仿宋_GB2312" w:eastAsia="仿宋_GB2312" w:hAnsi="仿宋" w:cs="仿宋" w:hint="eastAsia"/>
          <w:sz w:val="32"/>
          <w:szCs w:val="32"/>
        </w:rPr>
        <w:t>工作存在的主要问题是队伍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配备和能力素质</w:t>
      </w:r>
      <w:r w:rsidR="00D46A81">
        <w:rPr>
          <w:rFonts w:ascii="仿宋_GB2312" w:eastAsia="仿宋_GB2312" w:hAnsi="宋体" w:cs="宋体" w:hint="eastAsia"/>
          <w:kern w:val="0"/>
          <w:sz w:val="32"/>
          <w:szCs w:val="32"/>
        </w:rPr>
        <w:t>不能完全满足工作需要，为此</w:t>
      </w:r>
      <w:r w:rsidR="00AE0BA7">
        <w:rPr>
          <w:rFonts w:ascii="仿宋_GB2312" w:eastAsia="仿宋_GB2312" w:hAnsi="宋体" w:cs="宋体" w:hint="eastAsia"/>
          <w:kern w:val="0"/>
          <w:sz w:val="32"/>
          <w:szCs w:val="32"/>
        </w:rPr>
        <w:t>，市税务局</w:t>
      </w:r>
      <w:r w:rsidR="001038D2" w:rsidRPr="00FB59ED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</w:t>
      </w:r>
      <w:r w:rsidR="001038D2" w:rsidRPr="00FB59ED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是</w:t>
      </w:r>
      <w:r w:rsidR="00304966">
        <w:rPr>
          <w:rFonts w:ascii="仿宋_GB2312" w:eastAsia="仿宋_GB2312" w:hAnsi="宋体" w:cs="宋体" w:hint="eastAsia"/>
          <w:kern w:val="0"/>
          <w:sz w:val="32"/>
          <w:szCs w:val="32"/>
        </w:rPr>
        <w:t>加强</w:t>
      </w:r>
      <w:r w:rsidR="00181316"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 w:rsidR="003A709F">
        <w:rPr>
          <w:rFonts w:ascii="仿宋_GB2312" w:eastAsia="仿宋_GB2312" w:hAnsi="宋体" w:cs="宋体" w:hint="eastAsia"/>
          <w:kern w:val="0"/>
          <w:sz w:val="32"/>
          <w:szCs w:val="32"/>
        </w:rPr>
        <w:t>培训，</w:t>
      </w:r>
      <w:r w:rsidR="001038D2">
        <w:rPr>
          <w:rFonts w:ascii="仿宋_GB2312" w:eastAsia="仿宋_GB2312" w:hAnsi="宋体" w:cs="宋体" w:hint="eastAsia"/>
          <w:kern w:val="0"/>
          <w:sz w:val="32"/>
          <w:szCs w:val="32"/>
        </w:rPr>
        <w:t>在日常工作中</w:t>
      </w:r>
      <w:r w:rsidR="003A709F">
        <w:rPr>
          <w:rFonts w:ascii="仿宋_GB2312" w:eastAsia="仿宋_GB2312" w:hAnsi="宋体" w:cs="宋体" w:hint="eastAsia"/>
          <w:kern w:val="0"/>
          <w:sz w:val="32"/>
          <w:szCs w:val="32"/>
        </w:rPr>
        <w:t>及时转发</w:t>
      </w:r>
      <w:r w:rsidR="00181316">
        <w:rPr>
          <w:rFonts w:ascii="仿宋_GB2312" w:eastAsia="仿宋_GB2312" w:hAnsi="宋体" w:cs="宋体" w:hint="eastAsia"/>
          <w:kern w:val="0"/>
          <w:sz w:val="32"/>
          <w:szCs w:val="32"/>
        </w:rPr>
        <w:t>和学习</w:t>
      </w:r>
      <w:r w:rsidR="003A709F">
        <w:rPr>
          <w:rFonts w:ascii="仿宋_GB2312" w:eastAsia="仿宋_GB2312" w:hAnsi="宋体" w:cs="宋体" w:hint="eastAsia"/>
          <w:kern w:val="0"/>
          <w:sz w:val="32"/>
          <w:szCs w:val="32"/>
        </w:rPr>
        <w:t>政府信息公开的最新文件</w:t>
      </w:r>
      <w:r w:rsidR="00F95863">
        <w:rPr>
          <w:rFonts w:ascii="仿宋_GB2312" w:eastAsia="仿宋_GB2312" w:hAnsi="宋体" w:cs="宋体" w:hint="eastAsia"/>
          <w:kern w:val="0"/>
          <w:sz w:val="32"/>
          <w:szCs w:val="32"/>
        </w:rPr>
        <w:t>资料，</w:t>
      </w:r>
      <w:r w:rsidR="001038D2">
        <w:rPr>
          <w:rFonts w:ascii="仿宋_GB2312" w:eastAsia="仿宋_GB2312" w:hAnsi="宋体" w:cs="宋体" w:hint="eastAsia"/>
          <w:kern w:val="0"/>
          <w:sz w:val="32"/>
          <w:szCs w:val="32"/>
        </w:rPr>
        <w:t>并于2021年12月</w:t>
      </w:r>
      <w:r w:rsidR="00A36828">
        <w:rPr>
          <w:rFonts w:ascii="仿宋_GB2312" w:eastAsia="仿宋_GB2312" w:hAnsi="宋体" w:cs="宋体" w:hint="eastAsia"/>
          <w:kern w:val="0"/>
          <w:sz w:val="32"/>
          <w:szCs w:val="32"/>
        </w:rPr>
        <w:t>组织</w:t>
      </w:r>
      <w:r w:rsidR="007D5D44">
        <w:rPr>
          <w:rFonts w:ascii="仿宋_GB2312" w:eastAsia="仿宋_GB2312" w:hAnsi="宋体" w:cs="宋体" w:hint="eastAsia"/>
          <w:kern w:val="0"/>
          <w:sz w:val="32"/>
          <w:szCs w:val="32"/>
        </w:rPr>
        <w:t>一期</w:t>
      </w:r>
      <w:r w:rsidR="001038D2">
        <w:rPr>
          <w:rFonts w:ascii="仿宋_GB2312" w:eastAsia="仿宋_GB2312" w:hAnsi="宋体" w:cs="宋体" w:hint="eastAsia"/>
          <w:kern w:val="0"/>
          <w:sz w:val="32"/>
          <w:szCs w:val="32"/>
        </w:rPr>
        <w:t>政府信息公开</w:t>
      </w:r>
      <w:r w:rsidR="007D5D44">
        <w:rPr>
          <w:rFonts w:ascii="仿宋_GB2312" w:eastAsia="仿宋_GB2312" w:hAnsi="宋体" w:cs="宋体" w:hint="eastAsia"/>
          <w:kern w:val="0"/>
          <w:sz w:val="32"/>
          <w:szCs w:val="32"/>
        </w:rPr>
        <w:t>专业培训</w:t>
      </w:r>
      <w:r w:rsidR="001038D2">
        <w:rPr>
          <w:rFonts w:ascii="仿宋_GB2312" w:eastAsia="仿宋_GB2312" w:hAnsi="宋体" w:cs="宋体" w:hint="eastAsia"/>
          <w:kern w:val="0"/>
          <w:sz w:val="32"/>
          <w:szCs w:val="32"/>
        </w:rPr>
        <w:t>及测试</w:t>
      </w:r>
      <w:r w:rsidR="00B75E90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1038D2" w:rsidRPr="00B75E9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二是</w:t>
      </w:r>
      <w:r w:rsidR="001038D2">
        <w:rPr>
          <w:rFonts w:ascii="仿宋_GB2312" w:eastAsia="仿宋_GB2312" w:hAnsi="宋体" w:cs="宋体" w:hint="eastAsia"/>
          <w:kern w:val="0"/>
          <w:sz w:val="32"/>
          <w:szCs w:val="32"/>
        </w:rPr>
        <w:t>加强部门合作，组织重点区税务局政府信息公开工作人员</w:t>
      </w:r>
      <w:r w:rsidR="00181316">
        <w:rPr>
          <w:rFonts w:ascii="仿宋_GB2312" w:eastAsia="仿宋_GB2312" w:hAnsi="宋体" w:cs="宋体" w:hint="eastAsia"/>
          <w:kern w:val="0"/>
          <w:sz w:val="32"/>
          <w:szCs w:val="32"/>
        </w:rPr>
        <w:t>参与法规部门的行政复议和诉讼案件研</w:t>
      </w:r>
      <w:r w:rsidR="007D5B3B">
        <w:rPr>
          <w:rFonts w:ascii="仿宋_GB2312" w:eastAsia="仿宋_GB2312" w:hAnsi="宋体" w:cs="宋体" w:hint="eastAsia"/>
          <w:kern w:val="0"/>
          <w:sz w:val="32"/>
          <w:szCs w:val="32"/>
        </w:rPr>
        <w:t>讨会，形成相互促进的良性互动。</w:t>
      </w:r>
    </w:p>
    <w:p w:rsidR="006727B7" w:rsidRPr="00D46A81" w:rsidRDefault="007D5B3B" w:rsidP="00372DDB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2021年市税务局政府信息</w:t>
      </w:r>
      <w:r w:rsidR="006F2321">
        <w:rPr>
          <w:rFonts w:ascii="仿宋_GB2312" w:eastAsia="仿宋_GB2312" w:hAnsi="宋体" w:cs="宋体" w:hint="eastAsia"/>
          <w:kern w:val="0"/>
          <w:sz w:val="32"/>
          <w:szCs w:val="32"/>
        </w:rPr>
        <w:t>公开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工作存在的主要问题是依申请公开办件答复的规范性仍需提升。接下来，拟采取以下措施：</w:t>
      </w:r>
      <w:r w:rsidRPr="00B75E9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一是</w:t>
      </w:r>
      <w:r w:rsidR="00895DC7">
        <w:rPr>
          <w:rFonts w:ascii="仿宋_GB2312" w:eastAsia="仿宋_GB2312" w:hAnsi="宋体" w:cs="宋体" w:hint="eastAsia"/>
          <w:kern w:val="0"/>
          <w:sz w:val="32"/>
          <w:szCs w:val="32"/>
        </w:rPr>
        <w:t>以</w:t>
      </w:r>
      <w:proofErr w:type="gramStart"/>
      <w:r w:rsidR="00895DC7">
        <w:rPr>
          <w:rFonts w:ascii="仿宋_GB2312" w:eastAsia="仿宋_GB2312" w:hAnsi="宋体" w:cs="宋体" w:hint="eastAsia"/>
          <w:kern w:val="0"/>
          <w:sz w:val="32"/>
          <w:szCs w:val="32"/>
        </w:rPr>
        <w:t>案促法</w:t>
      </w:r>
      <w:proofErr w:type="gramEnd"/>
      <w:r w:rsidR="00895DC7">
        <w:rPr>
          <w:rFonts w:ascii="仿宋_GB2312" w:eastAsia="仿宋_GB2312" w:hAnsi="宋体" w:cs="宋体" w:hint="eastAsia"/>
          <w:kern w:val="0"/>
          <w:sz w:val="32"/>
          <w:szCs w:val="32"/>
        </w:rPr>
        <w:t>，适时组织系统内</w:t>
      </w:r>
      <w:r w:rsidR="00DF2E5E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政府信息公开干部参加</w:t>
      </w:r>
      <w:r w:rsidR="003C394F">
        <w:rPr>
          <w:rFonts w:ascii="仿宋_GB2312" w:eastAsia="仿宋_GB2312" w:hAnsi="宋体" w:cs="宋体" w:hint="eastAsia"/>
          <w:kern w:val="0"/>
          <w:sz w:val="32"/>
          <w:szCs w:val="32"/>
        </w:rPr>
        <w:t>相关的</w:t>
      </w:r>
      <w:r w:rsidR="00DF2E5E">
        <w:rPr>
          <w:rFonts w:ascii="仿宋_GB2312" w:eastAsia="仿宋_GB2312" w:hAnsi="宋体" w:cs="宋体" w:hint="eastAsia"/>
          <w:kern w:val="0"/>
          <w:sz w:val="32"/>
          <w:szCs w:val="32"/>
        </w:rPr>
        <w:t>法院庭审观摩，</w:t>
      </w:r>
      <w:r w:rsidR="00FE673E">
        <w:rPr>
          <w:rFonts w:ascii="仿宋_GB2312" w:eastAsia="仿宋_GB2312" w:hAnsi="宋体" w:cs="宋体" w:hint="eastAsia"/>
          <w:kern w:val="0"/>
          <w:sz w:val="32"/>
          <w:szCs w:val="32"/>
        </w:rPr>
        <w:t>增强实务操作</w:t>
      </w:r>
      <w:r w:rsidR="003F6B55">
        <w:rPr>
          <w:rFonts w:ascii="仿宋_GB2312" w:eastAsia="仿宋_GB2312" w:hAnsi="宋体" w:cs="宋体" w:hint="eastAsia"/>
          <w:kern w:val="0"/>
          <w:sz w:val="32"/>
          <w:szCs w:val="32"/>
        </w:rPr>
        <w:t>能力</w:t>
      </w:r>
      <w:r w:rsidR="00FE673E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3F6B55">
        <w:rPr>
          <w:rFonts w:ascii="仿宋_GB2312" w:eastAsia="仿宋_GB2312" w:hAnsi="宋体" w:cs="宋体" w:hint="eastAsia"/>
          <w:kern w:val="0"/>
          <w:sz w:val="32"/>
          <w:szCs w:val="32"/>
        </w:rPr>
        <w:t>水平</w:t>
      </w:r>
      <w:r w:rsidR="00FE673E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DF2E5E" w:rsidRPr="00B75E9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二是</w:t>
      </w:r>
      <w:r w:rsidR="003C394F">
        <w:rPr>
          <w:rFonts w:ascii="仿宋_GB2312" w:eastAsia="仿宋_GB2312" w:hAnsi="宋体" w:cs="宋体" w:hint="eastAsia"/>
          <w:kern w:val="0"/>
          <w:sz w:val="32"/>
          <w:szCs w:val="32"/>
        </w:rPr>
        <w:t>以查促改，适时在系统内组织政务公开工作自查，并对存在的问题立行整改。</w:t>
      </w:r>
    </w:p>
    <w:p w:rsidR="00950ECB" w:rsidRDefault="00AE1308" w:rsidP="00372DDB">
      <w:pPr>
        <w:pStyle w:val="a5"/>
        <w:widowControl/>
        <w:spacing w:line="60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六、其他需要报告的事项</w:t>
      </w:r>
    </w:p>
    <w:p w:rsidR="00950ECB" w:rsidRDefault="00CD39E1" w:rsidP="00372DDB">
      <w:pPr>
        <w:pStyle w:val="a5"/>
        <w:widowControl/>
        <w:spacing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无。</w:t>
      </w:r>
    </w:p>
    <w:sectPr w:rsidR="00950ECB" w:rsidSect="009B781A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52" w:rsidRDefault="00A93F52" w:rsidP="0001241D">
      <w:r>
        <w:separator/>
      </w:r>
    </w:p>
  </w:endnote>
  <w:endnote w:type="continuationSeparator" w:id="0">
    <w:p w:rsidR="00A93F52" w:rsidRDefault="00A93F52" w:rsidP="0001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31DD40EA-799E-474A-86BE-45F0A4E6B28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202BF98-A489-46C4-B0EE-203B990E884E}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B9310F36-3039-4737-9E1B-1711A0AA7DB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94114289-31AA-4509-8602-AAE0F2489BBE}"/>
    <w:embedBold r:id="rId5" w:subsetted="1" w:fontKey="{CEBB74AF-B5DE-4970-9C3F-1E0B082CE25F}"/>
  </w:font>
  <w:font w:name="仿宋">
    <w:altName w:val="Arial Unicode MS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6" w:subsetted="1" w:fontKey="{7A57D8C1-940E-4345-A2B4-52E7C68FB282}"/>
  </w:font>
  <w:font w:name="楷体">
    <w:altName w:val="Arial Unicode MS"/>
    <w:charset w:val="86"/>
    <w:family w:val="auto"/>
    <w:pitch w:val="default"/>
    <w:sig w:usb0="00000000" w:usb1="00000000" w:usb2="00000016" w:usb3="00000000" w:csb0="00040001" w:csb1="00000000"/>
    <w:embedRegular r:id="rId7" w:subsetted="1" w:fontKey="{65062C50-72DE-45DD-BFAE-8B4E25CD3585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52" w:rsidRDefault="00A93F52" w:rsidP="0001241D">
      <w:r>
        <w:separator/>
      </w:r>
    </w:p>
  </w:footnote>
  <w:footnote w:type="continuationSeparator" w:id="0">
    <w:p w:rsidR="00A93F52" w:rsidRDefault="00A93F52" w:rsidP="00012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238B1E27"/>
    <w:rsid w:val="00000545"/>
    <w:rsid w:val="00000CFA"/>
    <w:rsid w:val="0001241D"/>
    <w:rsid w:val="000462D5"/>
    <w:rsid w:val="00056493"/>
    <w:rsid w:val="000F27F1"/>
    <w:rsid w:val="000F2C31"/>
    <w:rsid w:val="001038D2"/>
    <w:rsid w:val="00106729"/>
    <w:rsid w:val="00117882"/>
    <w:rsid w:val="00122810"/>
    <w:rsid w:val="00126075"/>
    <w:rsid w:val="00137438"/>
    <w:rsid w:val="00147A3E"/>
    <w:rsid w:val="001673F8"/>
    <w:rsid w:val="001770E2"/>
    <w:rsid w:val="00181316"/>
    <w:rsid w:val="001852A0"/>
    <w:rsid w:val="001B2444"/>
    <w:rsid w:val="001C31DA"/>
    <w:rsid w:val="001F73C2"/>
    <w:rsid w:val="0023385D"/>
    <w:rsid w:val="002339D3"/>
    <w:rsid w:val="0024428D"/>
    <w:rsid w:val="002476B3"/>
    <w:rsid w:val="00283F46"/>
    <w:rsid w:val="0028437E"/>
    <w:rsid w:val="002924B9"/>
    <w:rsid w:val="002B1197"/>
    <w:rsid w:val="002B17D0"/>
    <w:rsid w:val="002C5648"/>
    <w:rsid w:val="003008A8"/>
    <w:rsid w:val="00304966"/>
    <w:rsid w:val="003052B3"/>
    <w:rsid w:val="00312CDA"/>
    <w:rsid w:val="00317F41"/>
    <w:rsid w:val="00336B41"/>
    <w:rsid w:val="003405FC"/>
    <w:rsid w:val="00372DDB"/>
    <w:rsid w:val="00397E9C"/>
    <w:rsid w:val="003A0DD7"/>
    <w:rsid w:val="003A709F"/>
    <w:rsid w:val="003B755B"/>
    <w:rsid w:val="003C2799"/>
    <w:rsid w:val="003C286C"/>
    <w:rsid w:val="003C394F"/>
    <w:rsid w:val="003D46E6"/>
    <w:rsid w:val="003D795F"/>
    <w:rsid w:val="003F6B55"/>
    <w:rsid w:val="004144FE"/>
    <w:rsid w:val="00432393"/>
    <w:rsid w:val="004568E9"/>
    <w:rsid w:val="00473AEF"/>
    <w:rsid w:val="004844F6"/>
    <w:rsid w:val="004A0386"/>
    <w:rsid w:val="004A0E57"/>
    <w:rsid w:val="004C58D7"/>
    <w:rsid w:val="004D0202"/>
    <w:rsid w:val="004F2201"/>
    <w:rsid w:val="0051382B"/>
    <w:rsid w:val="00544671"/>
    <w:rsid w:val="005503EE"/>
    <w:rsid w:val="00564DB8"/>
    <w:rsid w:val="0057358E"/>
    <w:rsid w:val="005921E4"/>
    <w:rsid w:val="005A0C69"/>
    <w:rsid w:val="005E79C9"/>
    <w:rsid w:val="005F68D8"/>
    <w:rsid w:val="006104EE"/>
    <w:rsid w:val="00634DED"/>
    <w:rsid w:val="0066308D"/>
    <w:rsid w:val="006727B7"/>
    <w:rsid w:val="00672A95"/>
    <w:rsid w:val="006816C9"/>
    <w:rsid w:val="006A216F"/>
    <w:rsid w:val="006A30F7"/>
    <w:rsid w:val="006B4C27"/>
    <w:rsid w:val="006C75F0"/>
    <w:rsid w:val="006E45C5"/>
    <w:rsid w:val="006F2321"/>
    <w:rsid w:val="00723AEE"/>
    <w:rsid w:val="00743F9F"/>
    <w:rsid w:val="0076095D"/>
    <w:rsid w:val="00771FFB"/>
    <w:rsid w:val="007752DC"/>
    <w:rsid w:val="0079728E"/>
    <w:rsid w:val="007A5BD8"/>
    <w:rsid w:val="007A7F71"/>
    <w:rsid w:val="007C3ED3"/>
    <w:rsid w:val="007C7E8B"/>
    <w:rsid w:val="007D5B3B"/>
    <w:rsid w:val="007D5D44"/>
    <w:rsid w:val="007E18B3"/>
    <w:rsid w:val="007E2521"/>
    <w:rsid w:val="007F5A18"/>
    <w:rsid w:val="00805A2F"/>
    <w:rsid w:val="00814112"/>
    <w:rsid w:val="00831FC0"/>
    <w:rsid w:val="00840BE0"/>
    <w:rsid w:val="00844187"/>
    <w:rsid w:val="00852E0F"/>
    <w:rsid w:val="00870F35"/>
    <w:rsid w:val="00895DC7"/>
    <w:rsid w:val="008A0A7A"/>
    <w:rsid w:val="008A0ADA"/>
    <w:rsid w:val="008B60C9"/>
    <w:rsid w:val="008F22EF"/>
    <w:rsid w:val="008F672A"/>
    <w:rsid w:val="00903034"/>
    <w:rsid w:val="00904AFE"/>
    <w:rsid w:val="00922065"/>
    <w:rsid w:val="00931F7D"/>
    <w:rsid w:val="00950ECB"/>
    <w:rsid w:val="00964806"/>
    <w:rsid w:val="009721B6"/>
    <w:rsid w:val="00975D6C"/>
    <w:rsid w:val="00987764"/>
    <w:rsid w:val="009A288C"/>
    <w:rsid w:val="009B781A"/>
    <w:rsid w:val="009C3651"/>
    <w:rsid w:val="009C5530"/>
    <w:rsid w:val="009E62FD"/>
    <w:rsid w:val="009F5B75"/>
    <w:rsid w:val="00A30B10"/>
    <w:rsid w:val="00A36828"/>
    <w:rsid w:val="00A4165F"/>
    <w:rsid w:val="00A70B70"/>
    <w:rsid w:val="00A73113"/>
    <w:rsid w:val="00A93F52"/>
    <w:rsid w:val="00A9764C"/>
    <w:rsid w:val="00AA18D0"/>
    <w:rsid w:val="00AB7D06"/>
    <w:rsid w:val="00AC08D1"/>
    <w:rsid w:val="00AE0BA7"/>
    <w:rsid w:val="00AE1308"/>
    <w:rsid w:val="00AE55C6"/>
    <w:rsid w:val="00AE6F17"/>
    <w:rsid w:val="00AE6F50"/>
    <w:rsid w:val="00B1301F"/>
    <w:rsid w:val="00B17A6A"/>
    <w:rsid w:val="00B32CEA"/>
    <w:rsid w:val="00B33FF5"/>
    <w:rsid w:val="00B75E90"/>
    <w:rsid w:val="00B82A17"/>
    <w:rsid w:val="00B84774"/>
    <w:rsid w:val="00B863D9"/>
    <w:rsid w:val="00B9504E"/>
    <w:rsid w:val="00B97819"/>
    <w:rsid w:val="00BB5CA1"/>
    <w:rsid w:val="00BD1536"/>
    <w:rsid w:val="00BF2142"/>
    <w:rsid w:val="00C14F59"/>
    <w:rsid w:val="00C17E70"/>
    <w:rsid w:val="00C2543C"/>
    <w:rsid w:val="00C26C01"/>
    <w:rsid w:val="00C30FA2"/>
    <w:rsid w:val="00C50657"/>
    <w:rsid w:val="00C52762"/>
    <w:rsid w:val="00C957C6"/>
    <w:rsid w:val="00CA07A9"/>
    <w:rsid w:val="00CA1AA3"/>
    <w:rsid w:val="00CA701B"/>
    <w:rsid w:val="00CB07C4"/>
    <w:rsid w:val="00CB295B"/>
    <w:rsid w:val="00CC0B64"/>
    <w:rsid w:val="00CC46DB"/>
    <w:rsid w:val="00CD39E1"/>
    <w:rsid w:val="00CD3B71"/>
    <w:rsid w:val="00CD7386"/>
    <w:rsid w:val="00CE16E5"/>
    <w:rsid w:val="00CE2029"/>
    <w:rsid w:val="00CE45A2"/>
    <w:rsid w:val="00D11D07"/>
    <w:rsid w:val="00D352BA"/>
    <w:rsid w:val="00D46A81"/>
    <w:rsid w:val="00D51D98"/>
    <w:rsid w:val="00DD34BD"/>
    <w:rsid w:val="00DF0079"/>
    <w:rsid w:val="00DF0613"/>
    <w:rsid w:val="00DF2E5E"/>
    <w:rsid w:val="00E07BEF"/>
    <w:rsid w:val="00E129BC"/>
    <w:rsid w:val="00E16092"/>
    <w:rsid w:val="00E17244"/>
    <w:rsid w:val="00E24D4C"/>
    <w:rsid w:val="00E37A5F"/>
    <w:rsid w:val="00E5677F"/>
    <w:rsid w:val="00E65DBC"/>
    <w:rsid w:val="00E8161C"/>
    <w:rsid w:val="00EC518F"/>
    <w:rsid w:val="00ED4D12"/>
    <w:rsid w:val="00EE63C5"/>
    <w:rsid w:val="00F10EB8"/>
    <w:rsid w:val="00F31528"/>
    <w:rsid w:val="00F4442A"/>
    <w:rsid w:val="00F559C4"/>
    <w:rsid w:val="00F67914"/>
    <w:rsid w:val="00F74836"/>
    <w:rsid w:val="00F86002"/>
    <w:rsid w:val="00F95863"/>
    <w:rsid w:val="00FB59ED"/>
    <w:rsid w:val="00FD17B4"/>
    <w:rsid w:val="00FE673E"/>
    <w:rsid w:val="00FF1262"/>
    <w:rsid w:val="15722991"/>
    <w:rsid w:val="238B1E27"/>
    <w:rsid w:val="246E2621"/>
    <w:rsid w:val="380214FF"/>
    <w:rsid w:val="397119C0"/>
    <w:rsid w:val="435D1D0D"/>
    <w:rsid w:val="460B0EC3"/>
    <w:rsid w:val="79F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E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50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5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50ECB"/>
    <w:pPr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950EC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50ECB"/>
    <w:rPr>
      <w:kern w:val="2"/>
      <w:sz w:val="18"/>
      <w:szCs w:val="18"/>
    </w:rPr>
  </w:style>
  <w:style w:type="character" w:customStyle="1" w:styleId="16">
    <w:name w:val="16"/>
    <w:qFormat/>
    <w:rsid w:val="00C52762"/>
    <w:rPr>
      <w:rFonts w:ascii="Calibri" w:hAnsi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424</Words>
  <Characters>2418</Characters>
  <Application>Microsoft Office Word</Application>
  <DocSecurity>0</DocSecurity>
  <Lines>20</Lines>
  <Paragraphs>5</Paragraphs>
  <ScaleCrop>false</ScaleCrop>
  <Company>Delph7.com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WPS_1624785580</dc:creator>
  <cp:lastModifiedBy>张成</cp:lastModifiedBy>
  <cp:revision>211</cp:revision>
  <cp:lastPrinted>2022-01-05T02:30:00Z</cp:lastPrinted>
  <dcterms:created xsi:type="dcterms:W3CDTF">2021-12-21T15:19:00Z</dcterms:created>
  <dcterms:modified xsi:type="dcterms:W3CDTF">2023-01-18T12:36:00Z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