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跨区域涉税事项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业务办理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操作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eastAsia="zh-CN"/>
        </w:rPr>
        <w:t>指引</w:t>
      </w:r>
      <w:bookmarkStart w:id="0" w:name="_GoBack"/>
      <w:bookmarkEnd w:id="0"/>
    </w:p>
    <w:p>
      <w:pPr>
        <w:jc w:val="left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一、用户</w:t>
      </w: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注册及登录</w:t>
      </w:r>
    </w:p>
    <w:p>
      <w:pPr>
        <w:ind w:left="0" w:leftChars="0" w:firstLine="683" w:firstLineChars="228"/>
        <w:jc w:val="left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（一）业务范围：跨省临时从事生产经营活动的纳税人，需要在电子税务局注册并绑定跨区域用户办理涉税事项。</w:t>
      </w:r>
    </w:p>
    <w:p>
      <w:pPr>
        <w:ind w:left="0" w:leftChars="0" w:firstLine="683" w:firstLineChars="228"/>
        <w:jc w:val="left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（二）访问路径：通过电子税务局登录入口注册电子税务局用户，注册时身份证号码和姓名需要填写与绑定跨区域用户法定代表人、财务负责人及办税人其中一个。</w:t>
      </w:r>
    </w:p>
    <w:p>
      <w:pPr>
        <w:ind w:left="0" w:leftChars="0" w:firstLine="683" w:firstLineChars="228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drawing>
          <wp:inline distT="0" distB="0" distL="114300" distR="114300">
            <wp:extent cx="2928620" cy="2516505"/>
            <wp:effectExtent l="0" t="0" r="5080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31809" cy="251965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drawing>
          <wp:inline distT="0" distB="0" distL="114300" distR="114300">
            <wp:extent cx="3028315" cy="2003425"/>
            <wp:effectExtent l="0" t="0" r="635" b="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28632" cy="2003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0" w:leftChars="0" w:firstLine="683" w:firstLineChars="228"/>
        <w:rPr>
          <w:rFonts w:hint="eastAsia" w:ascii="仿宋" w:hAnsi="仿宋" w:eastAsia="仿宋" w:cs="仿宋"/>
          <w:b w:val="0"/>
          <w:bCs/>
          <w:sz w:val="30"/>
          <w:szCs w:val="30"/>
        </w:rPr>
      </w:pPr>
    </w:p>
    <w:p>
      <w:pPr>
        <w:ind w:left="0" w:leftChars="0" w:firstLine="683" w:firstLineChars="228"/>
        <w:rPr>
          <w:rFonts w:hint="eastAsia" w:ascii="仿宋" w:hAnsi="仿宋" w:eastAsia="仿宋" w:cs="仿宋"/>
          <w:b w:val="0"/>
          <w:bCs/>
          <w:sz w:val="30"/>
          <w:szCs w:val="30"/>
        </w:rPr>
      </w:pPr>
    </w:p>
    <w:p>
      <w:pPr>
        <w:ind w:left="0" w:leftChars="0" w:firstLine="683" w:firstLineChars="228"/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（三）操作流程：用注册的用户登录电子税务局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，第一次进入系统提示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进入身份管理模块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进行纳税人信息绑定。</w:t>
      </w:r>
    </w:p>
    <w:p>
      <w:pPr>
        <w:ind w:left="0" w:leftChars="0" w:firstLine="683" w:firstLineChars="228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drawing>
          <wp:inline distT="0" distB="0" distL="114300" distR="114300">
            <wp:extent cx="5264785" cy="2639695"/>
            <wp:effectExtent l="0" t="0" r="12065" b="8255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639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0" w:leftChars="0" w:firstLine="683" w:firstLineChars="228"/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输入需绑定的跨区域用户，是否绑定报验户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</w:rPr>
        <w:t>选择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lang w:eastAsia="zh-CN"/>
        </w:rPr>
        <w:t>“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</w:rPr>
        <w:t>是</w:t>
      </w:r>
      <w:r>
        <w:rPr>
          <w:rFonts w:hint="eastAsia" w:ascii="仿宋" w:hAnsi="仿宋" w:eastAsia="仿宋" w:cs="仿宋"/>
          <w:b w:val="0"/>
          <w:bCs/>
          <w:color w:val="auto"/>
          <w:sz w:val="30"/>
          <w:szCs w:val="30"/>
          <w:lang w:eastAsia="zh-CN"/>
        </w:rPr>
        <w:t>”。</w:t>
      </w:r>
    </w:p>
    <w:p>
      <w:pPr>
        <w:ind w:left="0" w:leftChars="0" w:firstLine="683" w:firstLineChars="228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drawing>
          <wp:inline distT="0" distB="0" distL="114300" distR="114300">
            <wp:extent cx="4315460" cy="2132965"/>
            <wp:effectExtent l="0" t="0" r="8890" b="635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5460" cy="2132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/>
        <w:shd w:val="clear" w:color="auto" w:fill="FFFFFF"/>
        <w:wordWrap w:val="0"/>
        <w:spacing w:beforeAutospacing="0" w:afterAutospacing="0" w:line="21" w:lineRule="atLeast"/>
        <w:ind w:left="0" w:leftChars="0" w:firstLine="683" w:firstLineChars="228"/>
        <w:rPr>
          <w:rFonts w:hint="default" w:ascii="仿宋" w:hAnsi="仿宋" w:eastAsia="仿宋" w:cs="仿宋"/>
          <w:b w:val="0"/>
          <w:bCs/>
          <w:kern w:val="2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2"/>
          <w:sz w:val="30"/>
          <w:szCs w:val="30"/>
        </w:rPr>
        <w:t>点击校验</w:t>
      </w:r>
      <w:r>
        <w:rPr>
          <w:rFonts w:hint="eastAsia" w:ascii="仿宋" w:hAnsi="仿宋" w:eastAsia="仿宋" w:cs="仿宋"/>
          <w:b w:val="0"/>
          <w:bCs/>
          <w:kern w:val="2"/>
          <w:sz w:val="30"/>
          <w:szCs w:val="30"/>
          <w:lang w:eastAsia="zh-CN"/>
        </w:rPr>
        <w:t>，系统提示可选择的</w:t>
      </w:r>
      <w:r>
        <w:rPr>
          <w:rFonts w:hint="eastAsia" w:ascii="仿宋" w:hAnsi="仿宋" w:eastAsia="仿宋" w:cs="仿宋"/>
          <w:b w:val="0"/>
          <w:bCs/>
          <w:kern w:val="2"/>
          <w:sz w:val="30"/>
          <w:szCs w:val="30"/>
        </w:rPr>
        <w:t>报验登记管理编号</w:t>
      </w:r>
      <w:r>
        <w:rPr>
          <w:rFonts w:hint="eastAsia" w:ascii="仿宋" w:hAnsi="仿宋" w:eastAsia="仿宋" w:cs="仿宋"/>
          <w:b w:val="0"/>
          <w:bCs/>
          <w:kern w:val="2"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b w:val="0"/>
          <w:bCs/>
          <w:kern w:val="2"/>
          <w:sz w:val="30"/>
          <w:szCs w:val="30"/>
          <w:lang w:val="en-US" w:eastAsia="zh-CN"/>
        </w:rPr>
        <w:t>(</w:t>
      </w:r>
      <w:r>
        <w:rPr>
          <w:rFonts w:hint="eastAsia" w:ascii="仿宋" w:hAnsi="仿宋" w:eastAsia="仿宋" w:cs="仿宋"/>
          <w:b w:val="0"/>
          <w:bCs/>
          <w:color w:val="FF0000"/>
          <w:kern w:val="2"/>
          <w:sz w:val="30"/>
          <w:szCs w:val="30"/>
          <w:lang w:val="en-US" w:eastAsia="zh-CN"/>
        </w:rPr>
        <w:t>此处可选择省内或省外报验登记编号</w:t>
      </w:r>
      <w:r>
        <w:rPr>
          <w:rFonts w:hint="eastAsia" w:ascii="仿宋" w:hAnsi="仿宋" w:eastAsia="仿宋" w:cs="仿宋"/>
          <w:b w:val="0"/>
          <w:bCs/>
          <w:kern w:val="2"/>
          <w:sz w:val="30"/>
          <w:szCs w:val="30"/>
          <w:lang w:val="en-US" w:eastAsia="zh-CN"/>
        </w:rPr>
        <w:t>)</w:t>
      </w:r>
    </w:p>
    <w:p>
      <w:pPr>
        <w:ind w:left="0" w:leftChars="0" w:firstLine="683" w:firstLineChars="228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drawing>
          <wp:inline distT="0" distB="0" distL="114300" distR="114300">
            <wp:extent cx="3931920" cy="2110740"/>
            <wp:effectExtent l="0" t="0" r="11430" b="3810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1920" cy="2110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0" w:leftChars="0" w:firstLine="683" w:firstLineChars="228"/>
        <w:rPr>
          <w:rFonts w:hint="eastAsia" w:ascii="仿宋" w:hAnsi="仿宋" w:eastAsia="仿宋" w:cs="仿宋"/>
          <w:b w:val="0"/>
          <w:bCs/>
          <w:sz w:val="30"/>
          <w:szCs w:val="30"/>
        </w:rPr>
      </w:pPr>
    </w:p>
    <w:p>
      <w:pPr>
        <w:ind w:left="0" w:leftChars="0" w:firstLine="683" w:firstLineChars="228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选择完成后出现实名扫码界面，</w:t>
      </w: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需注册用户本人使用支付宝或者微信扫码进行实名验证，验证</w:t>
      </w:r>
      <w:r>
        <w:rPr>
          <w:rFonts w:hint="eastAsia" w:ascii="仿宋" w:hAnsi="仿宋" w:eastAsia="仿宋" w:cs="仿宋"/>
          <w:b w:val="0"/>
          <w:bCs/>
          <w:sz w:val="30"/>
          <w:szCs w:val="30"/>
        </w:rPr>
        <w:t>完成后即可绑定成功。</w:t>
      </w:r>
    </w:p>
    <w:p>
      <w:pPr>
        <w:ind w:left="0" w:leftChars="0" w:firstLine="683" w:firstLineChars="228"/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  <w:lang w:eastAsia="zh-CN"/>
        </w:rPr>
        <w:t>绑定成功后，纳税人需重新登录湖北省电子税务局方能办理后续业务。纳税人登录后，将根据身份信息显示可办理业务的功能菜单。</w:t>
      </w:r>
    </w:p>
    <w:p>
      <w:pPr>
        <w:ind w:left="0" w:leftChars="0" w:firstLine="683" w:firstLineChars="228"/>
        <w:rPr>
          <w:rFonts w:hint="eastAsia" w:ascii="仿宋" w:hAnsi="仿宋" w:eastAsia="仿宋" w:cs="仿宋"/>
          <w:b w:val="0"/>
          <w:bCs/>
          <w:sz w:val="30"/>
          <w:szCs w:val="30"/>
        </w:rPr>
      </w:pPr>
    </w:p>
    <w:p>
      <w:pPr>
        <w:jc w:val="left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二、跨区域涉税事项报告</w:t>
      </w:r>
    </w:p>
    <w:p>
      <w:pPr>
        <w:ind w:left="0" w:leftChars="0" w:firstLine="683" w:firstLineChars="228"/>
        <w:jc w:val="left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（一）业务范围：纳税人跨区域临时从事生产经营活动的，申请办理跨区域涉税事项报告。</w:t>
      </w:r>
    </w:p>
    <w:p>
      <w:pPr>
        <w:ind w:left="0" w:leftChars="0" w:firstLine="683" w:firstLineChars="228"/>
        <w:jc w:val="left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（二）访问路径：点击办税中心—综合信息报告—税源信息报告—跨区域涉税事项报告，如图所示。</w:t>
      </w:r>
    </w:p>
    <w:p>
      <w:pPr>
        <w:ind w:left="0" w:leftChars="0" w:firstLine="683" w:firstLineChars="228"/>
        <w:jc w:val="left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drawing>
          <wp:inline distT="0" distB="0" distL="114300" distR="114300">
            <wp:extent cx="5274310" cy="141605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0" w:leftChars="0" w:firstLine="683" w:firstLineChars="228"/>
        <w:jc w:val="left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（三）操作流程：进入页面，按要求如实填写信息，填报完成后点击提交按钮，提交报告。</w:t>
      </w:r>
    </w:p>
    <w:p>
      <w:pPr>
        <w:ind w:left="0" w:leftChars="0" w:firstLine="683" w:firstLineChars="228"/>
        <w:jc w:val="left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1760855</wp:posOffset>
                </wp:positionH>
                <wp:positionV relativeFrom="paragraph">
                  <wp:posOffset>774065</wp:posOffset>
                </wp:positionV>
                <wp:extent cx="177800" cy="75565"/>
                <wp:effectExtent l="6350" t="6350" r="6350" b="1333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03855" y="1688465"/>
                          <a:ext cx="177800" cy="7556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8.65pt;margin-top:60.95pt;height:5.95pt;width:14pt;z-index:251659264;v-text-anchor:middle;mso-width-relative:page;mso-height-relative:page;" fillcolor="#000000 [3213]" filled="t" stroked="t" coordsize="21600,21600" o:gfxdata="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TmAcL2QAAAAsBAAAP&#10;AAAAAAAAAAEAIAAAACIAAABkcnMvZG93bnJldi54bWxQSwECFAAUAAAACACHTuJAnHfdxokCAAAf&#10;BQAADgAAAAAAAAABACAAAAAoAQAAZHJzL2Uyb0RvYy54bWxQSwUGAAAAAAYABgBZAQAAIwY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仿宋" w:hAnsi="仿宋" w:eastAsia="仿宋" w:cs="仿宋"/>
          <w:b w:val="0"/>
          <w:bCs/>
          <w:kern w:val="0"/>
          <w:sz w:val="30"/>
          <w:szCs w:val="30"/>
        </w:rPr>
        <w:drawing>
          <wp:inline distT="0" distB="0" distL="114300" distR="114300">
            <wp:extent cx="5274310" cy="2623185"/>
            <wp:effectExtent l="0" t="0" r="2540" b="571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334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三、跨区域涉税事项报验</w:t>
      </w:r>
    </w:p>
    <w:p>
      <w:pPr>
        <w:ind w:left="0" w:leftChars="0" w:firstLine="683" w:firstLineChars="228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（一）业务范围：跨区域涉税事项由纳税人首次在经营地办理涉税事宜时，办理跨区域涉税事项报验。</w:t>
      </w:r>
    </w:p>
    <w:p>
      <w:pPr>
        <w:ind w:left="0" w:leftChars="0" w:firstLine="683" w:firstLineChars="228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（二）访问路径：点击办税中心—综合信息报告—税源信息报告—跨区域涉税事项报验，如图所示。</w:t>
      </w:r>
    </w:p>
    <w:p>
      <w:pPr>
        <w:ind w:left="0" w:leftChars="0" w:firstLine="683" w:firstLineChars="228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（三）操作流程：进入页面，按要求如实填写信息，填报完成后点击提交按钮，提交报验。</w:t>
      </w:r>
    </w:p>
    <w:p>
      <w:pPr>
        <w:ind w:left="0" w:leftChars="0" w:firstLine="683" w:firstLineChars="228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kern w:val="0"/>
          <w:sz w:val="30"/>
          <w:szCs w:val="30"/>
        </w:rPr>
        <w:drawing>
          <wp:inline distT="0" distB="0" distL="114300" distR="114300">
            <wp:extent cx="4719955" cy="2459990"/>
            <wp:effectExtent l="0" t="0" r="4445" b="1651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19955" cy="24599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四、跨区域涉税事项信息反馈</w:t>
      </w:r>
    </w:p>
    <w:p>
      <w:pPr>
        <w:ind w:left="0" w:leftChars="0" w:firstLine="683" w:firstLineChars="228"/>
        <w:jc w:val="left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（一）业务范围：纳税人跨区域经营活动结束后，结清经营地税务机关的应纳税款以及其他涉税事项，进行跨区域涉税事项信息反馈。</w:t>
      </w:r>
    </w:p>
    <w:p>
      <w:pPr>
        <w:ind w:left="0" w:leftChars="0" w:firstLine="683" w:firstLineChars="228"/>
        <w:jc w:val="left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（二）访问路径：点击办税中心—综合信息报告—税源信息报告—跨区域涉税事项信息反馈，如图所示。</w:t>
      </w:r>
    </w:p>
    <w:p>
      <w:pPr>
        <w:ind w:left="0" w:leftChars="0" w:firstLine="683" w:firstLineChars="228"/>
        <w:jc w:val="left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drawing>
          <wp:inline distT="0" distB="0" distL="114300" distR="114300">
            <wp:extent cx="5269230" cy="1433830"/>
            <wp:effectExtent l="0" t="0" r="7620" b="1397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43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0" w:leftChars="0" w:firstLine="683" w:firstLineChars="228"/>
        <w:jc w:val="left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sz w:val="30"/>
          <w:szCs w:val="30"/>
        </w:rPr>
        <w:t>（三）操作流程：进入页面，按要求如实填写信息，填报完成后点击提交按钮，提交反馈。</w:t>
      </w:r>
    </w:p>
    <w:p>
      <w:pPr>
        <w:ind w:left="0" w:leftChars="0" w:firstLine="683" w:firstLineChars="228"/>
        <w:jc w:val="left"/>
        <w:rPr>
          <w:rFonts w:hint="eastAsia" w:ascii="仿宋" w:hAnsi="仿宋" w:eastAsia="仿宋" w:cs="仿宋"/>
          <w:b w:val="0"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/>
          <w:kern w:val="0"/>
          <w:sz w:val="30"/>
          <w:szCs w:val="30"/>
        </w:rPr>
        <w:drawing>
          <wp:inline distT="0" distB="0" distL="114300" distR="114300">
            <wp:extent cx="5274310" cy="2573655"/>
            <wp:effectExtent l="0" t="0" r="2540" b="0"/>
            <wp:docPr id="5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7417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1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547"/>
    <w:rsid w:val="00056547"/>
    <w:rsid w:val="002C4DBD"/>
    <w:rsid w:val="003A04A7"/>
    <w:rsid w:val="00A80ACC"/>
    <w:rsid w:val="00DF79B5"/>
    <w:rsid w:val="01732574"/>
    <w:rsid w:val="08DA2D15"/>
    <w:rsid w:val="09F1522C"/>
    <w:rsid w:val="0C4A5624"/>
    <w:rsid w:val="0D7541A1"/>
    <w:rsid w:val="174C3AD9"/>
    <w:rsid w:val="1E7F5A7F"/>
    <w:rsid w:val="2513763B"/>
    <w:rsid w:val="2B2636AB"/>
    <w:rsid w:val="32C10655"/>
    <w:rsid w:val="39533903"/>
    <w:rsid w:val="3E3E79BD"/>
    <w:rsid w:val="417B1746"/>
    <w:rsid w:val="482B01F3"/>
    <w:rsid w:val="486538FD"/>
    <w:rsid w:val="49AA0B12"/>
    <w:rsid w:val="5BA74CF2"/>
    <w:rsid w:val="5DD6674D"/>
    <w:rsid w:val="6441350C"/>
    <w:rsid w:val="67F57340"/>
    <w:rsid w:val="6B3B1FAC"/>
    <w:rsid w:val="6DFC68B4"/>
    <w:rsid w:val="705226E2"/>
    <w:rsid w:val="70660A65"/>
    <w:rsid w:val="715F7B51"/>
    <w:rsid w:val="72907449"/>
    <w:rsid w:val="72EF347C"/>
    <w:rsid w:val="7403751B"/>
    <w:rsid w:val="7BAC4608"/>
    <w:rsid w:val="7D2C2943"/>
    <w:rsid w:val="7F1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4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5"/>
    <w:basedOn w:val="1"/>
    <w:next w:val="1"/>
    <w:unhideWhenUsed/>
    <w:qFormat/>
    <w:uiPriority w:val="0"/>
    <w:pPr>
      <w:spacing w:beforeAutospacing="1" w:afterAutospacing="1"/>
      <w:jc w:val="left"/>
      <w:outlineLvl w:val="4"/>
    </w:pPr>
    <w:rPr>
      <w:rFonts w:hint="eastAsia" w:ascii="宋体" w:hAnsi="宋体" w:eastAsia="宋体" w:cs="Times New Roman"/>
      <w:b/>
      <w:kern w:val="0"/>
      <w:sz w:val="20"/>
      <w:szCs w:val="20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6">
    <w:name w:val="Balloon Text"/>
    <w:basedOn w:val="1"/>
    <w:link w:val="13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10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character" w:customStyle="1" w:styleId="13">
    <w:name w:val="批注框文本 Char"/>
    <w:basedOn w:val="12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标题 2 Char"/>
    <w:basedOn w:val="12"/>
    <w:link w:val="3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5">
    <w:name w:val="页眉 Char"/>
    <w:basedOn w:val="12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Char"/>
    <w:basedOn w:val="12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标题 1 Char"/>
    <w:basedOn w:val="12"/>
    <w:link w:val="2"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1D0E54-2079-45D3-90CA-0535CAA9B5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111</Words>
  <Characters>634</Characters>
  <Lines>5</Lines>
  <Paragraphs>1</Paragraphs>
  <TotalTime>1</TotalTime>
  <ScaleCrop>false</ScaleCrop>
  <LinksUpToDate>false</LinksUpToDate>
  <CharactersWithSpaces>744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2022-02-08T08:07:00Z</dcterms:created>
  <dc:creator>Administrator</dc:creator>
  <cp:lastModifiedBy>王洪义</cp:lastModifiedBy>
  <dcterms:modified xsi:type="dcterms:W3CDTF">2022-07-15T01:52:12Z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