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宋体" w:hAnsi="宋体" w:eastAsia="宋体" w:cs="宋体"/>
          <w:b/>
          <w:bCs/>
          <w:color w:val="333333"/>
          <w:sz w:val="36"/>
          <w:szCs w:val="36"/>
        </w:rPr>
      </w:pPr>
    </w:p>
    <w:p>
      <w:pPr>
        <w:widowControl/>
        <w:spacing w:line="432" w:lineRule="auto"/>
        <w:jc w:val="center"/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36"/>
          <w:szCs w:val="32"/>
          <w:lang w:eastAsia="zh-CN"/>
        </w:rPr>
      </w:pPr>
      <w:r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36"/>
          <w:szCs w:val="32"/>
          <w:lang w:eastAsia="zh-CN"/>
        </w:rPr>
        <w:t>国家税务总局武汉东湖新技术开发区税务局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center"/>
        <w:rPr>
          <w:rFonts w:hint="eastAsia" w:ascii="宋体" w:hAnsi="宋体" w:eastAsia="宋体" w:cs="宋体"/>
        </w:rPr>
      </w:pPr>
      <w:r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36"/>
          <w:szCs w:val="32"/>
          <w:lang w:val="en-US" w:eastAsia="zh-CN"/>
        </w:rPr>
        <w:t>2021年</w:t>
      </w:r>
      <w:r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36"/>
          <w:szCs w:val="32"/>
        </w:rPr>
        <w:t>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一、总体情况</w:t>
      </w:r>
    </w:p>
    <w:p>
      <w:pPr>
        <w:widowControl/>
        <w:spacing w:line="432" w:lineRule="auto"/>
        <w:ind w:firstLine="640" w:firstLineChars="200"/>
        <w:rPr>
          <w:rFonts w:hint="eastAsia" w:ascii="仿宋_GB2312" w:hAnsi="宋体" w:eastAsia="仿宋_GB2312" w:cs="宋体"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333333"/>
          <w:kern w:val="0"/>
          <w:sz w:val="32"/>
          <w:szCs w:val="32"/>
          <w:lang w:val="en-US" w:eastAsia="zh-CN"/>
        </w:rPr>
        <w:t>2021年，国家税务总局武汉东湖新技术开发区税务局（以下简称“区局”）深入落实《中华人民共和国政府信息公开条例》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  <w:lang w:eastAsia="zh-CN"/>
        </w:rPr>
        <w:t>国务院办公厅政府信息公开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工作年度报告格式的通知</w:t>
      </w:r>
      <w:r>
        <w:rPr>
          <w:rFonts w:hint="eastAsia" w:ascii="仿宋_GB2312" w:eastAsia="仿宋_GB2312"/>
          <w:sz w:val="32"/>
          <w:szCs w:val="32"/>
        </w:rPr>
        <w:t>》等要求</w:t>
      </w:r>
      <w:r>
        <w:rPr>
          <w:rFonts w:hint="eastAsia" w:ascii="仿宋_GB2312" w:hAnsi="宋体" w:eastAsia="仿宋_GB2312" w:cs="宋体"/>
          <w:bCs/>
          <w:color w:val="333333"/>
          <w:kern w:val="0"/>
          <w:sz w:val="32"/>
          <w:szCs w:val="32"/>
          <w:lang w:val="en-US" w:eastAsia="zh-CN"/>
        </w:rPr>
        <w:t>，紧紧围绕税收中心工作及社会关切，</w:t>
      </w:r>
      <w:r>
        <w:rPr>
          <w:rFonts w:hint="eastAsia" w:ascii="仿宋_GB2312" w:hAnsi="宋体" w:eastAsia="仿宋_GB2312"/>
          <w:sz w:val="32"/>
          <w:szCs w:val="32"/>
        </w:rPr>
        <w:t>坚持以</w:t>
      </w:r>
      <w:r>
        <w:rPr>
          <w:rFonts w:hint="eastAsia" w:ascii="仿宋_GB2312" w:hAnsi="宋体" w:eastAsia="仿宋_GB2312" w:cs="宋体"/>
          <w:bCs/>
          <w:color w:val="333333"/>
          <w:kern w:val="0"/>
          <w:sz w:val="32"/>
          <w:szCs w:val="32"/>
          <w:lang w:val="en-US" w:eastAsia="zh-CN"/>
        </w:rPr>
        <w:t>公开为常态、不公开为例外，全力推进政务公开工作，保障了公众知情权、参与权和监督权，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</w:t>
      </w:r>
      <w:r>
        <w:rPr>
          <w:rFonts w:hint="eastAsia" w:ascii="仿宋_GB2312" w:hAnsi="宋体" w:eastAsia="仿宋_GB2312" w:cs="宋体"/>
          <w:bCs/>
          <w:color w:val="333333"/>
          <w:kern w:val="0"/>
          <w:sz w:val="32"/>
          <w:szCs w:val="32"/>
          <w:lang w:val="en-US" w:eastAsia="zh-CN"/>
        </w:rPr>
        <w:t>断提高税收执法和行政管理工作的透明度和办事效率。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一</w:t>
      </w:r>
      <w:r>
        <w:rPr>
          <w:rFonts w:hint="eastAsia" w:ascii="楷体_GB2312" w:eastAsia="楷体_GB2312"/>
          <w:b/>
          <w:sz w:val="32"/>
          <w:szCs w:val="32"/>
        </w:rPr>
        <w:t>）主动公开情况。</w:t>
      </w:r>
      <w:r>
        <w:rPr>
          <w:rFonts w:hint="eastAsia" w:ascii="仿宋_GB2312" w:eastAsia="仿宋_GB2312"/>
          <w:sz w:val="32"/>
          <w:szCs w:val="32"/>
        </w:rPr>
        <w:t>区局通过武汉市税务局门户网站、湖北省税务局、湖北税务行政执法信息公示平台、内部办公网等渠道，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主动公开政府信息，包括机构职能、领导简介、工作动态</w:t>
      </w:r>
      <w:r>
        <w:rPr>
          <w:rFonts w:hint="eastAsia" w:ascii="仿宋" w:hAnsi="仿宋" w:eastAsia="仿宋" w:cs="仿宋"/>
          <w:sz w:val="32"/>
          <w:szCs w:val="32"/>
        </w:rPr>
        <w:t>、办公地址、办公时间、联系方式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等政府信息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b/>
          <w:sz w:val="32"/>
          <w:szCs w:val="32"/>
        </w:rPr>
        <w:t>（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二</w:t>
      </w:r>
      <w:r>
        <w:rPr>
          <w:rFonts w:hint="eastAsia" w:ascii="楷体_GB2312" w:eastAsia="楷体_GB2312"/>
          <w:b/>
          <w:sz w:val="32"/>
          <w:szCs w:val="32"/>
        </w:rPr>
        <w:t>）依申请公开情况。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区局202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年依法受理了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件依申请公开，为自然人申请。区局严格依照《中华人民共和国政府信息公开条例》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和国家税务总局关于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税收信息对外提供管理办法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的通知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等文件要求办理。在规定的时间内予以受理、办结并回复。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三</w:t>
      </w:r>
      <w:r>
        <w:rPr>
          <w:rFonts w:hint="eastAsia" w:ascii="楷体_GB2312" w:eastAsia="楷体_GB2312"/>
          <w:b/>
          <w:sz w:val="32"/>
          <w:szCs w:val="32"/>
        </w:rPr>
        <w:t>）政府信息管理情况。</w:t>
      </w:r>
      <w:r>
        <w:rPr>
          <w:rFonts w:hint="eastAsia" w:ascii="仿宋_GB2312" w:eastAsia="仿宋_GB2312"/>
          <w:sz w:val="32"/>
          <w:szCs w:val="32"/>
        </w:rPr>
        <w:t>区局在依申请公开办理中，严格做好登记、审核、办理、答复、归档等流程，加强工作规范，严格执行保密审查制度，全年未发生因政府信息公开产生的泄密事件。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四</w:t>
      </w:r>
      <w:r>
        <w:rPr>
          <w:rFonts w:hint="eastAsia" w:ascii="楷体_GB2312" w:eastAsia="楷体_GB2312"/>
          <w:b/>
          <w:sz w:val="32"/>
          <w:szCs w:val="32"/>
        </w:rPr>
        <w:t>）平台建设情况。</w:t>
      </w:r>
      <w:r>
        <w:rPr>
          <w:rFonts w:hint="eastAsia" w:ascii="仿宋_GB2312" w:eastAsia="仿宋_GB2312"/>
          <w:sz w:val="32"/>
          <w:szCs w:val="32"/>
        </w:rPr>
        <w:t>根据上级统一要求，区局利用武汉市税务局门户网站“政府信息依申请在线申请平台”接受依申请公开，纳税人可选择“当面申请、邮政寄送、在线申请”等多种方式发起依申请公开。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五）</w:t>
      </w:r>
      <w:r>
        <w:rPr>
          <w:rFonts w:hint="eastAsia" w:ascii="楷体_GB2312" w:eastAsia="楷体_GB2312"/>
          <w:b/>
          <w:sz w:val="32"/>
          <w:szCs w:val="32"/>
        </w:rPr>
        <w:t>监督保障情况。</w:t>
      </w:r>
      <w:r>
        <w:rPr>
          <w:rFonts w:hint="eastAsia" w:ascii="仿宋_GB2312" w:eastAsia="仿宋_GB2312"/>
          <w:sz w:val="32"/>
          <w:szCs w:val="32"/>
        </w:rPr>
        <w:t>区局政府信息公开领导小组发挥引领作用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认真学习掌握落实上级政务公开工作要求</w:t>
      </w:r>
      <w:r>
        <w:rPr>
          <w:rFonts w:hint="eastAsia" w:ascii="仿宋_GB2312" w:eastAsia="仿宋_GB2312"/>
          <w:sz w:val="32"/>
          <w:szCs w:val="32"/>
        </w:rPr>
        <w:t>。区局</w:t>
      </w:r>
      <w:r>
        <w:rPr>
          <w:rFonts w:hint="eastAsia" w:ascii="仿宋_GB2312" w:eastAsia="仿宋_GB2312"/>
          <w:sz w:val="32"/>
          <w:szCs w:val="32"/>
          <w:lang w:eastAsia="zh-CN"/>
        </w:rPr>
        <w:t>组织人员积极</w:t>
      </w:r>
      <w:r>
        <w:rPr>
          <w:rFonts w:hint="eastAsia" w:ascii="仿宋_GB2312" w:eastAsia="仿宋_GB2312"/>
          <w:sz w:val="32"/>
          <w:szCs w:val="32"/>
        </w:rPr>
        <w:t>参加</w:t>
      </w:r>
      <w:r>
        <w:rPr>
          <w:rFonts w:hint="eastAsia" w:ascii="仿宋_GB2312" w:eastAsia="仿宋_GB2312"/>
          <w:sz w:val="32"/>
          <w:szCs w:val="32"/>
          <w:lang w:eastAsia="zh-CN"/>
        </w:rPr>
        <w:t>税务总局政务公开网络培训班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加强政务公开知识的</w:t>
      </w:r>
      <w:r>
        <w:rPr>
          <w:rFonts w:hint="eastAsia" w:ascii="仿宋_GB2312" w:eastAsia="仿宋_GB2312"/>
          <w:sz w:val="32"/>
          <w:szCs w:val="32"/>
        </w:rPr>
        <w:t>学习和掌握。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二、主动公开政府信息情况</w:t>
      </w:r>
    </w:p>
    <w:tbl>
      <w:tblPr>
        <w:tblStyle w:val="3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　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　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　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　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highlight w:val="yellow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15141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highlight w:val="yellow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　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三、收到和处理政府信息公开申请情况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3"/>
        <w:tblW w:w="5068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59"/>
        <w:gridCol w:w="805"/>
        <w:gridCol w:w="2892"/>
        <w:gridCol w:w="601"/>
        <w:gridCol w:w="601"/>
        <w:gridCol w:w="601"/>
        <w:gridCol w:w="601"/>
        <w:gridCol w:w="601"/>
        <w:gridCol w:w="615"/>
        <w:gridCol w:w="6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2" w:hRule="atLeast"/>
          <w:jc w:val="center"/>
        </w:trPr>
        <w:tc>
          <w:tcPr>
            <w:tcW w:w="2537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2462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2" w:hRule="atLeast"/>
          <w:jc w:val="center"/>
        </w:trPr>
        <w:tc>
          <w:tcPr>
            <w:tcW w:w="2537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自然人</w:t>
            </w:r>
          </w:p>
        </w:tc>
        <w:tc>
          <w:tcPr>
            <w:tcW w:w="1758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法人或其他组织</w:t>
            </w:r>
          </w:p>
        </w:tc>
        <w:tc>
          <w:tcPr>
            <w:tcW w:w="353" w:type="pct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1" w:hRule="atLeast"/>
          <w:jc w:val="center"/>
        </w:trPr>
        <w:tc>
          <w:tcPr>
            <w:tcW w:w="2537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企业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机构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社会公益组织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法律服务机构</w:t>
            </w:r>
          </w:p>
        </w:tc>
        <w:tc>
          <w:tcPr>
            <w:tcW w:w="3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353" w:type="pct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2" w:hRule="atLeast"/>
          <w:jc w:val="center"/>
        </w:trPr>
        <w:tc>
          <w:tcPr>
            <w:tcW w:w="2537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2" w:hRule="atLeast"/>
          <w:jc w:val="center"/>
        </w:trPr>
        <w:tc>
          <w:tcPr>
            <w:tcW w:w="2537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2" w:hRule="atLeast"/>
          <w:jc w:val="center"/>
        </w:trPr>
        <w:tc>
          <w:tcPr>
            <w:tcW w:w="384" w:type="pct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三、本年度办理结果</w:t>
            </w: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（一）予以公开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2" w:hRule="atLeast"/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2" w:hRule="atLeast"/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（三）不予公开</w:t>
            </w: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7" w:hRule="atLeast"/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2" w:hRule="atLeast"/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2" w:hRule="atLeast"/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2" w:hRule="atLeast"/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2" w:hRule="atLeast"/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2" w:hRule="atLeast"/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2" w:hRule="atLeast"/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2" w:hRule="atLeast"/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（四）无法提供</w:t>
            </w: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2" w:hRule="atLeast"/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2" w:hRule="atLeast"/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2" w:hRule="atLeast"/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（五）不予处理</w:t>
            </w: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2" w:hRule="atLeast"/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2" w:hRule="atLeast"/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2" w:hRule="atLeast"/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9" w:hRule="atLeast"/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1" w:hRule="atLeast"/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（六）其他处理</w:t>
            </w: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2" w:hRule="atLeast"/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2" w:hRule="atLeast"/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2" w:hRule="atLeast"/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（七）总计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4" w:hRule="atLeast"/>
          <w:jc w:val="center"/>
        </w:trPr>
        <w:tc>
          <w:tcPr>
            <w:tcW w:w="2537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四、结转下年度继续办理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四、政府信息公开行政复议、行政诉讼情况</w:t>
      </w:r>
    </w:p>
    <w:tbl>
      <w:tblPr>
        <w:tblStyle w:val="3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565"/>
        <w:gridCol w:w="565"/>
        <w:gridCol w:w="565"/>
        <w:gridCol w:w="574"/>
        <w:gridCol w:w="566"/>
        <w:gridCol w:w="566"/>
        <w:gridCol w:w="568"/>
        <w:gridCol w:w="568"/>
        <w:gridCol w:w="573"/>
        <w:gridCol w:w="568"/>
        <w:gridCol w:w="568"/>
        <w:gridCol w:w="568"/>
        <w:gridCol w:w="568"/>
        <w:gridCol w:w="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333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3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16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166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五、存在的主要问题及改进情况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存在的问题主要</w:t>
      </w:r>
      <w:r>
        <w:rPr>
          <w:rFonts w:hint="eastAsia" w:ascii="仿宋_GB2312" w:eastAsia="仿宋_GB2312"/>
          <w:sz w:val="32"/>
          <w:szCs w:val="32"/>
          <w:lang w:eastAsia="zh-CN"/>
        </w:rPr>
        <w:t>是对信息公开</w:t>
      </w:r>
      <w:r>
        <w:rPr>
          <w:rFonts w:hint="eastAsia" w:ascii="仿宋_GB2312" w:eastAsia="仿宋_GB2312"/>
          <w:sz w:val="32"/>
          <w:szCs w:val="32"/>
        </w:rPr>
        <w:t>文件的学习掌握不够深入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24"/>
        </w:rPr>
        <w:t>主动公开的渠道有待进一步优化，政务公开的队伍建设有待进一步加强。</w:t>
      </w:r>
      <w:r>
        <w:rPr>
          <w:rFonts w:hint="eastAsia" w:ascii="仿宋_GB2312" w:eastAsia="仿宋_GB2312"/>
          <w:sz w:val="32"/>
          <w:szCs w:val="32"/>
        </w:rPr>
        <w:t>区局将进一步加强学习培训，严格按照有关法律法规做好政府信息公开工作</w:t>
      </w:r>
      <w:r>
        <w:rPr>
          <w:rFonts w:hint="eastAsia" w:ascii="仿宋_GB2312" w:eastAsia="仿宋_GB2312"/>
          <w:sz w:val="32"/>
          <w:szCs w:val="32"/>
          <w:lang w:eastAsia="zh-CN"/>
        </w:rPr>
        <w:t>，同时</w:t>
      </w:r>
      <w:r>
        <w:rPr>
          <w:rFonts w:hint="eastAsia" w:ascii="仿宋" w:hAnsi="仿宋" w:eastAsia="仿宋" w:cs="仿宋"/>
          <w:sz w:val="32"/>
          <w:szCs w:val="32"/>
        </w:rPr>
        <w:t>加强队伍建设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积极参加政府信息公开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相关培训，不断提升工作能力和水平，推动政府信息公开工作整体水平的提高。</w:t>
      </w:r>
    </w:p>
    <w:p>
      <w:pPr>
        <w:widowControl/>
        <w:spacing w:line="432" w:lineRule="auto"/>
        <w:ind w:firstLine="480"/>
        <w:rPr>
          <w:rFonts w:ascii="黑体" w:hAnsi="宋体" w:eastAsia="黑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color w:val="333333"/>
          <w:kern w:val="0"/>
          <w:sz w:val="32"/>
          <w:szCs w:val="32"/>
        </w:rPr>
        <w:t>六、其他需要报告的事项</w:t>
      </w:r>
    </w:p>
    <w:p>
      <w:pPr>
        <w:ind w:firstLine="320" w:firstLineChars="100"/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24"/>
        </w:rPr>
        <w:t>无</w:t>
      </w:r>
    </w:p>
    <w:p/>
    <w:p/>
    <w:p/>
    <w:p/>
    <w:p>
      <w:pPr>
        <w:spacing w:line="560" w:lineRule="exact"/>
        <w:ind w:firstLine="1600" w:firstLineChars="5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国家税务总局武汉市东湖新技术开发区税务局</w:t>
      </w:r>
    </w:p>
    <w:p>
      <w:pPr>
        <w:spacing w:line="560" w:lineRule="exact"/>
        <w:ind w:firstLine="1600" w:firstLineChars="5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560" w:lineRule="exact"/>
        <w:ind w:firstLine="4160" w:firstLineChars="13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2022年1月20日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3BAB042-13FF-4B31-80F3-8139A8D733C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F564CF4-6E0F-4019-8480-0E2F5538D4EB}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  <w:embedRegular r:id="rId3" w:fontKey="{9264D173-C9B7-4958-9A4B-5A44DE59F56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E57062E-2E89-4926-AAFB-ECE1F91FDFC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41A7C7D3-9242-4723-B8DF-21269796FD5F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FF474452-7D7B-4A9F-9829-CF190D5B580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09C0C715-3249-4789-8CCD-ABEA8FD83C9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B1E27"/>
    <w:rsid w:val="01927186"/>
    <w:rsid w:val="0425341A"/>
    <w:rsid w:val="11E27255"/>
    <w:rsid w:val="12F6764D"/>
    <w:rsid w:val="238B1E27"/>
    <w:rsid w:val="246E2621"/>
    <w:rsid w:val="380214FF"/>
    <w:rsid w:val="38791C18"/>
    <w:rsid w:val="397119C0"/>
    <w:rsid w:val="419B6055"/>
    <w:rsid w:val="4AB61875"/>
    <w:rsid w:val="714C7670"/>
    <w:rsid w:val="71734E55"/>
    <w:rsid w:val="73C2778C"/>
    <w:rsid w:val="767E6E8D"/>
    <w:rsid w:val="79FB1236"/>
    <w:rsid w:val="7D21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2021-12-21T15:19:00Z</dcterms:created>
  <dc:creator>WPS_1624785580</dc:creator>
  <cp:lastModifiedBy>吴明克</cp:lastModifiedBy>
  <cp:lastPrinted>2022-01-19T01:55:00Z</cp:lastPrinted>
  <dcterms:modified xsi:type="dcterms:W3CDTF">2022-02-07T03:32:55Z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777F53E91E564B3B96F5A1A435D08748</vt:lpwstr>
  </property>
</Properties>
</file>