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D4787" w14:textId="77777777" w:rsidR="00A81A2D" w:rsidRDefault="00A81A2D" w:rsidP="00A81A2D">
      <w:pPr>
        <w:spacing w:line="580" w:lineRule="exact"/>
        <w:rPr>
          <w:rFonts w:ascii="黑体" w:eastAsia="黑体" w:hAnsi="黑体" w:cs="黑体"/>
          <w:sz w:val="32"/>
          <w:szCs w:val="32"/>
        </w:rPr>
      </w:pPr>
      <w:r>
        <w:rPr>
          <w:rFonts w:ascii="黑体" w:eastAsia="黑体" w:hAnsi="黑体" w:cs="黑体" w:hint="eastAsia"/>
          <w:sz w:val="32"/>
          <w:szCs w:val="32"/>
        </w:rPr>
        <w:t>附件1：</w:t>
      </w:r>
    </w:p>
    <w:p w14:paraId="3FEDF383" w14:textId="77777777" w:rsidR="00A81A2D" w:rsidRDefault="00A81A2D" w:rsidP="00A81A2D">
      <w:pPr>
        <w:spacing w:line="580" w:lineRule="exact"/>
        <w:jc w:val="center"/>
        <w:rPr>
          <w:rFonts w:ascii="长城小标宋体" w:eastAsia="长城小标宋体" w:hAnsi="长城小标宋体" w:cs="长城小标宋体"/>
          <w:sz w:val="44"/>
          <w:szCs w:val="44"/>
        </w:rPr>
      </w:pPr>
      <w:r>
        <w:rPr>
          <w:rFonts w:ascii="长城小标宋体" w:eastAsia="长城小标宋体" w:hAnsi="长城小标宋体" w:cs="长城小标宋体" w:hint="eastAsia"/>
          <w:sz w:val="44"/>
          <w:szCs w:val="44"/>
        </w:rPr>
        <w:t>湖北省人民代表大会常务委员会</w:t>
      </w:r>
    </w:p>
    <w:p w14:paraId="26A3D0F8" w14:textId="77777777" w:rsidR="00A81A2D" w:rsidRDefault="00A81A2D" w:rsidP="00A81A2D">
      <w:pPr>
        <w:spacing w:line="580" w:lineRule="exact"/>
        <w:jc w:val="center"/>
        <w:rPr>
          <w:rFonts w:ascii="长城小标宋体" w:eastAsia="长城小标宋体" w:hAnsi="长城小标宋体" w:cs="长城小标宋体"/>
          <w:sz w:val="44"/>
          <w:szCs w:val="44"/>
        </w:rPr>
      </w:pPr>
      <w:proofErr w:type="gramStart"/>
      <w:r>
        <w:rPr>
          <w:rFonts w:ascii="长城小标宋体" w:eastAsia="长城小标宋体" w:hAnsi="长城小标宋体" w:cs="长城小标宋体" w:hint="eastAsia"/>
          <w:sz w:val="44"/>
          <w:szCs w:val="44"/>
        </w:rPr>
        <w:t>关于将磷石膏</w:t>
      </w:r>
      <w:proofErr w:type="gramEnd"/>
      <w:r>
        <w:rPr>
          <w:rFonts w:ascii="长城小标宋体" w:eastAsia="长城小标宋体" w:hAnsi="长城小标宋体" w:cs="长城小标宋体" w:hint="eastAsia"/>
          <w:sz w:val="44"/>
          <w:szCs w:val="44"/>
        </w:rPr>
        <w:t>纳入环境保护</w:t>
      </w:r>
      <w:proofErr w:type="gramStart"/>
      <w:r>
        <w:rPr>
          <w:rFonts w:ascii="长城小标宋体" w:eastAsia="长城小标宋体" w:hAnsi="长城小标宋体" w:cs="长城小标宋体" w:hint="eastAsia"/>
          <w:sz w:val="44"/>
          <w:szCs w:val="44"/>
        </w:rPr>
        <w:t>税</w:t>
      </w:r>
      <w:proofErr w:type="gramEnd"/>
      <w:r>
        <w:rPr>
          <w:rFonts w:ascii="长城小标宋体" w:eastAsia="长城小标宋体" w:hAnsi="长城小标宋体" w:cs="长城小标宋体" w:hint="eastAsia"/>
          <w:sz w:val="44"/>
          <w:szCs w:val="44"/>
        </w:rPr>
        <w:t>税目“其他固体废物”范围的决定(草案征求意见稿）</w:t>
      </w:r>
    </w:p>
    <w:p w14:paraId="75946E8A" w14:textId="77777777" w:rsidR="00A81A2D" w:rsidRDefault="00A81A2D" w:rsidP="00A81A2D">
      <w:pPr>
        <w:spacing w:line="580" w:lineRule="exact"/>
        <w:rPr>
          <w:rFonts w:ascii="仿宋" w:eastAsia="仿宋" w:hAnsi="仿宋" w:cs="仿宋"/>
          <w:sz w:val="32"/>
          <w:szCs w:val="32"/>
        </w:rPr>
      </w:pPr>
    </w:p>
    <w:p w14:paraId="5A61AA07" w14:textId="77777777" w:rsidR="00A81A2D" w:rsidRDefault="00A81A2D" w:rsidP="00A81A2D">
      <w:pPr>
        <w:spacing w:line="580" w:lineRule="exact"/>
        <w:rPr>
          <w:rFonts w:ascii="仿宋" w:eastAsia="仿宋" w:hAnsi="仿宋" w:cs="仿宋"/>
          <w:sz w:val="32"/>
          <w:szCs w:val="32"/>
        </w:rPr>
      </w:pPr>
      <w:r>
        <w:rPr>
          <w:rFonts w:ascii="仿宋" w:eastAsia="仿宋" w:hAnsi="仿宋" w:cs="仿宋" w:hint="eastAsia"/>
          <w:sz w:val="32"/>
          <w:szCs w:val="32"/>
        </w:rPr>
        <w:t xml:space="preserve">　　为了保护和改善环境，减少污染物排放，推进生态文明建设，根据《</w:t>
      </w:r>
      <w:hyperlink r:id="rId4" w:history="1">
        <w:r>
          <w:rPr>
            <w:rFonts w:ascii="仿宋" w:eastAsia="仿宋" w:hAnsi="仿宋" w:cs="仿宋" w:hint="eastAsia"/>
            <w:sz w:val="32"/>
            <w:szCs w:val="32"/>
          </w:rPr>
          <w:t>中华人民共和国环境保护税法</w:t>
        </w:r>
      </w:hyperlink>
      <w:r>
        <w:rPr>
          <w:rFonts w:ascii="仿宋" w:eastAsia="仿宋" w:hAnsi="仿宋" w:cs="仿宋" w:hint="eastAsia"/>
          <w:sz w:val="32"/>
          <w:szCs w:val="32"/>
        </w:rPr>
        <w:t>》《</w:t>
      </w:r>
      <w:hyperlink r:id="rId5" w:history="1">
        <w:r>
          <w:rPr>
            <w:rFonts w:ascii="仿宋" w:eastAsia="仿宋" w:hAnsi="仿宋" w:cs="仿宋" w:hint="eastAsia"/>
            <w:sz w:val="32"/>
            <w:szCs w:val="32"/>
          </w:rPr>
          <w:t>中华人民共和国环境保护税法实施条例</w:t>
        </w:r>
      </w:hyperlink>
      <w:r>
        <w:rPr>
          <w:rFonts w:ascii="仿宋" w:eastAsia="仿宋" w:hAnsi="仿宋" w:cs="仿宋" w:hint="eastAsia"/>
          <w:sz w:val="32"/>
          <w:szCs w:val="32"/>
        </w:rPr>
        <w:t>》规定，综合考虑“其他固体废物”的环境危害程度，作如下决定：</w:t>
      </w:r>
    </w:p>
    <w:p w14:paraId="6FC4BF28" w14:textId="77777777" w:rsidR="00A81A2D" w:rsidRDefault="00A81A2D" w:rsidP="00A81A2D">
      <w:pPr>
        <w:spacing w:line="580" w:lineRule="exact"/>
        <w:ind w:left="640"/>
        <w:rPr>
          <w:rFonts w:ascii="仿宋" w:eastAsia="仿宋" w:hAnsi="仿宋" w:cs="仿宋"/>
          <w:sz w:val="32"/>
          <w:szCs w:val="32"/>
        </w:rPr>
      </w:pPr>
      <w:r>
        <w:rPr>
          <w:rFonts w:ascii="仿宋" w:eastAsia="仿宋" w:hAnsi="仿宋" w:cs="仿宋" w:hint="eastAsia"/>
          <w:sz w:val="32"/>
          <w:szCs w:val="32"/>
        </w:rPr>
        <w:t>一、</w:t>
      </w:r>
      <w:proofErr w:type="gramStart"/>
      <w:r>
        <w:rPr>
          <w:rFonts w:ascii="仿宋" w:eastAsia="仿宋" w:hAnsi="仿宋" w:cs="仿宋" w:hint="eastAsia"/>
          <w:sz w:val="32"/>
          <w:szCs w:val="32"/>
        </w:rPr>
        <w:t>将磷石膏</w:t>
      </w:r>
      <w:proofErr w:type="gramEnd"/>
      <w:r>
        <w:rPr>
          <w:rFonts w:ascii="仿宋" w:eastAsia="仿宋" w:hAnsi="仿宋" w:cs="仿宋" w:hint="eastAsia"/>
          <w:sz w:val="32"/>
          <w:szCs w:val="32"/>
        </w:rPr>
        <w:t>纳入《</w:t>
      </w:r>
      <w:hyperlink r:id="rId6" w:history="1">
        <w:r>
          <w:rPr>
            <w:rFonts w:ascii="仿宋" w:eastAsia="仿宋" w:hAnsi="仿宋" w:cs="仿宋" w:hint="eastAsia"/>
            <w:sz w:val="32"/>
            <w:szCs w:val="32"/>
          </w:rPr>
          <w:t>中华人民共和国环境保护税法</w:t>
        </w:r>
      </w:hyperlink>
      <w:r>
        <w:rPr>
          <w:rFonts w:ascii="仿宋" w:eastAsia="仿宋" w:hAnsi="仿宋" w:cs="仿宋" w:hint="eastAsia"/>
          <w:sz w:val="32"/>
          <w:szCs w:val="32"/>
        </w:rPr>
        <w:t>》所</w:t>
      </w:r>
    </w:p>
    <w:p w14:paraId="69E661F5" w14:textId="77777777" w:rsidR="00A81A2D" w:rsidRDefault="00A81A2D" w:rsidP="00A81A2D">
      <w:pPr>
        <w:spacing w:line="580" w:lineRule="exact"/>
        <w:rPr>
          <w:rFonts w:ascii="仿宋" w:eastAsia="仿宋" w:hAnsi="仿宋" w:cs="仿宋"/>
          <w:sz w:val="32"/>
          <w:szCs w:val="32"/>
        </w:rPr>
      </w:pPr>
      <w:r>
        <w:rPr>
          <w:rFonts w:ascii="仿宋" w:eastAsia="仿宋" w:hAnsi="仿宋" w:cs="仿宋" w:hint="eastAsia"/>
          <w:sz w:val="32"/>
          <w:szCs w:val="32"/>
        </w:rPr>
        <w:t>附《环境保护税税目税额表》中“其他固体废物”范围。</w:t>
      </w:r>
    </w:p>
    <w:p w14:paraId="4648DABB" w14:textId="77777777" w:rsidR="00A81A2D" w:rsidRDefault="00A81A2D" w:rsidP="00A81A2D">
      <w:pPr>
        <w:spacing w:line="580" w:lineRule="exact"/>
        <w:ind w:firstLineChars="200" w:firstLine="640"/>
        <w:rPr>
          <w:rFonts w:ascii="仿宋_GB2312" w:eastAsia="仿宋_GB2312"/>
          <w:sz w:val="32"/>
          <w:szCs w:val="32"/>
        </w:rPr>
      </w:pPr>
      <w:r>
        <w:rPr>
          <w:rFonts w:ascii="仿宋" w:eastAsia="仿宋" w:hAnsi="仿宋" w:cs="仿宋" w:hint="eastAsia"/>
          <w:sz w:val="32"/>
          <w:szCs w:val="32"/>
        </w:rPr>
        <w:t>二、税务机关会同相关部门</w:t>
      </w:r>
      <w:r>
        <w:rPr>
          <w:rFonts w:ascii="仿宋_GB2312" w:eastAsia="仿宋_GB2312" w:hint="eastAsia"/>
          <w:sz w:val="32"/>
          <w:szCs w:val="32"/>
        </w:rPr>
        <w:t>制定磷石膏环境保护税税收征收管理办法，按照环境保护税法及其实施条例规定的应税固体废物计税方式和税额标准征收环境保护税。</w:t>
      </w:r>
    </w:p>
    <w:p w14:paraId="73FC12E5" w14:textId="77777777" w:rsidR="00A81A2D" w:rsidRDefault="00A81A2D" w:rsidP="00A81A2D">
      <w:pPr>
        <w:spacing w:line="580" w:lineRule="exact"/>
        <w:ind w:firstLineChars="200" w:firstLine="640"/>
        <w:rPr>
          <w:rFonts w:ascii="仿宋" w:eastAsia="仿宋" w:hAnsi="仿宋" w:cs="仿宋"/>
          <w:sz w:val="32"/>
          <w:szCs w:val="32"/>
        </w:rPr>
      </w:pPr>
      <w:r>
        <w:rPr>
          <w:rFonts w:ascii="仿宋_GB2312" w:eastAsia="仿宋_GB2312" w:hint="eastAsia"/>
          <w:sz w:val="32"/>
          <w:szCs w:val="32"/>
        </w:rPr>
        <w:t>三、税务机关与生态环境、经信、应急管理、自然资源等部门应当建立工作配合机制。省生态环境部门制定我省磷石膏环境保护标准，根据标准认定纳税人当期磷石膏贮存量、处置量，企业磷石膏产生量、综合利用量由经信部门审核提供。</w:t>
      </w:r>
    </w:p>
    <w:p w14:paraId="286DC8AA" w14:textId="77777777" w:rsidR="00A81A2D" w:rsidRDefault="00A81A2D" w:rsidP="00A81A2D">
      <w:pPr>
        <w:spacing w:line="580" w:lineRule="exact"/>
        <w:ind w:firstLine="640"/>
        <w:rPr>
          <w:rFonts w:ascii="仿宋" w:eastAsia="仿宋" w:hAnsi="仿宋" w:cs="仿宋"/>
          <w:sz w:val="32"/>
          <w:szCs w:val="32"/>
        </w:rPr>
      </w:pPr>
      <w:r>
        <w:rPr>
          <w:rFonts w:ascii="仿宋" w:eastAsia="仿宋" w:hAnsi="仿宋" w:cs="仿宋" w:hint="eastAsia"/>
          <w:sz w:val="32"/>
          <w:szCs w:val="32"/>
        </w:rPr>
        <w:t>本决定自2022年 月 日起施行。</w:t>
      </w:r>
    </w:p>
    <w:p w14:paraId="64037A5A" w14:textId="77777777" w:rsidR="004F21C0" w:rsidRPr="00A81A2D" w:rsidRDefault="004F21C0"/>
    <w:sectPr w:rsidR="004F21C0" w:rsidRPr="00A81A2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长城小标宋体">
    <w:altName w:val="宋体"/>
    <w:charset w:val="00"/>
    <w:family w:val="auto"/>
    <w:pitch w:val="default"/>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A2D"/>
    <w:rsid w:val="004F21C0"/>
    <w:rsid w:val="00A81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3DDD1"/>
  <w15:chartTrackingRefBased/>
  <w15:docId w15:val="{9D38EF55-FE0B-42C4-BFB0-97EB6D30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A81A2D"/>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semiHidden/>
    <w:unhideWhenUsed/>
    <w:rsid w:val="00A81A2D"/>
    <w:pPr>
      <w:spacing w:after="120"/>
    </w:pPr>
  </w:style>
  <w:style w:type="character" w:customStyle="1" w:styleId="a4">
    <w:name w:val="正文文本 字符"/>
    <w:basedOn w:val="a1"/>
    <w:link w:val="a0"/>
    <w:uiPriority w:val="99"/>
    <w:semiHidden/>
    <w:rsid w:val="00A81A2D"/>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hui5.cn/article/cc/124320.html" TargetMode="External"/><Relationship Id="rId5" Type="http://schemas.openxmlformats.org/officeDocument/2006/relationships/hyperlink" Target="https://www.shui5.cn/article/b1/117347.html" TargetMode="External"/><Relationship Id="rId4" Type="http://schemas.openxmlformats.org/officeDocument/2006/relationships/hyperlink" Target="https://www.shui5.cn/article/cc/124320.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496</Characters>
  <Application>Microsoft Office Word</Application>
  <DocSecurity>0</DocSecurity>
  <Lines>4</Lines>
  <Paragraphs>1</Paragraphs>
  <ScaleCrop>false</ScaleCrop>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靖 李</dc:creator>
  <cp:keywords/>
  <dc:description/>
  <cp:lastModifiedBy>靖 李</cp:lastModifiedBy>
  <cp:revision>1</cp:revision>
  <dcterms:created xsi:type="dcterms:W3CDTF">2022-01-27T07:39:00Z</dcterms:created>
  <dcterms:modified xsi:type="dcterms:W3CDTF">2022-01-27T07:39:00Z</dcterms:modified>
</cp:coreProperties>
</file>