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国家税务总局武汉市青山区税务局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2020年信息公开年度工作报告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color w:val="000000"/>
          <w:sz w:val="32"/>
          <w:szCs w:val="32"/>
        </w:rPr>
      </w:pPr>
      <w:r>
        <w:rPr>
          <w:rFonts w:hint="eastAsia" w:ascii="仿宋_GB2312" w:hAnsi="仿宋_GB2312" w:eastAsia="仿宋_GB2312" w:cs="仿宋_GB2312"/>
          <w:sz w:val="32"/>
          <w:szCs w:val="32"/>
          <w:lang w:val="en-US" w:eastAsia="zh-CN"/>
        </w:rPr>
        <w:t>2020年，青山区税务局认真贯彻《中华人民共和国政府信息公开条例》，</w:t>
      </w:r>
      <w:r>
        <w:rPr>
          <w:rFonts w:hint="eastAsia" w:ascii="仿宋_GB2312" w:hAnsi="仿宋_GB2312" w:eastAsia="仿宋_GB2312" w:cs="仿宋_GB2312"/>
          <w:sz w:val="32"/>
          <w:szCs w:val="32"/>
        </w:rPr>
        <w:t>严格落实《国家税务总局关于全面推进政务公开工作的实施办法》要求，坚持以公开为常态、不公开为例外，全力推进政府信息公开工作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rPr>
        <w:t>全年区局</w:t>
      </w:r>
      <w:r>
        <w:rPr>
          <w:rFonts w:hint="eastAsia" w:ascii="仿宋_GB2312" w:eastAsia="仿宋_GB2312"/>
          <w:color w:val="000000"/>
          <w:sz w:val="32"/>
          <w:szCs w:val="32"/>
        </w:rPr>
        <w:t>没有发生因信息公开或不公开引起的行政复议和提起行政诉讼情况，没有</w:t>
      </w:r>
      <w:r>
        <w:rPr>
          <w:rFonts w:hint="eastAsia" w:ascii="仿宋_GB2312" w:eastAsia="仿宋_GB2312"/>
          <w:color w:val="000000"/>
          <w:sz w:val="32"/>
          <w:szCs w:val="32"/>
          <w:lang w:eastAsia="zh-CN"/>
        </w:rPr>
        <w:t>产生信息公开舆情</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（一）主动公开情况。</w:t>
      </w:r>
      <w:r>
        <w:rPr>
          <w:rFonts w:hint="eastAsia" w:ascii="仿宋_GB2312" w:hAnsi="仿宋_GB2312" w:eastAsia="仿宋_GB2312" w:cs="仿宋_GB2312"/>
          <w:sz w:val="32"/>
          <w:szCs w:val="32"/>
          <w:lang w:val="en-US" w:eastAsia="zh-CN"/>
        </w:rPr>
        <w:t>青山区税务局在通过武汉市税务局网页主动向社会公开信息的基础上，结合青山区政府信息公开工作要求，通过青山区政府信息公开平台主动向社会公开信息，具体包括：领导简介、机构设置、主要职能、行业概况、工作计划、工作动态、税收政策法规、税收征管制度、办税指南、行政许可规定、非许可审批、税收收入统计数据、队伍建设情况、人事管理事项、注册税务师管理事项、重大项目、政府采购等政府信息。同时，为方便公众及时了解信息，区局以办税服务厅作为主阵地，综合利用各类纳税辅导培训、宣传栏、电子显示屏等形式，及时公开税收政策、行政处罚、行政许可等各类信息，推进公开信息的电子化，降低纳税人查询成本，信息公开工作取得了一定成效。</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（二）依申请公开情况。</w:t>
      </w:r>
      <w:r>
        <w:rPr>
          <w:rFonts w:hint="eastAsia" w:ascii="仿宋_GB2312" w:hAnsi="仿宋_GB2312" w:eastAsia="仿宋_GB2312" w:cs="仿宋_GB2312"/>
          <w:sz w:val="32"/>
          <w:szCs w:val="32"/>
          <w:lang w:val="en-US" w:eastAsia="zh-CN"/>
        </w:rPr>
        <w:t>武汉市青山区税务局2020年收到政府信息公开申请1件，按规定流程和要求予以回复。</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政府信息管理</w:t>
      </w:r>
      <w:r>
        <w:rPr>
          <w:rFonts w:hint="eastAsia" w:ascii="楷体_GB2312" w:hAnsi="楷体_GB2312" w:eastAsia="楷体_GB2312" w:cs="楷体_GB2312"/>
          <w:b/>
          <w:bCs/>
          <w:sz w:val="32"/>
          <w:szCs w:val="32"/>
          <w:lang w:val="en-US" w:eastAsia="zh-CN"/>
        </w:rPr>
        <w:t>情况。</w:t>
      </w:r>
      <w:r>
        <w:rPr>
          <w:rFonts w:hint="eastAsia" w:ascii="仿宋_GB2312" w:hAnsi="仿宋_GB2312" w:eastAsia="仿宋_GB2312" w:cs="仿宋_GB2312"/>
          <w:sz w:val="32"/>
          <w:szCs w:val="32"/>
          <w:lang w:val="zh-CN"/>
        </w:rPr>
        <w:t>完成</w:t>
      </w:r>
      <w:bookmarkStart w:id="0" w:name="_GoBack"/>
      <w:r>
        <w:rPr>
          <w:rFonts w:hint="eastAsia" w:ascii="仿宋_GB2312" w:hAnsi="仿宋_GB2312" w:eastAsia="仿宋_GB2312" w:cs="仿宋_GB2312"/>
          <w:sz w:val="32"/>
          <w:szCs w:val="32"/>
          <w:lang w:val="zh-CN"/>
        </w:rPr>
        <w:t>了内外网栏目更新，完善了包括政府信息公开指南、政府信息公开制度、政府信息公开年报、政府信息公开申请等政府信息公开相关栏目；通过青山区政务网公开了《青山区税务局政务公开目录》，通过执法信息公示平台主动公开信息</w:t>
      </w:r>
      <w:r>
        <w:rPr>
          <w:rFonts w:hint="eastAsia" w:ascii="仿宋_GB2312" w:hAnsi="仿宋_GB2312" w:eastAsia="仿宋_GB2312" w:cs="仿宋_GB2312"/>
          <w:sz w:val="32"/>
          <w:szCs w:val="32"/>
          <w:lang w:val="en-US" w:eastAsia="zh-CN"/>
        </w:rPr>
        <w:t>2372条，</w:t>
      </w:r>
      <w:r>
        <w:rPr>
          <w:rFonts w:hint="eastAsia" w:ascii="仿宋_GB2312" w:hAnsi="仿宋_GB2312" w:eastAsia="仿宋_GB2312" w:cs="仿宋_GB2312"/>
          <w:sz w:val="32"/>
          <w:szCs w:val="32"/>
          <w:lang w:val="zh-CN"/>
        </w:rPr>
        <w:t>办理</w:t>
      </w:r>
      <w:r>
        <w:rPr>
          <w:rFonts w:hint="eastAsia" w:ascii="仿宋_GB2312" w:hAnsi="仿宋_GB2312" w:eastAsia="仿宋_GB2312" w:cs="仿宋_GB2312"/>
          <w:sz w:val="32"/>
          <w:szCs w:val="32"/>
          <w:lang w:val="zh-CN" w:eastAsia="zh-CN"/>
        </w:rPr>
        <w:t>个人邮寄申请</w:t>
      </w:r>
      <w:r>
        <w:rPr>
          <w:rFonts w:hint="eastAsia" w:ascii="仿宋_GB2312" w:hAnsi="仿宋_GB2312" w:eastAsia="仿宋_GB2312" w:cs="仿宋_GB2312"/>
          <w:sz w:val="32"/>
          <w:szCs w:val="32"/>
          <w:lang w:val="zh-CN"/>
        </w:rPr>
        <w:t>的政府信息公开申请1件（不存在该政府信息），向区人民政府报送信息</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lang w:val="zh-CN"/>
        </w:rPr>
        <w:t>条，提供涉税信息查询</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lang w:val="zh-CN"/>
        </w:rPr>
        <w:t>次。</w:t>
      </w:r>
    </w:p>
    <w:bookmarkEnd w:id="0"/>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平台建设和监督保障</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为进一步强化对信息公开工作的全过程监督管理，做到及时公开信息的同时，保证涉密信息不外泄，区局合理利用执法信息公示平台，</w:t>
      </w:r>
      <w:r>
        <w:rPr>
          <w:rFonts w:hint="eastAsia" w:ascii="仿宋_GB2312" w:eastAsia="仿宋_GB2312"/>
          <w:sz w:val="32"/>
          <w:szCs w:val="32"/>
        </w:rPr>
        <w:t>在公文的</w:t>
      </w:r>
      <w:r>
        <w:rPr>
          <w:rFonts w:hint="eastAsia" w:ascii="仿宋_GB2312" w:eastAsia="仿宋_GB2312"/>
          <w:sz w:val="32"/>
          <w:szCs w:val="32"/>
          <w:lang w:eastAsia="zh-CN"/>
        </w:rPr>
        <w:t>制发</w:t>
      </w:r>
      <w:r>
        <w:rPr>
          <w:rFonts w:hint="eastAsia" w:ascii="仿宋_GB2312" w:eastAsia="仿宋_GB2312"/>
          <w:sz w:val="32"/>
          <w:szCs w:val="32"/>
        </w:rPr>
        <w:t>过程中，同步确定其主动公开、依申请公开、不予公开三种属性，公文拟制部门根据公文内容，</w:t>
      </w:r>
      <w:r>
        <w:rPr>
          <w:rFonts w:hint="eastAsia" w:ascii="仿宋_GB2312" w:hAnsi="仿宋_GB2312" w:eastAsia="仿宋_GB2312" w:cs="仿宋_GB2312"/>
          <w:sz w:val="32"/>
          <w:szCs w:val="32"/>
          <w:lang w:val="en-US" w:eastAsia="zh-CN"/>
        </w:rPr>
        <w:t>对拟公示的执法信息进行事前和事中审核，确保及时、安全、高效信息公示。</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eastAsia="zh-CN"/>
        </w:rPr>
        <w:t>（五）开展信息公开培训</w:t>
      </w:r>
      <w:r>
        <w:rPr>
          <w:rFonts w:hint="eastAsia" w:ascii="楷体_GB2312" w:hAnsi="楷体_GB2312" w:eastAsia="楷体_GB2312" w:cs="楷体_GB2312"/>
          <w:b/>
          <w:bCs/>
          <w:sz w:val="32"/>
          <w:szCs w:val="32"/>
        </w:rPr>
        <w:t>情况。</w:t>
      </w:r>
      <w:r>
        <w:rPr>
          <w:rFonts w:hint="eastAsia" w:ascii="仿宋_GB2312" w:eastAsia="仿宋_GB2312"/>
          <w:sz w:val="32"/>
          <w:szCs w:val="32"/>
          <w:lang w:eastAsia="zh-CN"/>
        </w:rPr>
        <w:t>今年以来，区局先后组织全体干部到武汉大学保密培训基地集中学习保密知识，组织相关干部学习</w:t>
      </w:r>
      <w:r>
        <w:rPr>
          <w:rFonts w:hint="eastAsia" w:ascii="仿宋_GB2312" w:eastAsia="仿宋_GB2312"/>
          <w:sz w:val="32"/>
          <w:szCs w:val="32"/>
        </w:rPr>
        <w:t>《中华人民共和国政府信息公开条例》</w:t>
      </w:r>
      <w:r>
        <w:rPr>
          <w:rFonts w:hint="eastAsia" w:ascii="仿宋_GB2312" w:eastAsia="仿宋_GB2312"/>
          <w:sz w:val="32"/>
          <w:szCs w:val="32"/>
          <w:lang w:eastAsia="zh-CN"/>
        </w:rPr>
        <w:t>，集中开展培训研讨。在推进青山区政务公开经济税收版块的完善时，专门组织区局相关干部就信</w:t>
      </w:r>
      <w:r>
        <w:rPr>
          <w:rFonts w:hint="eastAsia" w:ascii="仿宋_GB2312" w:eastAsia="仿宋_GB2312"/>
          <w:sz w:val="32"/>
          <w:szCs w:val="32"/>
        </w:rPr>
        <w:t>息公开目录设置、 信息公开网站信息发布、 信息公开与保密审查要求</w:t>
      </w:r>
      <w:r>
        <w:rPr>
          <w:rFonts w:hint="eastAsia" w:ascii="仿宋_GB2312" w:eastAsia="仿宋_GB2312"/>
          <w:sz w:val="32"/>
          <w:szCs w:val="32"/>
          <w:lang w:eastAsia="zh-CN"/>
        </w:rPr>
        <w:t>、</w:t>
      </w:r>
      <w:r>
        <w:rPr>
          <w:rFonts w:hint="eastAsia" w:ascii="仿宋_GB2312" w:eastAsia="仿宋_GB2312"/>
          <w:sz w:val="32"/>
          <w:szCs w:val="32"/>
        </w:rPr>
        <w:t>信息公开工作中存在的问题等具体工作进行研讨</w:t>
      </w:r>
      <w:r>
        <w:rPr>
          <w:rFonts w:hint="eastAsia" w:ascii="仿宋_GB2312" w:eastAsia="仿宋_GB2312"/>
          <w:sz w:val="32"/>
          <w:szCs w:val="32"/>
          <w:lang w:eastAsia="zh-CN"/>
        </w:rPr>
        <w:t>，</w:t>
      </w:r>
      <w:r>
        <w:rPr>
          <w:rFonts w:hint="eastAsia" w:ascii="仿宋_GB2312" w:eastAsia="仿宋_GB2312"/>
          <w:sz w:val="32"/>
          <w:szCs w:val="32"/>
        </w:rPr>
        <w:t>为信息公开工作的有序开展奠定了坚实基础。</w:t>
      </w:r>
    </w:p>
    <w:p>
      <w:pPr>
        <w:adjustRightInd w:val="0"/>
        <w:snapToGrid w:val="0"/>
        <w:spacing w:line="360" w:lineRule="auto"/>
        <w:ind w:firstLine="640" w:firstLineChars="200"/>
        <w:rPr>
          <w:rFonts w:hint="eastAsia" w:ascii="黑体" w:hAnsi="黑体" w:eastAsia="黑体" w:cs="黑体"/>
          <w:sz w:val="32"/>
          <w:szCs w:val="32"/>
        </w:rPr>
      </w:pPr>
    </w:p>
    <w:p>
      <w:pPr>
        <w:adjustRightInd w:val="0"/>
        <w:snapToGrid w:val="0"/>
        <w:spacing w:line="360" w:lineRule="auto"/>
        <w:ind w:firstLine="640" w:firstLineChars="200"/>
        <w:rPr>
          <w:rFonts w:hint="eastAsia" w:ascii="黑体" w:hAnsi="黑体" w:eastAsia="黑体" w:cs="黑体"/>
          <w:sz w:val="32"/>
          <w:szCs w:val="32"/>
        </w:rPr>
      </w:pP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5"/>
        <w:tblW w:w="8140" w:type="dxa"/>
        <w:jc w:val="center"/>
        <w:tblLayout w:type="fixed"/>
        <w:tblCellMar>
          <w:top w:w="0" w:type="dxa"/>
          <w:left w:w="108" w:type="dxa"/>
          <w:bottom w:w="0" w:type="dxa"/>
          <w:right w:w="108" w:type="dxa"/>
        </w:tblCellMar>
      </w:tblPr>
      <w:tblGrid>
        <w:gridCol w:w="3113"/>
        <w:gridCol w:w="2097"/>
        <w:gridCol w:w="1290"/>
        <w:gridCol w:w="1640"/>
      </w:tblGrid>
      <w:tr>
        <w:tblPrEx>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333333"/>
                <w:kern w:val="0"/>
                <w:szCs w:val="21"/>
              </w:rPr>
              <w:t>第二十条第（一）项</w:t>
            </w:r>
          </w:p>
        </w:tc>
      </w:tr>
      <w:tr>
        <w:tblPrEx>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本年新</w:t>
            </w:r>
          </w:p>
          <w:p>
            <w:pPr>
              <w:widowControl/>
              <w:adjustRightInd w:val="0"/>
              <w:snapToGrid w:val="0"/>
              <w:jc w:val="center"/>
              <w:rPr>
                <w:rFonts w:ascii="宋体" w:hAnsi="宋体" w:eastAsia="宋体" w:cs="宋体"/>
                <w:color w:val="333333"/>
                <w:kern w:val="0"/>
                <w:szCs w:val="21"/>
              </w:rPr>
            </w:pPr>
            <w:r>
              <w:rPr>
                <w:rFonts w:ascii="宋体" w:hAnsi="宋体" w:eastAsia="宋体" w:cs="宋体"/>
                <w:color w:val="333333"/>
                <w:kern w:val="0"/>
                <w:szCs w:val="21"/>
              </w:rPr>
              <w:t>制作数量</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本年新</w:t>
            </w:r>
          </w:p>
          <w:p>
            <w:pPr>
              <w:widowControl/>
              <w:adjustRightInd w:val="0"/>
              <w:snapToGrid w:val="0"/>
              <w:jc w:val="center"/>
              <w:rPr>
                <w:rFonts w:ascii="宋体" w:hAnsi="宋体" w:eastAsia="宋体" w:cs="宋体"/>
                <w:color w:val="333333"/>
                <w:kern w:val="0"/>
                <w:szCs w:val="21"/>
              </w:rPr>
            </w:pPr>
            <w:r>
              <w:rPr>
                <w:rFonts w:ascii="宋体" w:hAnsi="宋体" w:eastAsia="宋体" w:cs="宋体"/>
                <w:color w:val="333333"/>
                <w:kern w:val="0"/>
                <w:szCs w:val="21"/>
              </w:rPr>
              <w:t>公开数量</w:t>
            </w:r>
          </w:p>
        </w:tc>
        <w:tc>
          <w:tcPr>
            <w:tcW w:w="1640"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对外公开总数量</w:t>
            </w:r>
          </w:p>
        </w:tc>
      </w:tr>
      <w:tr>
        <w:tblPrEx>
          <w:tblCellMar>
            <w:top w:w="0" w:type="dxa"/>
            <w:left w:w="108" w:type="dxa"/>
            <w:bottom w:w="0" w:type="dxa"/>
            <w:right w:w="108" w:type="dxa"/>
          </w:tblCellMar>
        </w:tblPrEx>
        <w:trPr>
          <w:trHeight w:val="90"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eastAsia="zh-CN"/>
              </w:rPr>
            </w:pPr>
            <w:r>
              <w:rPr>
                <w:rFonts w:hint="eastAsia" w:ascii="宋体" w:hAnsi="宋体" w:eastAsia="宋体" w:cs="宋体"/>
                <w:color w:val="333333"/>
                <w:kern w:val="0"/>
                <w:sz w:val="21"/>
                <w:szCs w:val="21"/>
              </w:rPr>
              <w:t>规章</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r>
        <w:tblPrEx>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ind w:right="-248" w:rightChars="-118"/>
              <w:jc w:val="left"/>
              <w:rPr>
                <w:rFonts w:ascii="宋体" w:hAnsi="宋体" w:eastAsia="宋体" w:cs="宋体"/>
                <w:color w:val="333333"/>
                <w:kern w:val="0"/>
                <w:szCs w:val="21"/>
              </w:rPr>
            </w:pPr>
            <w:r>
              <w:rPr>
                <w:rFonts w:hint="eastAsia" w:ascii="宋体" w:hAnsi="宋体" w:eastAsia="宋体" w:cs="宋体"/>
                <w:color w:val="000000"/>
                <w:kern w:val="0"/>
                <w:szCs w:val="21"/>
              </w:rPr>
              <w:t>规范性文件</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r>
        <w:tblPrEx>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第二十条第（五）项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上一年项目数量</w:t>
            </w:r>
          </w:p>
        </w:tc>
        <w:tc>
          <w:tcPr>
            <w:tcW w:w="129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本年增/减</w:t>
            </w:r>
          </w:p>
        </w:tc>
        <w:tc>
          <w:tcPr>
            <w:tcW w:w="1640"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处理决定数量</w:t>
            </w:r>
          </w:p>
        </w:tc>
      </w:tr>
      <w:tr>
        <w:tblPrEx>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000000"/>
                <w:kern w:val="0"/>
                <w:szCs w:val="21"/>
              </w:rPr>
              <w:t>行政许可</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4</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333333"/>
                <w:kern w:val="0"/>
                <w:szCs w:val="21"/>
                <w:lang w:val="en-US" w:eastAsia="zh-CN"/>
              </w:rPr>
              <w:t>2343</w:t>
            </w:r>
          </w:p>
        </w:tc>
      </w:tr>
      <w:tr>
        <w:tblPrEx>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333333"/>
                <w:kern w:val="0"/>
                <w:szCs w:val="21"/>
              </w:rPr>
              <w:t>其他对外管理服务事项</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29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64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r>
        <w:tblPrEx>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第二十条第（六）项</w:t>
            </w:r>
          </w:p>
        </w:tc>
      </w:tr>
      <w:tr>
        <w:tblPrEx>
          <w:tblCellMar>
            <w:top w:w="0" w:type="dxa"/>
            <w:left w:w="108" w:type="dxa"/>
            <w:bottom w:w="0" w:type="dxa"/>
            <w:right w:w="108"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信息内容</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上一年项目数量</w:t>
            </w:r>
          </w:p>
          <w:p>
            <w:pPr>
              <w:widowControl/>
              <w:adjustRightInd w:val="0"/>
              <w:snapToGrid w:val="0"/>
              <w:jc w:val="center"/>
              <w:rPr>
                <w:rFonts w:ascii="宋体" w:hAnsi="宋体" w:eastAsia="宋体" w:cs="宋体"/>
                <w:color w:val="000000"/>
                <w:kern w:val="0"/>
                <w:szCs w:val="21"/>
              </w:rPr>
            </w:pPr>
            <w:r>
              <w:rPr>
                <w:rFonts w:hint="eastAsia" w:ascii="宋体" w:hAnsi="宋体" w:cs="宋体"/>
                <w:color w:val="000000"/>
                <w:kern w:val="0"/>
                <w:szCs w:val="21"/>
              </w:rPr>
              <w:t>（指201</w:t>
            </w:r>
            <w:r>
              <w:rPr>
                <w:rFonts w:hint="eastAsia" w:ascii="宋体" w:hAnsi="宋体" w:cs="宋体"/>
                <w:color w:val="000000"/>
                <w:kern w:val="0"/>
                <w:szCs w:val="21"/>
                <w:lang w:val="en-US" w:eastAsia="zh-CN"/>
              </w:rPr>
              <w:t>9</w:t>
            </w:r>
            <w:r>
              <w:rPr>
                <w:rFonts w:hint="eastAsia" w:ascii="宋体" w:hAnsi="宋体" w:cs="宋体"/>
                <w:color w:val="000000"/>
                <w:kern w:val="0"/>
                <w:szCs w:val="21"/>
              </w:rPr>
              <w:t>年事项数）</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本年增/减</w:t>
            </w:r>
          </w:p>
          <w:p>
            <w:pPr>
              <w:widowControl/>
              <w:adjustRightInd w:val="0"/>
              <w:snapToGrid w:val="0"/>
              <w:jc w:val="center"/>
              <w:rPr>
                <w:rFonts w:ascii="宋体" w:hAnsi="宋体" w:eastAsia="宋体" w:cs="宋体"/>
                <w:color w:val="000000"/>
                <w:kern w:val="0"/>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处理决定数量</w:t>
            </w:r>
          </w:p>
          <w:p>
            <w:pPr>
              <w:widowControl/>
              <w:adjustRightInd w:val="0"/>
              <w:snapToGrid w:val="0"/>
              <w:jc w:val="center"/>
              <w:rPr>
                <w:rFonts w:ascii="宋体" w:hAnsi="宋体" w:eastAsia="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年办件量）</w:t>
            </w:r>
          </w:p>
        </w:tc>
      </w:tr>
      <w:tr>
        <w:tblPrEx>
          <w:tblCellMar>
            <w:top w:w="0" w:type="dxa"/>
            <w:left w:w="108" w:type="dxa"/>
            <w:bottom w:w="0" w:type="dxa"/>
            <w:right w:w="108"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000000"/>
                <w:kern w:val="0"/>
                <w:szCs w:val="21"/>
              </w:rPr>
              <w:t>行政处罚</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4</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29</w:t>
            </w:r>
          </w:p>
        </w:tc>
      </w:tr>
      <w:tr>
        <w:tblPrEx>
          <w:tblCellMar>
            <w:top w:w="0" w:type="dxa"/>
            <w:left w:w="108" w:type="dxa"/>
            <w:bottom w:w="0" w:type="dxa"/>
            <w:right w:w="108" w:type="dxa"/>
          </w:tblCellMar>
        </w:tblPrEx>
        <w:trPr>
          <w:trHeight w:val="409"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000000"/>
                <w:kern w:val="0"/>
                <w:szCs w:val="21"/>
              </w:rPr>
              <w:t>行政强制</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5</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r>
        <w:tblPrEx>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第二十条第（八）项</w:t>
            </w:r>
          </w:p>
        </w:tc>
      </w:tr>
      <w:tr>
        <w:tblPrEx>
          <w:tblCellMar>
            <w:top w:w="0" w:type="dxa"/>
            <w:left w:w="108" w:type="dxa"/>
            <w:bottom w:w="0" w:type="dxa"/>
            <w:right w:w="108"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信息内容</w:t>
            </w:r>
          </w:p>
        </w:tc>
        <w:tc>
          <w:tcPr>
            <w:tcW w:w="209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000000"/>
                <w:kern w:val="0"/>
                <w:szCs w:val="21"/>
              </w:rPr>
            </w:pPr>
            <w:r>
              <w:rPr>
                <w:rFonts w:hint="eastAsia" w:ascii="宋体" w:hAnsi="宋体" w:eastAsia="宋体" w:cs="宋体"/>
                <w:color w:val="000000"/>
                <w:kern w:val="0"/>
                <w:szCs w:val="21"/>
              </w:rPr>
              <w:t>上一年项目数量</w:t>
            </w:r>
          </w:p>
          <w:p>
            <w:pPr>
              <w:widowControl/>
              <w:adjustRightInd w:val="0"/>
              <w:snapToGrid w:val="0"/>
              <w:jc w:val="left"/>
              <w:rPr>
                <w:rFonts w:ascii="宋体" w:hAnsi="宋体" w:eastAsia="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19</w:t>
            </w:r>
            <w:r>
              <w:rPr>
                <w:rFonts w:hint="eastAsia" w:ascii="宋体" w:hAnsi="宋体" w:cs="宋体"/>
                <w:color w:val="000000"/>
                <w:kern w:val="0"/>
                <w:szCs w:val="21"/>
              </w:rPr>
              <w:t>年收费项目数）</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本年增/减</w:t>
            </w:r>
          </w:p>
          <w:p>
            <w:pPr>
              <w:widowControl/>
              <w:adjustRightInd w:val="0"/>
              <w:snapToGrid w:val="0"/>
              <w:jc w:val="center"/>
              <w:rPr>
                <w:rFonts w:ascii="宋体" w:hAnsi="宋体" w:eastAsia="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年增加的收费项目数，减用负值表示，如-8）</w:t>
            </w:r>
          </w:p>
        </w:tc>
      </w:tr>
      <w:tr>
        <w:tblPrEx>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000000"/>
                <w:kern w:val="0"/>
                <w:szCs w:val="21"/>
              </w:rPr>
              <w:t>行政事业性收费</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r>
        <w:tblPrEx>
          <w:tblCellMar>
            <w:top w:w="0" w:type="dxa"/>
            <w:left w:w="108" w:type="dxa"/>
            <w:bottom w:w="0" w:type="dxa"/>
            <w:right w:w="108" w:type="dxa"/>
          </w:tblCellMar>
        </w:tblPrEx>
        <w:trPr>
          <w:trHeight w:val="476" w:hRule="atLeast"/>
          <w:jc w:val="center"/>
        </w:trPr>
        <w:tc>
          <w:tcPr>
            <w:tcW w:w="81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第二十条第（九）项</w:t>
            </w:r>
          </w:p>
        </w:tc>
      </w:tr>
      <w:tr>
        <w:tblPrEx>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333333"/>
                <w:kern w:val="0"/>
                <w:szCs w:val="21"/>
              </w:rPr>
            </w:pPr>
            <w:r>
              <w:rPr>
                <w:rFonts w:hint="eastAsia" w:ascii="宋体" w:hAnsi="宋体" w:eastAsia="宋体" w:cs="宋体"/>
                <w:color w:val="000000"/>
                <w:kern w:val="0"/>
                <w:szCs w:val="21"/>
              </w:rPr>
              <w:t>信息内容</w:t>
            </w:r>
          </w:p>
        </w:tc>
        <w:tc>
          <w:tcPr>
            <w:tcW w:w="209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采购项目数量</w:t>
            </w:r>
          </w:p>
          <w:p>
            <w:pPr>
              <w:widowControl/>
              <w:adjustRightInd w:val="0"/>
              <w:snapToGrid w:val="0"/>
              <w:jc w:val="center"/>
              <w:rPr>
                <w:rFonts w:ascii="宋体" w:hAnsi="宋体" w:eastAsia="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年以政府集中采购方式立项采购的项目总个数）</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采购总金额</w:t>
            </w:r>
          </w:p>
          <w:p>
            <w:pPr>
              <w:widowControl/>
              <w:adjustRightInd w:val="0"/>
              <w:snapToGrid w:val="0"/>
              <w:jc w:val="center"/>
              <w:rPr>
                <w:rFonts w:ascii="宋体" w:hAnsi="宋体" w:eastAsia="宋体" w:cs="宋体"/>
                <w:color w:val="000000"/>
                <w:kern w:val="0"/>
                <w:szCs w:val="21"/>
              </w:rPr>
            </w:pPr>
            <w:r>
              <w:rPr>
                <w:rFonts w:hint="eastAsia" w:ascii="宋体" w:hAnsi="宋体" w:cs="宋体"/>
                <w:color w:val="000000"/>
                <w:kern w:val="0"/>
                <w:szCs w:val="21"/>
              </w:rPr>
              <w:t>（指20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年以政府集中采购方式采购的已结项项目的总金额）</w:t>
            </w:r>
          </w:p>
        </w:tc>
      </w:tr>
      <w:tr>
        <w:tblPrEx>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333333"/>
                <w:kern w:val="0"/>
                <w:szCs w:val="21"/>
              </w:rPr>
            </w:pPr>
            <w:r>
              <w:rPr>
                <w:rFonts w:hint="eastAsia" w:ascii="宋体" w:hAnsi="宋体" w:eastAsia="宋体" w:cs="宋体"/>
                <w:color w:val="000000"/>
                <w:kern w:val="0"/>
                <w:szCs w:val="21"/>
              </w:rPr>
              <w:t>政府集中采购</w:t>
            </w:r>
          </w:p>
        </w:tc>
        <w:tc>
          <w:tcPr>
            <w:tcW w:w="2097" w:type="dxa"/>
            <w:tcBorders>
              <w:top w:val="nil"/>
              <w:left w:val="nil"/>
              <w:bottom w:val="single" w:color="auto" w:sz="4" w:space="0"/>
              <w:right w:val="single" w:color="auto" w:sz="4" w:space="0"/>
            </w:tcBorders>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c>
          <w:tcPr>
            <w:tcW w:w="2930"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left"/>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adjustRightInd w:val="0"/>
        <w:snapToGrid w:val="0"/>
        <w:spacing w:line="360" w:lineRule="auto"/>
        <w:rPr>
          <w:rFonts w:hint="eastAsia" w:ascii="黑体" w:hAnsi="黑体" w:eastAsia="黑体" w:cs="黑体"/>
          <w:sz w:val="32"/>
          <w:szCs w:val="32"/>
        </w:rPr>
      </w:pPr>
    </w:p>
    <w:p>
      <w:pPr>
        <w:adjustRightInd w:val="0"/>
        <w:snapToGrid w:val="0"/>
        <w:spacing w:line="360" w:lineRule="auto"/>
        <w:rPr>
          <w:rFonts w:hint="eastAsia" w:ascii="黑体" w:hAnsi="黑体" w:eastAsia="黑体" w:cs="黑体"/>
          <w:sz w:val="32"/>
          <w:szCs w:val="32"/>
        </w:rPr>
      </w:pP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adjustRightInd w:val="0"/>
        <w:snapToGrid w:val="0"/>
        <w:spacing w:line="360" w:lineRule="auto"/>
        <w:ind w:firstLine="640" w:firstLineChars="200"/>
        <w:rPr>
          <w:rFonts w:hint="eastAsia" w:ascii="黑体" w:hAnsi="黑体" w:eastAsia="黑体" w:cs="黑体"/>
          <w:sz w:val="32"/>
          <w:szCs w:val="32"/>
        </w:rPr>
      </w:pP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p>
        </w:tc>
        <w:tc>
          <w:tcPr>
            <w:tcW w:w="604"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p>
        </w:tc>
        <w:tc>
          <w:tcPr>
            <w:tcW w:w="604"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p>
        </w:tc>
        <w:tc>
          <w:tcPr>
            <w:tcW w:w="604"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p>
        </w:tc>
        <w:tc>
          <w:tcPr>
            <w:tcW w:w="658"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p>
        </w:tc>
        <w:tc>
          <w:tcPr>
            <w:tcW w:w="550"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606"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6" w:type="dxa"/>
            <w:tcBorders>
              <w:top w:val="nil"/>
              <w:left w:val="nil"/>
              <w:bottom w:val="nil"/>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 w:val="20"/>
                <w:szCs w:val="20"/>
              </w:rPr>
            </w:pPr>
          </w:p>
          <w:p>
            <w:pPr>
              <w:widowControl/>
              <w:spacing w:line="560" w:lineRule="exact"/>
              <w:jc w:val="center"/>
              <w:rPr>
                <w:rFonts w:ascii="Calibri" w:hAnsi="Calibri" w:eastAsia="宋体" w:cs="Calibri"/>
                <w:kern w:val="0"/>
                <w:sz w:val="20"/>
                <w:szCs w:val="20"/>
              </w:rPr>
            </w:pPr>
            <w:r>
              <w:rPr>
                <w:rFonts w:hint="eastAsia" w:ascii="Calibri" w:hAnsi="Calibri" w:eastAsia="宋体" w:cs="Calibri"/>
                <w:kern w:val="0"/>
                <w:sz w:val="20"/>
                <w:szCs w:val="20"/>
              </w:rPr>
              <w:t>0</w:t>
            </w:r>
          </w:p>
          <w:p>
            <w:pPr>
              <w:widowControl/>
              <w:spacing w:line="560" w:lineRule="exact"/>
              <w:jc w:val="center"/>
              <w:rPr>
                <w:rFonts w:ascii="Calibri" w:hAnsi="Calibri" w:eastAsia="宋体" w:cs="Calibri"/>
                <w:kern w:val="0"/>
                <w:sz w:val="20"/>
                <w:szCs w:val="20"/>
              </w:rPr>
            </w:pP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年的政府信息公开工作，存在一些不足和问题。主要表现在</w:t>
      </w:r>
      <w:r>
        <w:rPr>
          <w:rFonts w:hint="eastAsia" w:ascii="仿宋_GB2312" w:hAnsi="仿宋_GB2312" w:eastAsia="仿宋_GB2312" w:cs="仿宋_GB2312"/>
          <w:bCs/>
          <w:sz w:val="32"/>
          <w:szCs w:val="32"/>
          <w:lang w:eastAsia="zh-CN"/>
        </w:rPr>
        <w:t>两个方面</w:t>
      </w:r>
      <w:r>
        <w:rPr>
          <w:rFonts w:hint="eastAsia" w:ascii="仿宋_GB2312" w:hAnsi="仿宋_GB2312" w:eastAsia="仿宋_GB2312" w:cs="仿宋_GB2312"/>
          <w:bCs/>
          <w:sz w:val="32"/>
          <w:szCs w:val="32"/>
        </w:rPr>
        <w:t>：</w:t>
      </w:r>
      <w:r>
        <w:rPr>
          <w:rFonts w:hint="eastAsia" w:ascii="仿宋_GB2312" w:hAnsi="仿宋_GB2312" w:eastAsia="仿宋_GB2312" w:cs="仿宋_GB2312"/>
          <w:b/>
          <w:bCs/>
          <w:sz w:val="32"/>
          <w:szCs w:val="32"/>
        </w:rPr>
        <w:t>一是政府信息公开</w:t>
      </w:r>
      <w:r>
        <w:rPr>
          <w:rFonts w:hint="eastAsia" w:ascii="仿宋_GB2312" w:hAnsi="仿宋_GB2312" w:eastAsia="仿宋_GB2312" w:cs="仿宋_GB2312"/>
          <w:b/>
          <w:bCs/>
          <w:sz w:val="32"/>
          <w:szCs w:val="32"/>
          <w:lang w:eastAsia="zh-CN"/>
        </w:rPr>
        <w:t>和保密相辩证的意识有待进步一强化。</w:t>
      </w:r>
      <w:r>
        <w:rPr>
          <w:rFonts w:hint="eastAsia" w:ascii="仿宋_GB2312" w:hAnsi="仿宋_GB2312" w:eastAsia="仿宋_GB2312" w:cs="仿宋_GB2312"/>
          <w:bCs/>
          <w:sz w:val="32"/>
          <w:szCs w:val="32"/>
          <w:lang w:eastAsia="zh-CN"/>
        </w:rPr>
        <w:t>工作中，税务干部对信息公开的认识仍有浅深之分，在对待信息公开目录中没有明确规定的“模糊”内容时，往往拿捏不准保密和公开的度，偶尔存在一些公开顾虑</w:t>
      </w:r>
      <w:r>
        <w:rPr>
          <w:rFonts w:hint="eastAsia" w:ascii="仿宋_GB2312" w:hAnsi="仿宋_GB2312" w:eastAsia="仿宋_GB2312" w:cs="仿宋_GB2312"/>
          <w:bCs/>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bCs/>
          <w:sz w:val="32"/>
          <w:szCs w:val="32"/>
          <w:lang w:eastAsia="zh-CN"/>
        </w:rPr>
        <w:t>规定动作到位，创新动作不足</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lang w:eastAsia="zh-CN"/>
        </w:rPr>
        <w:t>整体上，区局信息公开工作能依据市税务局和区委、区政府要求按部就班做到位，但自成特色的创新之举不多，在信息公开工作方面的探究还不够，</w:t>
      </w:r>
      <w:r>
        <w:rPr>
          <w:rFonts w:hint="eastAsia" w:ascii="仿宋_GB2312" w:hAnsi="仿宋_GB2312" w:eastAsia="仿宋_GB2312" w:cs="仿宋_GB2312"/>
          <w:bCs/>
          <w:sz w:val="32"/>
          <w:szCs w:val="32"/>
        </w:rPr>
        <w:t>离</w:t>
      </w:r>
      <w:r>
        <w:rPr>
          <w:rFonts w:hint="eastAsia" w:ascii="仿宋_GB2312" w:hAnsi="仿宋_GB2312" w:eastAsia="仿宋_GB2312" w:cs="仿宋_GB2312"/>
          <w:bCs/>
          <w:sz w:val="32"/>
          <w:szCs w:val="32"/>
          <w:lang w:eastAsia="zh-CN"/>
        </w:rPr>
        <w:t>新时代、新要求</w:t>
      </w:r>
      <w:r>
        <w:rPr>
          <w:rFonts w:hint="eastAsia" w:ascii="仿宋_GB2312" w:hAnsi="仿宋_GB2312" w:eastAsia="仿宋_GB2312" w:cs="仿宋_GB2312"/>
          <w:bCs/>
          <w:sz w:val="32"/>
          <w:szCs w:val="32"/>
        </w:rPr>
        <w:t>还有一定差距。</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年，我局将继续按照上级关于政府信息公开工作的各项要求，进一步加强政府信息公开工作。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sz w:val="32"/>
          <w:szCs w:val="32"/>
          <w:lang w:eastAsia="zh-CN"/>
        </w:rPr>
        <w:t>进一步拓展信息公开渠道。</w:t>
      </w:r>
      <w:r>
        <w:rPr>
          <w:rFonts w:hint="eastAsia" w:ascii="仿宋_GB2312" w:hAnsi="仿宋_GB2312" w:eastAsia="仿宋_GB2312" w:cs="仿宋_GB2312"/>
          <w:sz w:val="32"/>
          <w:szCs w:val="32"/>
          <w:lang w:eastAsia="zh-CN"/>
        </w:rPr>
        <w:t>结合“非接触式”办税的推进，在现有信息公开渠道之外，积极开展网上、掌上、码上宣传和公开相结合的信息公开工作，让纳税人、缴费人有更多渠道了解公开信息。</w:t>
      </w:r>
      <w:r>
        <w:rPr>
          <w:rFonts w:hint="eastAsia" w:ascii="仿宋_GB2312" w:hAnsi="仿宋_GB2312" w:eastAsia="仿宋_GB2312" w:cs="仿宋_GB2312"/>
          <w:b/>
          <w:bCs/>
          <w:sz w:val="32"/>
          <w:szCs w:val="32"/>
          <w:lang w:eastAsia="zh-CN"/>
        </w:rPr>
        <w:t>二是进一步加强培训力度。</w:t>
      </w:r>
      <w:r>
        <w:rPr>
          <w:rFonts w:hint="eastAsia" w:ascii="仿宋_GB2312" w:hAnsi="仿宋_GB2312" w:eastAsia="仿宋_GB2312" w:cs="仿宋_GB2312"/>
          <w:sz w:val="32"/>
          <w:szCs w:val="32"/>
          <w:lang w:eastAsia="zh-CN"/>
        </w:rPr>
        <w:t>结合新规新政，组织</w:t>
      </w:r>
      <w:r>
        <w:rPr>
          <w:rFonts w:hint="eastAsia" w:ascii="仿宋_GB2312" w:hAnsi="仿宋_GB2312" w:eastAsia="仿宋_GB2312" w:cs="仿宋_GB2312"/>
          <w:sz w:val="32"/>
          <w:szCs w:val="32"/>
        </w:rPr>
        <w:t>政府信息公开工作人员</w:t>
      </w:r>
      <w:r>
        <w:rPr>
          <w:rFonts w:hint="eastAsia" w:ascii="仿宋_GB2312" w:hAnsi="仿宋_GB2312" w:eastAsia="仿宋_GB2312" w:cs="仿宋_GB2312"/>
          <w:sz w:val="32"/>
          <w:szCs w:val="32"/>
          <w:lang w:eastAsia="zh-CN"/>
        </w:rPr>
        <w:t>开展专业培训，加强指导和交流，不断提高政府信息公开工作水平。</w:t>
      </w:r>
      <w:r>
        <w:rPr>
          <w:rFonts w:hint="eastAsia" w:ascii="仿宋_GB2312" w:hAnsi="仿宋_GB2312" w:eastAsia="仿宋_GB2312" w:cs="仿宋_GB2312"/>
          <w:b/>
          <w:bCs/>
          <w:sz w:val="32"/>
          <w:szCs w:val="32"/>
          <w:lang w:eastAsia="zh-CN"/>
        </w:rPr>
        <w:t>三</w:t>
      </w:r>
      <w:r>
        <w:rPr>
          <w:rFonts w:hint="eastAsia" w:ascii="仿宋_GB2312" w:hAnsi="黑体" w:eastAsia="仿宋_GB2312"/>
          <w:b/>
          <w:sz w:val="32"/>
          <w:szCs w:val="30"/>
          <w:lang w:eastAsia="zh-CN"/>
        </w:rPr>
        <w:t>进一步强化办税服务厅信息公开功能</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lang w:eastAsia="zh-CN"/>
        </w:rPr>
        <w:t>利用</w:t>
      </w:r>
      <w:r>
        <w:rPr>
          <w:rFonts w:hint="eastAsia" w:ascii="仿宋_GB2312" w:hAnsi="仿宋_GB2312" w:eastAsia="仿宋_GB2312" w:cs="仿宋_GB2312"/>
          <w:bCs/>
          <w:sz w:val="32"/>
          <w:szCs w:val="32"/>
        </w:rPr>
        <w:t>办税厅介绍区局机关工作职能、行政许可内容和办理规程，公开税政法规和政策文件。</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是</w:t>
      </w:r>
      <w:r>
        <w:rPr>
          <w:rFonts w:hint="eastAsia" w:ascii="仿宋_GB2312" w:hAnsi="仿宋_GB2312" w:eastAsia="仿宋_GB2312" w:cs="仿宋_GB2312"/>
          <w:b/>
          <w:bCs/>
          <w:sz w:val="32"/>
          <w:szCs w:val="32"/>
          <w:lang w:eastAsia="zh-CN"/>
        </w:rPr>
        <w:t>进一步提升协调联动能力。</w:t>
      </w:r>
      <w:r>
        <w:rPr>
          <w:rFonts w:hint="eastAsia" w:ascii="仿宋_GB2312" w:hAnsi="仿宋_GB2312" w:eastAsia="仿宋_GB2312" w:cs="仿宋_GB2312"/>
          <w:bCs/>
          <w:sz w:val="32"/>
          <w:szCs w:val="32"/>
        </w:rPr>
        <w:t>健全区局政务信息公开台账</w:t>
      </w:r>
      <w:r>
        <w:rPr>
          <w:rFonts w:hint="eastAsia" w:ascii="仿宋_GB2312" w:hAnsi="仿宋_GB2312" w:eastAsia="仿宋_GB2312" w:cs="仿宋_GB2312"/>
          <w:bCs/>
          <w:sz w:val="32"/>
          <w:szCs w:val="32"/>
          <w:lang w:eastAsia="zh-CN"/>
        </w:rPr>
        <w:t>，加强和其他政府部门的沟通联系，对信息公开过程中出现的重难点问题，特别是依申请公开工作中出现的难题，快反应、强协调、速解决，推动</w:t>
      </w:r>
      <w:r>
        <w:rPr>
          <w:rFonts w:hint="eastAsia" w:ascii="仿宋_GB2312" w:hAnsi="仿宋_GB2312" w:eastAsia="仿宋_GB2312" w:cs="仿宋_GB2312"/>
          <w:bCs/>
          <w:sz w:val="32"/>
          <w:szCs w:val="32"/>
        </w:rPr>
        <w:t>政务公开工作在持续改进中不断提高</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无</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 w:hAnsi="仿宋" w:eastAsia="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254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54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7.75pt;mso-position-horizontal:center;mso-position-horizontal-relative:margin;z-index:251658240;mso-width-relative:page;mso-height-relative:page;" filled="f" stroked="f" coordsize="21600,21600" o:gfxdata="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VP4LUAAAABAEAAA8A&#10;AAAAAAAAAQAgAAAAIgAAAGRycy9kb3ducmV2LnhtbFBLAQIUABQAAAAIAIdO4kB7ou34GwIAABQE&#10;AAAOAAAAAAAAAAEAIAAAACMBAABkcnMvZTJvRG9jLnhtbFBLBQYAAAAABgAGAFkBAACw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F2E9E"/>
    <w:rsid w:val="0F996781"/>
    <w:rsid w:val="1E757EA0"/>
    <w:rsid w:val="2C9F2E9E"/>
    <w:rsid w:val="2D59367D"/>
    <w:rsid w:val="62B0081D"/>
    <w:rsid w:val="707268B7"/>
    <w:rsid w:val="72E04CCA"/>
    <w:rsid w:val="743C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2021-01-13T01:26:00Z</dcterms:created>
  <dc:creator>王君健</dc:creator>
  <cp:lastModifiedBy>王君健</cp:lastModifiedBy>
  <cp:lastPrinted>2021-01-14T02:42:00Z</cp:lastPrinted>
  <dcterms:modified xsi:type="dcterms:W3CDTF">2021-02-23T06:54:47Z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