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E3B" w:rsidRDefault="00AA5B54">
      <w:pPr>
        <w:widowControl/>
        <w:spacing w:line="600" w:lineRule="exact"/>
        <w:jc w:val="center"/>
        <w:rPr>
          <w:rFonts w:ascii="方正小标宋简体" w:eastAsia="方正小标宋简体" w:hAnsi="宋体" w:cs="宋体"/>
          <w:b/>
          <w:bCs/>
          <w:color w:val="333333"/>
          <w:kern w:val="0"/>
          <w:sz w:val="36"/>
          <w:szCs w:val="32"/>
        </w:rPr>
      </w:pPr>
      <w:r>
        <w:rPr>
          <w:rFonts w:ascii="方正小标宋简体" w:eastAsia="方正小标宋简体" w:hAnsi="宋体" w:cs="宋体" w:hint="eastAsia"/>
          <w:b/>
          <w:bCs/>
          <w:color w:val="333333"/>
          <w:kern w:val="0"/>
          <w:sz w:val="36"/>
          <w:szCs w:val="32"/>
        </w:rPr>
        <w:t>国家税务总局武汉市税务局2019年</w:t>
      </w:r>
    </w:p>
    <w:p w:rsidR="00DA2E3B" w:rsidRDefault="00AA5B54">
      <w:pPr>
        <w:widowControl/>
        <w:spacing w:line="600" w:lineRule="exact"/>
        <w:jc w:val="center"/>
        <w:rPr>
          <w:rFonts w:ascii="方正小标宋简体" w:eastAsia="方正小标宋简体" w:hAnsi="宋体" w:cs="宋体"/>
          <w:color w:val="333333"/>
          <w:kern w:val="0"/>
          <w:sz w:val="36"/>
          <w:szCs w:val="32"/>
        </w:rPr>
      </w:pPr>
      <w:r>
        <w:rPr>
          <w:rFonts w:ascii="方正小标宋简体" w:eastAsia="方正小标宋简体" w:hAnsi="宋体" w:cs="宋体" w:hint="eastAsia"/>
          <w:b/>
          <w:bCs/>
          <w:color w:val="333333"/>
          <w:kern w:val="0"/>
          <w:sz w:val="36"/>
          <w:szCs w:val="32"/>
        </w:rPr>
        <w:t>政府信息公开年度报告</w:t>
      </w:r>
    </w:p>
    <w:p w:rsidR="00DA2E3B" w:rsidRDefault="00DA2E3B">
      <w:pPr>
        <w:widowControl/>
        <w:spacing w:line="600" w:lineRule="exact"/>
        <w:ind w:firstLine="480"/>
        <w:rPr>
          <w:rFonts w:ascii="宋体" w:eastAsia="宋体" w:hAnsi="宋体" w:cs="宋体"/>
          <w:color w:val="333333"/>
          <w:kern w:val="0"/>
          <w:sz w:val="32"/>
          <w:szCs w:val="32"/>
        </w:rPr>
      </w:pPr>
    </w:p>
    <w:p w:rsidR="00DA2E3B" w:rsidRDefault="00AA5B54">
      <w:pPr>
        <w:widowControl/>
        <w:spacing w:line="600" w:lineRule="exact"/>
        <w:ind w:firstLine="480"/>
        <w:rPr>
          <w:rFonts w:ascii="黑体" w:eastAsia="黑体" w:hAnsi="宋体" w:cs="宋体"/>
          <w:color w:val="333333"/>
          <w:kern w:val="0"/>
          <w:sz w:val="32"/>
          <w:szCs w:val="32"/>
        </w:rPr>
      </w:pPr>
      <w:r>
        <w:rPr>
          <w:rFonts w:ascii="黑体" w:eastAsia="黑体" w:hAnsi="宋体" w:cs="宋体" w:hint="eastAsia"/>
          <w:b/>
          <w:bCs/>
          <w:color w:val="333333"/>
          <w:kern w:val="0"/>
          <w:sz w:val="32"/>
          <w:szCs w:val="32"/>
        </w:rPr>
        <w:t>一、总体情况</w:t>
      </w:r>
    </w:p>
    <w:p w:rsidR="00DA2E3B" w:rsidRDefault="00AA5B54">
      <w:pPr>
        <w:spacing w:line="600" w:lineRule="exact"/>
        <w:ind w:firstLine="645"/>
        <w:rPr>
          <w:rFonts w:ascii="仿宋_GB2312" w:eastAsia="仿宋_GB2312" w:hAnsi="华文仿宋" w:cs="Times New Roman"/>
          <w:sz w:val="32"/>
          <w:szCs w:val="32"/>
        </w:rPr>
      </w:pPr>
      <w:r>
        <w:rPr>
          <w:rFonts w:ascii="仿宋_GB2312" w:eastAsia="仿宋_GB2312" w:hint="eastAsia"/>
          <w:sz w:val="32"/>
        </w:rPr>
        <w:t>2019年，国家税务总局武汉市税务局认真贯彻落实《中华人民共和国政府信息公开条例》(国务院令711号)等文件，</w:t>
      </w:r>
      <w:r>
        <w:rPr>
          <w:rFonts w:ascii="仿宋_GB2312" w:eastAsia="仿宋_GB2312" w:hAnsi="华文仿宋" w:cs="Times New Roman" w:hint="eastAsia"/>
          <w:sz w:val="32"/>
          <w:szCs w:val="32"/>
        </w:rPr>
        <w:t>坚持“公开为原则，不公开为例外”，全力推进政务公开工作，保障了公众知情权、参与权和监督权，增强了税务部门公信力和执行力，取得了积极成效。</w:t>
      </w:r>
    </w:p>
    <w:p w:rsidR="00DA2E3B" w:rsidRDefault="00AA5B54">
      <w:pPr>
        <w:spacing w:line="600" w:lineRule="exact"/>
        <w:ind w:firstLine="645"/>
        <w:rPr>
          <w:rFonts w:ascii="仿宋_GB2312" w:eastAsia="仿宋_GB2312" w:hAnsi="华文仿宋"/>
          <w:sz w:val="32"/>
          <w:szCs w:val="32"/>
        </w:rPr>
      </w:pPr>
      <w:r>
        <w:rPr>
          <w:rFonts w:ascii="楷体_GB2312" w:eastAsia="楷体_GB2312" w:hAnsi="华文仿宋" w:hint="eastAsia"/>
          <w:b/>
          <w:sz w:val="32"/>
          <w:szCs w:val="32"/>
        </w:rPr>
        <w:t>一是完善制度，强化管理。</w:t>
      </w:r>
      <w:r>
        <w:rPr>
          <w:rFonts w:ascii="仿宋_GB2312" w:eastAsia="仿宋_GB2312" w:hAnsi="华文仿宋" w:hint="eastAsia"/>
          <w:sz w:val="32"/>
          <w:szCs w:val="32"/>
        </w:rPr>
        <w:t>严格执行政府信息公开的各项制度办法，按照“先审查，后公开”和“一事一审”的要求，统一公开流程，明确公开事项，规范公开范围，制定《国家税务总局武汉市税务局政府信息公开指南》。加强保密审查，坚持“谁制作、谁公开；谁公开、谁审查；谁审查、谁负责”的原则，制定《国家税务总局武汉市税务局保密工作规则》，建立信息发布保密审查制度，落实承办部门责任和责任人，明确和规范了审查程序。开展政府信息公开工作考核，将政府信息公开指标纳入绩效管理，增加了工作力度。</w:t>
      </w:r>
    </w:p>
    <w:p w:rsidR="00DA2E3B" w:rsidRDefault="00AA5B54">
      <w:pPr>
        <w:spacing w:line="600" w:lineRule="exact"/>
        <w:ind w:firstLine="645"/>
        <w:rPr>
          <w:rFonts w:ascii="楷体_GB2312" w:eastAsia="楷体_GB2312" w:hAnsi="华文仿宋"/>
          <w:b/>
          <w:sz w:val="32"/>
          <w:szCs w:val="32"/>
        </w:rPr>
      </w:pPr>
      <w:r>
        <w:rPr>
          <w:rFonts w:ascii="楷体_GB2312" w:eastAsia="楷体_GB2312" w:hAnsi="华文仿宋" w:hint="eastAsia"/>
          <w:b/>
          <w:sz w:val="32"/>
          <w:szCs w:val="32"/>
        </w:rPr>
        <w:t>二是依法行政，主动公开。</w:t>
      </w:r>
      <w:r>
        <w:rPr>
          <w:rFonts w:ascii="仿宋_GB2312" w:eastAsia="仿宋_GB2312" w:hAnsi="华文仿宋" w:hint="eastAsia"/>
          <w:sz w:val="32"/>
          <w:szCs w:val="32"/>
        </w:rPr>
        <w:t>按照“放管服”改革要求，在坚持行政许可目录化管理的基础上，大力推进行政许可事项办理规范化和便利化，坚持便民、效能、廉洁的原则，细化税务行政许可项目的办理流程。坚持每周通过市局外部门户网站对外公</w:t>
      </w:r>
      <w:proofErr w:type="gramStart"/>
      <w:r>
        <w:rPr>
          <w:rFonts w:ascii="仿宋_GB2312" w:eastAsia="仿宋_GB2312" w:hAnsi="华文仿宋" w:hint="eastAsia"/>
          <w:sz w:val="32"/>
          <w:szCs w:val="32"/>
        </w:rPr>
        <w:t>示行政</w:t>
      </w:r>
      <w:proofErr w:type="gramEnd"/>
      <w:r>
        <w:rPr>
          <w:rFonts w:ascii="仿宋_GB2312" w:eastAsia="仿宋_GB2312" w:hAnsi="华文仿宋" w:hint="eastAsia"/>
          <w:sz w:val="32"/>
          <w:szCs w:val="32"/>
        </w:rPr>
        <w:t>许可信息和行政处罚信息。</w:t>
      </w:r>
      <w:r>
        <w:rPr>
          <w:rFonts w:ascii="仿宋_GB2312" w:eastAsia="仿宋_GB2312" w:hint="eastAsia"/>
          <w:sz w:val="32"/>
          <w:szCs w:val="32"/>
        </w:rPr>
        <w:t>严格落实征</w:t>
      </w:r>
      <w:r>
        <w:rPr>
          <w:rFonts w:ascii="仿宋_GB2312" w:eastAsia="仿宋_GB2312" w:hint="eastAsia"/>
          <w:sz w:val="32"/>
          <w:szCs w:val="32"/>
        </w:rPr>
        <w:lastRenderedPageBreak/>
        <w:t>管规范和纳税服务规范等要求，对全市欠税情况、非正常户、纳税信用等级评定、重大税收违法案件等情况进行公开，规范权力运行，接受社会监督。</w:t>
      </w:r>
    </w:p>
    <w:p w:rsidR="00DA2E3B" w:rsidRDefault="00AA5B54">
      <w:pPr>
        <w:spacing w:line="600" w:lineRule="exact"/>
        <w:ind w:firstLine="645"/>
        <w:rPr>
          <w:rFonts w:ascii="仿宋_GB2312" w:eastAsia="仿宋_GB2312" w:hAnsi="黑体"/>
          <w:sz w:val="32"/>
          <w:szCs w:val="30"/>
        </w:rPr>
      </w:pPr>
      <w:r>
        <w:rPr>
          <w:rFonts w:ascii="楷体_GB2312" w:eastAsia="楷体_GB2312" w:hAnsi="黑体" w:hint="eastAsia"/>
          <w:b/>
          <w:sz w:val="32"/>
          <w:szCs w:val="30"/>
        </w:rPr>
        <w:t>三是问需问计，回应关切。</w:t>
      </w:r>
      <w:r>
        <w:rPr>
          <w:rFonts w:ascii="仿宋_GB2312" w:eastAsia="仿宋_GB2312" w:hAnsi="黑体" w:hint="eastAsia"/>
          <w:sz w:val="32"/>
          <w:szCs w:val="30"/>
        </w:rPr>
        <w:t>第一时间回应社会关切，以正确方式传播真实信息，及时化解矛盾、维护稳定，正确引导社会预期，最大限度凝聚共识，为税收改革发展营造良好环境。及时有效处理市长专线、城市留言板、局长信箱等方面工作任务，依托在线访谈、局长接访等形式，进一步扩大公众参与面。强化依申请公开管理，严格按照法定时限履行答复程序，对依申请公开的受理、登记、转办、审核、答复、归档等环节进一步规范，全年受理依申请公开办件20件，按时办结率100%。</w:t>
      </w:r>
    </w:p>
    <w:p w:rsidR="00DA2E3B" w:rsidRDefault="00AA5B54">
      <w:pPr>
        <w:spacing w:line="600" w:lineRule="exact"/>
        <w:ind w:firstLine="645"/>
        <w:rPr>
          <w:rFonts w:ascii="仿宋_GB2312" w:eastAsia="仿宋_GB2312" w:hAnsi="黑体"/>
          <w:sz w:val="32"/>
          <w:szCs w:val="30"/>
        </w:rPr>
      </w:pPr>
      <w:r>
        <w:rPr>
          <w:rFonts w:ascii="楷体_GB2312" w:eastAsia="楷体_GB2312" w:hAnsi="黑体" w:hint="eastAsia"/>
          <w:b/>
          <w:sz w:val="32"/>
          <w:szCs w:val="30"/>
        </w:rPr>
        <w:t>四是建设平台，扩宽渠道。</w:t>
      </w:r>
      <w:r>
        <w:rPr>
          <w:rFonts w:ascii="仿宋_GB2312" w:eastAsia="仿宋_GB2312" w:hAnsi="黑体" w:hint="eastAsia"/>
          <w:sz w:val="32"/>
          <w:szCs w:val="30"/>
        </w:rPr>
        <w:t>通过线上宣传、办税服务厅实体宣传、上门宣传等多种方式，全方位、多角度的开展税收政策宣传，营造良好营商环境。按照湖北省税务局要求，对市局外部门户网站升级改造，界面更加友好，栏目更加简洁。依托办税服务厅电子触摸屏、显示屏、公告栏、宣传资料架等设施大力公开办税信息。开展第28个全国税收宣传月活动，成功举办“税收助力军运会十条措施”发布会、“减税降费暨优化营商环境座谈会”等大型活动。“武汉税务”微信公众号粉丝超10万人，点击量稳步提升，功能更加实用，影响力不断增加，被评为“2019年度湖北优秀政务微信”。</w:t>
      </w:r>
    </w:p>
    <w:p w:rsidR="00DA2E3B" w:rsidRDefault="00AA5B54">
      <w:pPr>
        <w:ind w:firstLine="645"/>
        <w:rPr>
          <w:rFonts w:ascii="仿宋_GB2312" w:eastAsia="仿宋_GB2312" w:hAnsi="黑体"/>
          <w:sz w:val="32"/>
          <w:szCs w:val="30"/>
        </w:rPr>
      </w:pPr>
      <w:r>
        <w:rPr>
          <w:rFonts w:ascii="黑体" w:eastAsia="黑体" w:hAnsi="宋体" w:cs="宋体" w:hint="eastAsia"/>
          <w:b/>
          <w:bCs/>
          <w:color w:val="333333"/>
          <w:kern w:val="0"/>
          <w:sz w:val="32"/>
          <w:szCs w:val="32"/>
        </w:rPr>
        <w:t>二、主动公开政府信息情况</w:t>
      </w:r>
    </w:p>
    <w:tbl>
      <w:tblPr>
        <w:tblW w:w="8140" w:type="dxa"/>
        <w:jc w:val="center"/>
        <w:tblLook w:val="04A0"/>
      </w:tblPr>
      <w:tblGrid>
        <w:gridCol w:w="2752"/>
        <w:gridCol w:w="1701"/>
        <w:gridCol w:w="1806"/>
        <w:gridCol w:w="1881"/>
      </w:tblGrid>
      <w:tr w:rsidR="00DA2E3B">
        <w:trPr>
          <w:trHeight w:val="495"/>
          <w:jc w:val="center"/>
        </w:trPr>
        <w:tc>
          <w:tcPr>
            <w:tcW w:w="8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第二十条第（一）项</w:t>
            </w:r>
          </w:p>
        </w:tc>
      </w:tr>
      <w:tr w:rsidR="00DA2E3B">
        <w:trPr>
          <w:trHeight w:val="882"/>
          <w:jc w:val="center"/>
        </w:trPr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DA2E3B">
        <w:trPr>
          <w:trHeight w:val="523"/>
          <w:jc w:val="center"/>
        </w:trPr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Calibri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Calibri" w:cs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Calibri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Calibri" w:cs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Calibri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Calibri" w:cs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A2E3B">
        <w:trPr>
          <w:trHeight w:val="471"/>
          <w:jc w:val="center"/>
        </w:trPr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Calibri" w:cs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E3B" w:rsidRDefault="00B17C82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DA2E3B">
        <w:trPr>
          <w:trHeight w:val="480"/>
          <w:jc w:val="center"/>
        </w:trPr>
        <w:tc>
          <w:tcPr>
            <w:tcW w:w="8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DA2E3B">
        <w:trPr>
          <w:trHeight w:val="634"/>
          <w:jc w:val="center"/>
        </w:trPr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DA2E3B">
        <w:trPr>
          <w:trHeight w:val="528"/>
          <w:jc w:val="center"/>
        </w:trPr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E3B" w:rsidRDefault="00B17C82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65635</w:t>
            </w:r>
          </w:p>
        </w:tc>
      </w:tr>
      <w:tr w:rsidR="00DA2E3B">
        <w:trPr>
          <w:trHeight w:val="550"/>
          <w:jc w:val="center"/>
        </w:trPr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E3B" w:rsidRPr="00D4530F" w:rsidRDefault="00A317AB" w:rsidP="00A317AB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453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E3B" w:rsidRPr="00D4530F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453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E3B" w:rsidRPr="00D4530F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453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A2E3B">
        <w:trPr>
          <w:trHeight w:val="406"/>
          <w:jc w:val="center"/>
        </w:trPr>
        <w:tc>
          <w:tcPr>
            <w:tcW w:w="8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DA2E3B">
        <w:trPr>
          <w:trHeight w:val="634"/>
          <w:jc w:val="center"/>
        </w:trPr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DA2E3B">
        <w:trPr>
          <w:trHeight w:val="430"/>
          <w:jc w:val="center"/>
        </w:trPr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1052</w:t>
            </w:r>
          </w:p>
        </w:tc>
      </w:tr>
      <w:tr w:rsidR="00DA2E3B">
        <w:trPr>
          <w:trHeight w:val="409"/>
          <w:jc w:val="center"/>
        </w:trPr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776</w:t>
            </w:r>
          </w:p>
        </w:tc>
      </w:tr>
      <w:tr w:rsidR="00DA2E3B">
        <w:trPr>
          <w:trHeight w:val="474"/>
          <w:jc w:val="center"/>
        </w:trPr>
        <w:tc>
          <w:tcPr>
            <w:tcW w:w="8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DA2E3B">
        <w:trPr>
          <w:trHeight w:val="270"/>
          <w:jc w:val="center"/>
        </w:trPr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 w:rsidR="00DA2E3B">
        <w:trPr>
          <w:trHeight w:val="551"/>
          <w:jc w:val="center"/>
        </w:trPr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E3B" w:rsidRDefault="0049579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A2E3B" w:rsidRDefault="00495795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Calibri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A2E3B">
        <w:trPr>
          <w:trHeight w:val="476"/>
          <w:jc w:val="center"/>
        </w:trPr>
        <w:tc>
          <w:tcPr>
            <w:tcW w:w="8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DA2E3B">
        <w:trPr>
          <w:trHeight w:val="585"/>
          <w:jc w:val="center"/>
        </w:trPr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信息内容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金额</w:t>
            </w:r>
          </w:p>
        </w:tc>
      </w:tr>
      <w:tr w:rsidR="00DA2E3B" w:rsidTr="006A6BC7">
        <w:trPr>
          <w:trHeight w:val="539"/>
          <w:jc w:val="center"/>
        </w:trPr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E3B" w:rsidRPr="00D4530F" w:rsidRDefault="00534C45" w:rsidP="006A6BC7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A2E3B" w:rsidRPr="00D4530F" w:rsidRDefault="00534C45" w:rsidP="00F26009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34C4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1020.48</w:t>
            </w:r>
            <w:r w:rsidR="00F26009" w:rsidRPr="00D4530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万元</w:t>
            </w:r>
          </w:p>
        </w:tc>
      </w:tr>
    </w:tbl>
    <w:p w:rsidR="00DA2E3B" w:rsidRDefault="00DA2E3B">
      <w:pPr>
        <w:widowControl/>
        <w:spacing w:line="432" w:lineRule="auto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DA2E3B" w:rsidRDefault="00AA5B54">
      <w:pPr>
        <w:widowControl/>
        <w:spacing w:after="240" w:line="432" w:lineRule="auto"/>
        <w:ind w:firstLine="480"/>
        <w:rPr>
          <w:rFonts w:ascii="黑体" w:eastAsia="黑体" w:hAnsi="宋体" w:cs="宋体"/>
          <w:b/>
          <w:bCs/>
          <w:color w:val="333333"/>
          <w:kern w:val="0"/>
          <w:sz w:val="32"/>
          <w:szCs w:val="32"/>
        </w:rPr>
      </w:pPr>
      <w:r>
        <w:rPr>
          <w:rFonts w:ascii="黑体" w:eastAsia="黑体" w:hAnsi="宋体" w:cs="宋体" w:hint="eastAsia"/>
          <w:b/>
          <w:bCs/>
          <w:color w:val="333333"/>
          <w:kern w:val="0"/>
          <w:sz w:val="32"/>
          <w:szCs w:val="32"/>
        </w:rPr>
        <w:t>三、收到和处理政府信息公开申请情况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4"/>
        <w:gridCol w:w="855"/>
        <w:gridCol w:w="2130"/>
        <w:gridCol w:w="825"/>
        <w:gridCol w:w="765"/>
        <w:gridCol w:w="765"/>
        <w:gridCol w:w="825"/>
        <w:gridCol w:w="990"/>
        <w:gridCol w:w="720"/>
        <w:gridCol w:w="702"/>
      </w:tblGrid>
      <w:tr w:rsidR="00DA2E3B"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（本列数据的勾</w:t>
            </w:r>
            <w:proofErr w:type="gramStart"/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稽</w:t>
            </w:r>
            <w:proofErr w:type="gramEnd"/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申请人情况</w:t>
            </w:r>
          </w:p>
        </w:tc>
      </w:tr>
      <w:tr w:rsidR="00DA2E3B">
        <w:trPr>
          <w:jc w:val="center"/>
        </w:trPr>
        <w:tc>
          <w:tcPr>
            <w:tcW w:w="3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DA2E3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总计</w:t>
            </w:r>
          </w:p>
        </w:tc>
      </w:tr>
      <w:tr w:rsidR="00DA2E3B">
        <w:trPr>
          <w:jc w:val="center"/>
        </w:trPr>
        <w:tc>
          <w:tcPr>
            <w:tcW w:w="3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DA2E3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DA2E3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其他</w:t>
            </w:r>
          </w:p>
        </w:tc>
        <w:tc>
          <w:tcPr>
            <w:tcW w:w="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DA2E3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DA2E3B">
        <w:trPr>
          <w:jc w:val="center"/>
        </w:trPr>
        <w:tc>
          <w:tcPr>
            <w:tcW w:w="3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17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20</w:t>
            </w:r>
          </w:p>
        </w:tc>
      </w:tr>
      <w:tr w:rsidR="00DA2E3B">
        <w:trPr>
          <w:jc w:val="center"/>
        </w:trPr>
        <w:tc>
          <w:tcPr>
            <w:tcW w:w="3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</w:tr>
      <w:tr w:rsidR="00DA2E3B"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333333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8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9</w:t>
            </w:r>
          </w:p>
        </w:tc>
      </w:tr>
      <w:tr w:rsidR="00DA2E3B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DA2E3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333333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</w:tr>
      <w:tr w:rsidR="00DA2E3B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DA2E3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333333"/>
                <w:sz w:val="20"/>
                <w:szCs w:val="20"/>
              </w:rPr>
              <w:t>（三）不予公开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333333"/>
                <w:sz w:val="20"/>
                <w:szCs w:val="20"/>
              </w:rPr>
              <w:t>1.属于国家秘密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</w:tr>
      <w:tr w:rsidR="00DA2E3B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DA2E3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DA2E3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333333"/>
                <w:sz w:val="20"/>
                <w:szCs w:val="20"/>
              </w:rPr>
              <w:t>2.其他法律行政法规禁止公开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</w:tr>
      <w:tr w:rsidR="00DA2E3B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DA2E3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DA2E3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333333"/>
                <w:sz w:val="20"/>
                <w:szCs w:val="20"/>
              </w:rPr>
              <w:t>3.危及“三安全</w:t>
            </w:r>
            <w:proofErr w:type="gramStart"/>
            <w:r>
              <w:rPr>
                <w:rFonts w:ascii="楷体" w:eastAsia="楷体" w:hAnsi="楷体" w:cs="宋体" w:hint="eastAsia"/>
                <w:color w:val="333333"/>
                <w:sz w:val="20"/>
                <w:szCs w:val="20"/>
              </w:rPr>
              <w:t>一</w:t>
            </w:r>
            <w:proofErr w:type="gramEnd"/>
            <w:r>
              <w:rPr>
                <w:rFonts w:ascii="楷体" w:eastAsia="楷体" w:hAnsi="楷体" w:cs="宋体" w:hint="eastAsia"/>
                <w:color w:val="333333"/>
                <w:sz w:val="20"/>
                <w:szCs w:val="20"/>
              </w:rPr>
              <w:t>稳定”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</w:tr>
      <w:tr w:rsidR="00DA2E3B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DA2E3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DA2E3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333333"/>
                <w:sz w:val="20"/>
                <w:szCs w:val="20"/>
              </w:rPr>
              <w:t>4.保护第三方合法权</w:t>
            </w:r>
            <w:r>
              <w:rPr>
                <w:rFonts w:ascii="楷体" w:eastAsia="楷体" w:hAnsi="楷体" w:cs="宋体" w:hint="eastAsia"/>
                <w:color w:val="333333"/>
                <w:sz w:val="20"/>
                <w:szCs w:val="20"/>
              </w:rPr>
              <w:lastRenderedPageBreak/>
              <w:t>益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lastRenderedPageBreak/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</w:tr>
      <w:tr w:rsidR="00DA2E3B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DA2E3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DA2E3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333333"/>
                <w:sz w:val="20"/>
                <w:szCs w:val="20"/>
              </w:rPr>
              <w:t>5.属于三类内部事务信息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</w:tr>
      <w:tr w:rsidR="00DA2E3B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DA2E3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DA2E3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333333"/>
                <w:sz w:val="20"/>
                <w:szCs w:val="20"/>
              </w:rPr>
              <w:t>6.属于四类过程性信息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</w:tr>
      <w:tr w:rsidR="00DA2E3B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DA2E3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DA2E3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333333"/>
                <w:sz w:val="20"/>
                <w:szCs w:val="20"/>
              </w:rPr>
              <w:t>7.属于行政执法案卷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</w:tr>
      <w:tr w:rsidR="00DA2E3B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DA2E3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DA2E3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333333"/>
                <w:sz w:val="20"/>
                <w:szCs w:val="20"/>
              </w:rPr>
              <w:t>8.属于行政查询事项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</w:tr>
      <w:tr w:rsidR="00DA2E3B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DA2E3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333333"/>
                <w:sz w:val="20"/>
                <w:szCs w:val="20"/>
              </w:rPr>
              <w:t>（四）无法提供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333333"/>
                <w:sz w:val="20"/>
                <w:szCs w:val="20"/>
              </w:rPr>
              <w:t>1.本机关不掌握相关政府信息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8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10</w:t>
            </w:r>
          </w:p>
        </w:tc>
      </w:tr>
      <w:tr w:rsidR="00DA2E3B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DA2E3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DA2E3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333333"/>
                <w:sz w:val="20"/>
                <w:szCs w:val="20"/>
              </w:rPr>
              <w:t>2.没有现成信息需要另行制作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1</w:t>
            </w:r>
          </w:p>
        </w:tc>
      </w:tr>
      <w:tr w:rsidR="00DA2E3B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DA2E3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DA2E3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333333"/>
                <w:sz w:val="20"/>
                <w:szCs w:val="20"/>
              </w:rPr>
              <w:t>3.补正后申请内容仍不明确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</w:tr>
      <w:tr w:rsidR="00DA2E3B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DA2E3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333333"/>
                <w:sz w:val="20"/>
                <w:szCs w:val="20"/>
              </w:rPr>
              <w:t>（五）</w:t>
            </w:r>
            <w:proofErr w:type="gramStart"/>
            <w:r>
              <w:rPr>
                <w:rFonts w:ascii="楷体" w:eastAsia="楷体" w:hAnsi="楷体" w:cs="宋体" w:hint="eastAsia"/>
                <w:color w:val="333333"/>
                <w:sz w:val="20"/>
                <w:szCs w:val="20"/>
              </w:rPr>
              <w:t>不予处理</w:t>
            </w:r>
            <w:proofErr w:type="gramEnd"/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333333"/>
                <w:sz w:val="20"/>
                <w:szCs w:val="20"/>
              </w:rPr>
              <w:t>1.信访举报投诉类申请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</w:tr>
      <w:tr w:rsidR="00DA2E3B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DA2E3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DA2E3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333333"/>
                <w:sz w:val="20"/>
                <w:szCs w:val="20"/>
              </w:rPr>
              <w:t>2.重复申请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</w:tr>
      <w:tr w:rsidR="00DA2E3B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DA2E3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DA2E3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333333"/>
                <w:sz w:val="20"/>
                <w:szCs w:val="20"/>
              </w:rPr>
              <w:t>3.要求提供公开出版物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</w:tr>
      <w:tr w:rsidR="00DA2E3B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DA2E3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DA2E3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333333"/>
                <w:sz w:val="20"/>
                <w:szCs w:val="20"/>
              </w:rPr>
              <w:t>4.无正当理由大量反复申请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</w:tr>
      <w:tr w:rsidR="00DA2E3B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DA2E3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DA2E3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333333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</w:tr>
      <w:tr w:rsidR="00DA2E3B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DA2E3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333333"/>
                <w:sz w:val="20"/>
                <w:szCs w:val="20"/>
              </w:rPr>
              <w:t>（六）其他处理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</w:tr>
      <w:tr w:rsidR="00DA2E3B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DA2E3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333333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17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20</w:t>
            </w:r>
          </w:p>
        </w:tc>
      </w:tr>
      <w:tr w:rsidR="00DA2E3B">
        <w:trPr>
          <w:jc w:val="center"/>
        </w:trPr>
        <w:tc>
          <w:tcPr>
            <w:tcW w:w="3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</w:tr>
    </w:tbl>
    <w:p w:rsidR="00DA2E3B" w:rsidRDefault="00DA2E3B">
      <w:pPr>
        <w:widowControl/>
        <w:spacing w:line="432" w:lineRule="auto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DA2E3B" w:rsidRDefault="00AA5B54">
      <w:pPr>
        <w:widowControl/>
        <w:spacing w:line="432" w:lineRule="auto"/>
        <w:ind w:firstLine="480"/>
        <w:rPr>
          <w:rFonts w:ascii="黑体" w:eastAsia="黑体" w:hAnsi="宋体" w:cs="宋体"/>
          <w:b/>
          <w:bCs/>
          <w:color w:val="333333"/>
          <w:kern w:val="0"/>
          <w:sz w:val="32"/>
          <w:szCs w:val="32"/>
        </w:rPr>
      </w:pPr>
      <w:r>
        <w:rPr>
          <w:rFonts w:ascii="黑体" w:eastAsia="黑体" w:hAnsi="宋体" w:cs="宋体" w:hint="eastAsia"/>
          <w:b/>
          <w:bCs/>
          <w:color w:val="333333"/>
          <w:kern w:val="0"/>
          <w:sz w:val="32"/>
          <w:szCs w:val="32"/>
        </w:rPr>
        <w:t>四、政府信息公开行政复议、行政诉讼情况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DA2E3B">
        <w:trPr>
          <w:jc w:val="center"/>
        </w:trPr>
        <w:tc>
          <w:tcPr>
            <w:tcW w:w="3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行政诉讼</w:t>
            </w:r>
          </w:p>
        </w:tc>
      </w:tr>
      <w:tr w:rsidR="00DA2E3B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复议后起诉</w:t>
            </w:r>
          </w:p>
        </w:tc>
      </w:tr>
      <w:tr w:rsidR="00DA2E3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DA2E3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DA2E3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DA2E3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DA2E3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DA2E3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DA2E3B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 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3B" w:rsidRDefault="00AA5B54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</w:tr>
    </w:tbl>
    <w:p w:rsidR="00DA2E3B" w:rsidRDefault="00AA5B54">
      <w:pPr>
        <w:widowControl/>
        <w:spacing w:line="432" w:lineRule="auto"/>
        <w:ind w:firstLineChars="200" w:firstLine="643"/>
        <w:rPr>
          <w:rFonts w:ascii="黑体" w:eastAsia="黑体" w:hAnsi="宋体" w:cs="宋体"/>
          <w:b/>
          <w:bCs/>
          <w:color w:val="333333"/>
          <w:kern w:val="0"/>
          <w:sz w:val="32"/>
          <w:szCs w:val="32"/>
        </w:rPr>
      </w:pPr>
      <w:r>
        <w:rPr>
          <w:rFonts w:ascii="黑体" w:eastAsia="黑体" w:hAnsi="宋体" w:cs="宋体" w:hint="eastAsia"/>
          <w:b/>
          <w:bCs/>
          <w:color w:val="333333"/>
          <w:kern w:val="0"/>
          <w:sz w:val="32"/>
          <w:szCs w:val="32"/>
        </w:rPr>
        <w:t>五、存在的主要问题及改进情况</w:t>
      </w:r>
    </w:p>
    <w:p w:rsidR="00DA2E3B" w:rsidRDefault="00AA5B54">
      <w:pPr>
        <w:widowControl/>
        <w:spacing w:line="432" w:lineRule="auto"/>
        <w:ind w:firstLineChars="200" w:firstLine="640"/>
        <w:rPr>
          <w:rFonts w:ascii="黑体" w:eastAsia="黑体" w:hAnsi="宋体" w:cs="宋体"/>
          <w:b/>
          <w:bCs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2019年，武汉市税务局政府信息公开工作扎实推进，取得了一定的成效，但也存在一定问题，主要表现在两个方面：一是专业人才不足。政府信息公开需要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较专业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的法律知识，市局这方面的人才还比较匮乏。二是创新力度不够。新媒体技术在不断进步，市局政府信息公开的方式，距离时代发展的要求还有一定差距。下一步市局将从以下方面改进:一是加强学习培训。深入学习《中华人民共和国政府信息公开条例》(国务院令711号)，重点对比新旧文件差异，</w:t>
      </w:r>
      <w:r>
        <w:rPr>
          <w:rFonts w:ascii="仿宋_GB2312" w:eastAsia="仿宋_GB2312" w:hAnsi="黑体" w:hint="eastAsia"/>
          <w:sz w:val="32"/>
          <w:szCs w:val="30"/>
        </w:rPr>
        <w:t>开展有针对性的培训。二是</w:t>
      </w:r>
      <w:r>
        <w:rPr>
          <w:rFonts w:ascii="仿宋_GB2312" w:eastAsia="仿宋_GB2312" w:hAnsi="仿宋_GB2312" w:cs="仿宋_GB2312" w:hint="eastAsia"/>
          <w:sz w:val="32"/>
          <w:szCs w:val="32"/>
        </w:rPr>
        <w:t>创新政策发布和解读方式。持续拓展公开载体，丰富公众获取税务信息渠道，不断增强公开针对性。三是加大工作协调力度。</w:t>
      </w:r>
      <w:r>
        <w:rPr>
          <w:rFonts w:ascii="仿宋_GB2312" w:eastAsia="仿宋_GB2312" w:hAnsi="黑体" w:hint="eastAsia"/>
          <w:sz w:val="32"/>
          <w:szCs w:val="30"/>
        </w:rPr>
        <w:t>定期收集政府信息公开工作中发现和存在的问题，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制定落实整改措施，推动政务公开工作在持续改进中不断提高。</w:t>
      </w:r>
    </w:p>
    <w:p w:rsidR="00DA2E3B" w:rsidRDefault="00AA5B54">
      <w:pPr>
        <w:widowControl/>
        <w:spacing w:line="432" w:lineRule="auto"/>
        <w:ind w:firstLineChars="200" w:firstLine="643"/>
        <w:rPr>
          <w:rFonts w:ascii="黑体" w:eastAsia="黑体" w:hAnsi="宋体" w:cs="宋体"/>
          <w:b/>
          <w:bCs/>
          <w:color w:val="333333"/>
          <w:kern w:val="0"/>
          <w:sz w:val="32"/>
          <w:szCs w:val="32"/>
        </w:rPr>
      </w:pPr>
      <w:r>
        <w:rPr>
          <w:rFonts w:ascii="黑体" w:eastAsia="黑体" w:hAnsi="宋体" w:cs="宋体" w:hint="eastAsia"/>
          <w:b/>
          <w:bCs/>
          <w:color w:val="333333"/>
          <w:kern w:val="0"/>
          <w:sz w:val="32"/>
          <w:szCs w:val="32"/>
        </w:rPr>
        <w:t>六、其他需要报告的事项</w:t>
      </w:r>
    </w:p>
    <w:p w:rsidR="00DA2E3B" w:rsidRDefault="00AA5B54">
      <w:pPr>
        <w:widowControl/>
        <w:spacing w:line="432" w:lineRule="auto"/>
        <w:ind w:firstLineChars="200" w:firstLine="640"/>
        <w:rPr>
          <w:rFonts w:ascii="黑体" w:eastAsia="黑体" w:hAnsi="宋体" w:cs="宋体"/>
          <w:b/>
          <w:bCs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24"/>
        </w:rPr>
        <w:t>无。</w:t>
      </w:r>
    </w:p>
    <w:p w:rsidR="00DA2E3B" w:rsidRDefault="00DA2E3B"/>
    <w:p w:rsidR="00DA2E3B" w:rsidRDefault="00DA2E3B"/>
    <w:sectPr w:rsidR="00DA2E3B" w:rsidSect="00DA2E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752" w:rsidRDefault="007D5752" w:rsidP="00536C24">
      <w:r>
        <w:separator/>
      </w:r>
    </w:p>
  </w:endnote>
  <w:endnote w:type="continuationSeparator" w:id="0">
    <w:p w:rsidR="007D5752" w:rsidRDefault="007D5752" w:rsidP="00536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752" w:rsidRDefault="007D5752" w:rsidP="00536C24">
      <w:r>
        <w:separator/>
      </w:r>
    </w:p>
  </w:footnote>
  <w:footnote w:type="continuationSeparator" w:id="0">
    <w:p w:rsidR="007D5752" w:rsidRDefault="007D5752" w:rsidP="00536C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6D32"/>
    <w:rsid w:val="00015445"/>
    <w:rsid w:val="00046432"/>
    <w:rsid w:val="00097F50"/>
    <w:rsid w:val="000C3395"/>
    <w:rsid w:val="000C402C"/>
    <w:rsid w:val="00145B60"/>
    <w:rsid w:val="00162447"/>
    <w:rsid w:val="00164432"/>
    <w:rsid w:val="0018344F"/>
    <w:rsid w:val="001A451C"/>
    <w:rsid w:val="001A660B"/>
    <w:rsid w:val="001E30A0"/>
    <w:rsid w:val="001E7BC2"/>
    <w:rsid w:val="001F17E9"/>
    <w:rsid w:val="001F6AF7"/>
    <w:rsid w:val="00216397"/>
    <w:rsid w:val="00242F43"/>
    <w:rsid w:val="002B1186"/>
    <w:rsid w:val="002D20F0"/>
    <w:rsid w:val="002D5D79"/>
    <w:rsid w:val="002E6B93"/>
    <w:rsid w:val="002F1A15"/>
    <w:rsid w:val="0032623F"/>
    <w:rsid w:val="003414A5"/>
    <w:rsid w:val="00342697"/>
    <w:rsid w:val="003C2D8D"/>
    <w:rsid w:val="003E09E5"/>
    <w:rsid w:val="003E79E5"/>
    <w:rsid w:val="003F2907"/>
    <w:rsid w:val="00410180"/>
    <w:rsid w:val="00453606"/>
    <w:rsid w:val="00495795"/>
    <w:rsid w:val="004B2A5C"/>
    <w:rsid w:val="004B6FCC"/>
    <w:rsid w:val="004C6BE1"/>
    <w:rsid w:val="004E2987"/>
    <w:rsid w:val="00534C45"/>
    <w:rsid w:val="00536C24"/>
    <w:rsid w:val="005A517A"/>
    <w:rsid w:val="005B5537"/>
    <w:rsid w:val="005C20DE"/>
    <w:rsid w:val="005E380C"/>
    <w:rsid w:val="006125C9"/>
    <w:rsid w:val="0062680E"/>
    <w:rsid w:val="00656B8F"/>
    <w:rsid w:val="00663E27"/>
    <w:rsid w:val="006678C1"/>
    <w:rsid w:val="006947BD"/>
    <w:rsid w:val="006A6BC7"/>
    <w:rsid w:val="006A7D98"/>
    <w:rsid w:val="006C0779"/>
    <w:rsid w:val="006C0AF4"/>
    <w:rsid w:val="00704FED"/>
    <w:rsid w:val="00716295"/>
    <w:rsid w:val="0076153C"/>
    <w:rsid w:val="007729CB"/>
    <w:rsid w:val="00781F43"/>
    <w:rsid w:val="00785C02"/>
    <w:rsid w:val="007C1FB2"/>
    <w:rsid w:val="007D5752"/>
    <w:rsid w:val="00801E4E"/>
    <w:rsid w:val="00803A1E"/>
    <w:rsid w:val="00806CC4"/>
    <w:rsid w:val="008141A5"/>
    <w:rsid w:val="0082761B"/>
    <w:rsid w:val="00846D32"/>
    <w:rsid w:val="008B7878"/>
    <w:rsid w:val="009415A0"/>
    <w:rsid w:val="009463BE"/>
    <w:rsid w:val="00953452"/>
    <w:rsid w:val="009627AB"/>
    <w:rsid w:val="009915B5"/>
    <w:rsid w:val="009A65C6"/>
    <w:rsid w:val="009C3839"/>
    <w:rsid w:val="009F438B"/>
    <w:rsid w:val="00A317AB"/>
    <w:rsid w:val="00A37B55"/>
    <w:rsid w:val="00A56F84"/>
    <w:rsid w:val="00A7543D"/>
    <w:rsid w:val="00AA5B54"/>
    <w:rsid w:val="00AB17AB"/>
    <w:rsid w:val="00B002BE"/>
    <w:rsid w:val="00B00373"/>
    <w:rsid w:val="00B04F02"/>
    <w:rsid w:val="00B17C82"/>
    <w:rsid w:val="00B62E4D"/>
    <w:rsid w:val="00B81A4D"/>
    <w:rsid w:val="00BA3140"/>
    <w:rsid w:val="00BA62A4"/>
    <w:rsid w:val="00BB31EF"/>
    <w:rsid w:val="00BB3D50"/>
    <w:rsid w:val="00BC29CC"/>
    <w:rsid w:val="00C06206"/>
    <w:rsid w:val="00C25432"/>
    <w:rsid w:val="00C3558F"/>
    <w:rsid w:val="00C52153"/>
    <w:rsid w:val="00C6549B"/>
    <w:rsid w:val="00CA7E61"/>
    <w:rsid w:val="00CB7977"/>
    <w:rsid w:val="00CB7EEF"/>
    <w:rsid w:val="00D1115B"/>
    <w:rsid w:val="00D20F9B"/>
    <w:rsid w:val="00D41A0B"/>
    <w:rsid w:val="00D4530F"/>
    <w:rsid w:val="00D556DA"/>
    <w:rsid w:val="00D600E0"/>
    <w:rsid w:val="00D85457"/>
    <w:rsid w:val="00D86ED4"/>
    <w:rsid w:val="00DA06A8"/>
    <w:rsid w:val="00DA2E3B"/>
    <w:rsid w:val="00DB10BD"/>
    <w:rsid w:val="00DD5EE1"/>
    <w:rsid w:val="00DE2AE2"/>
    <w:rsid w:val="00E028FE"/>
    <w:rsid w:val="00E0459B"/>
    <w:rsid w:val="00E346A0"/>
    <w:rsid w:val="00E770D3"/>
    <w:rsid w:val="00E9194A"/>
    <w:rsid w:val="00EC63C4"/>
    <w:rsid w:val="00F26009"/>
    <w:rsid w:val="00F8644F"/>
    <w:rsid w:val="00FB3BD0"/>
    <w:rsid w:val="00FD54DB"/>
    <w:rsid w:val="16411CBF"/>
    <w:rsid w:val="298655EF"/>
    <w:rsid w:val="4A266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E3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DA2E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DA2E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DA2E3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DA2E3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432</Words>
  <Characters>2466</Characters>
  <Application>Microsoft Office Word</Application>
  <DocSecurity>0</DocSecurity>
  <Lines>20</Lines>
  <Paragraphs>5</Paragraphs>
  <ScaleCrop>false</ScaleCrop>
  <Company>Delph7.com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张成</dc:creator>
  <cp:lastModifiedBy>王红玲</cp:lastModifiedBy>
  <cp:revision>81</cp:revision>
  <dcterms:created xsi:type="dcterms:W3CDTF">2020-01-08T03:12:00Z</dcterms:created>
  <dcterms:modified xsi:type="dcterms:W3CDTF">2021-01-28T08:55:00Z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