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32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附件2:</w:t>
      </w:r>
    </w:p>
    <w:p>
      <w:pPr>
        <w:pStyle w:val="4"/>
        <w:spacing w:line="43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　　</w:t>
      </w:r>
      <w:r>
        <w:rPr>
          <w:rStyle w:val="7"/>
          <w:rFonts w:ascii="Arial" w:hAnsi="Arial" w:cs="Arial"/>
        </w:rPr>
        <w:t>涂料税目征收范围注释</w:t>
      </w:r>
    </w:p>
    <w:p>
      <w:pPr>
        <w:pStyle w:val="4"/>
        <w:spacing w:line="432" w:lineRule="auto"/>
        <w:rPr>
          <w:rFonts w:ascii="Arial" w:hAnsi="Arial" w:cs="Arial"/>
        </w:rPr>
      </w:pPr>
      <w:r>
        <w:rPr>
          <w:rFonts w:ascii="Arial" w:hAnsi="Arial" w:cs="Arial"/>
        </w:rPr>
        <w:t>　　涂料是指涂于物体表面能形成具有保护、装饰或特殊性能的固态涂膜的一类液体或固体材料之总称。</w:t>
      </w:r>
    </w:p>
    <w:p>
      <w:pPr>
        <w:pStyle w:val="4"/>
        <w:spacing w:line="432" w:lineRule="auto"/>
        <w:rPr>
          <w:rFonts w:ascii="Arial" w:hAnsi="Arial" w:cs="Arial"/>
        </w:rPr>
      </w:pPr>
      <w:r>
        <w:rPr>
          <w:rFonts w:ascii="Arial" w:hAnsi="Arial" w:cs="Arial"/>
        </w:rPr>
        <w:t>　　涂料由主要成膜物质、次要成膜物质等构成。按主要成膜物质涂料可分为油脂类、天然树脂类、酚醛树脂类、沥青类、醇酸树脂类、氨基树脂类、硝基类、过滤乙烯树脂类、烯类树脂类、丙烯酸酯类树脂类、聚酯树脂类、环氧树脂类、聚氨酯树脂类、元素有机类、橡胶类、纤维素类、其他成膜物类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0B"/>
    <w:rsid w:val="00AD1628"/>
    <w:rsid w:val="00D9630B"/>
    <w:rsid w:val="489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2015-02-05T01:43:00Z</dcterms:created>
  <dc:creator>admin</dc:creator>
  <cp:lastModifiedBy>zswj</cp:lastModifiedBy>
  <dcterms:modified xsi:type="dcterms:W3CDTF">2020-10-27T03:09:24Z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