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国家税务总局武汉东湖新技术开发区税务局</w:t>
      </w:r>
    </w:p>
    <w:p>
      <w:pPr>
        <w:jc w:val="center"/>
        <w:rPr>
          <w:rFonts w:ascii="方正小标宋简体" w:eastAsia="方正小标宋简体"/>
          <w:sz w:val="36"/>
          <w:szCs w:val="36"/>
        </w:rPr>
      </w:pPr>
      <w:r>
        <w:rPr>
          <w:rFonts w:hint="eastAsia" w:ascii="方正小标宋简体" w:eastAsia="方正小标宋简体"/>
          <w:sz w:val="36"/>
          <w:szCs w:val="36"/>
        </w:rPr>
        <w:t>201</w:t>
      </w:r>
      <w:r>
        <w:rPr>
          <w:rFonts w:hint="eastAsia" w:ascii="方正小标宋简体" w:eastAsia="方正小标宋简体"/>
          <w:sz w:val="36"/>
          <w:szCs w:val="36"/>
          <w:lang w:val="en-US" w:eastAsia="zh-CN"/>
        </w:rPr>
        <w:t>8</w:t>
      </w:r>
      <w:r>
        <w:rPr>
          <w:rFonts w:hint="eastAsia" w:ascii="方正小标宋简体" w:eastAsia="方正小标宋简体"/>
          <w:sz w:val="36"/>
          <w:szCs w:val="36"/>
        </w:rPr>
        <w:t>年政府信息公开年度报告</w:t>
      </w:r>
    </w:p>
    <w:p>
      <w:pPr>
        <w:ind w:firstLine="600" w:firstLineChars="200"/>
        <w:jc w:val="left"/>
        <w:rPr>
          <w:rFonts w:hint="eastAsia" w:ascii="仿宋_GB2312" w:eastAsia="仿宋_GB2312"/>
          <w:sz w:val="30"/>
          <w:szCs w:val="30"/>
        </w:rPr>
      </w:pPr>
    </w:p>
    <w:p>
      <w:pPr>
        <w:ind w:firstLine="600" w:firstLineChars="200"/>
        <w:jc w:val="left"/>
        <w:rPr>
          <w:rFonts w:ascii="黑体" w:eastAsia="黑体"/>
          <w:sz w:val="30"/>
          <w:szCs w:val="30"/>
        </w:rPr>
      </w:pPr>
      <w:r>
        <w:rPr>
          <w:rFonts w:hint="eastAsia" w:ascii="黑体" w:eastAsia="黑体"/>
          <w:sz w:val="30"/>
          <w:szCs w:val="30"/>
        </w:rPr>
        <w:t>一、建立科学的政务公开体系</w:t>
      </w:r>
    </w:p>
    <w:p>
      <w:pPr>
        <w:ind w:firstLine="600" w:firstLineChars="200"/>
        <w:jc w:val="left"/>
        <w:rPr>
          <w:rFonts w:ascii="仿宋_GB2312" w:eastAsia="仿宋_GB2312"/>
          <w:sz w:val="30"/>
          <w:szCs w:val="30"/>
        </w:rPr>
      </w:pPr>
      <w:r>
        <w:rPr>
          <w:rFonts w:hint="eastAsia" w:ascii="仿宋_GB2312" w:eastAsia="仿宋_GB2312"/>
          <w:sz w:val="30"/>
          <w:szCs w:val="30"/>
        </w:rPr>
        <w:t>区局党组高度重视并多次在局长办公会、局务会上部署政务公开工作，要求各部门应深刻认识到当前形势下进一步推进政务公开工作的重要性，要明确目标，划定职责并细化到个人，全面加强涉税信息公开工作，层层发动，形成人人参加、个个重视的氛围。会上，部门负责人均表态要坚决全面推进决策、执行、管理、服务、结果全过程公开，进一步加大办税透明度，让纳税人有“参与感”，保障其有知情、监督、申辩和表达的权利，塑造税务铁军形象，进一步提升公信力和公众认同感。</w:t>
      </w:r>
    </w:p>
    <w:p>
      <w:pPr>
        <w:ind w:firstLine="600" w:firstLineChars="200"/>
        <w:jc w:val="left"/>
        <w:rPr>
          <w:rFonts w:ascii="黑体" w:eastAsia="黑体"/>
          <w:sz w:val="30"/>
          <w:szCs w:val="30"/>
        </w:rPr>
      </w:pPr>
      <w:r>
        <w:rPr>
          <w:rFonts w:hint="eastAsia" w:ascii="黑体" w:eastAsia="黑体"/>
          <w:sz w:val="30"/>
          <w:szCs w:val="30"/>
        </w:rPr>
        <w:t>二、政务公开运行基本情况</w:t>
      </w:r>
    </w:p>
    <w:p>
      <w:pPr>
        <w:ind w:firstLine="602" w:firstLineChars="200"/>
        <w:jc w:val="left"/>
        <w:rPr>
          <w:rFonts w:ascii="楷体_GB2312" w:eastAsia="楷体_GB2312"/>
          <w:b/>
          <w:sz w:val="30"/>
          <w:szCs w:val="30"/>
        </w:rPr>
      </w:pPr>
      <w:r>
        <w:rPr>
          <w:rFonts w:hint="eastAsia" w:ascii="楷体_GB2312" w:eastAsia="楷体_GB2312"/>
          <w:b/>
          <w:sz w:val="30"/>
          <w:szCs w:val="30"/>
        </w:rPr>
        <w:t>（一）加大行政权利公开力度</w:t>
      </w:r>
    </w:p>
    <w:p>
      <w:pPr>
        <w:ind w:firstLine="596" w:firstLineChars="198"/>
        <w:jc w:val="left"/>
        <w:rPr>
          <w:rFonts w:ascii="仿宋_GB2312" w:eastAsia="仿宋_GB2312"/>
          <w:sz w:val="30"/>
          <w:szCs w:val="30"/>
        </w:rPr>
      </w:pPr>
      <w:r>
        <w:rPr>
          <w:rFonts w:hint="eastAsia" w:ascii="仿宋_GB2312" w:eastAsia="仿宋_GB2312"/>
          <w:b/>
          <w:sz w:val="30"/>
          <w:szCs w:val="30"/>
        </w:rPr>
        <w:t>1.及时公布权力清单</w:t>
      </w:r>
      <w:r>
        <w:rPr>
          <w:rFonts w:hint="eastAsia" w:ascii="仿宋_GB2312" w:eastAsia="仿宋_GB2312"/>
          <w:sz w:val="30"/>
          <w:szCs w:val="30"/>
        </w:rPr>
        <w:t>。政策法规科对全局涉税行政权力实施专项清理,制作公布行政权力清单和权力运行流程图,依据清单调整权力事项,充分保障税收执法相对人权利。严格依照清单上的权力依据、流程、标准和时限执行,规范自由裁量权,切实加强事中和事后监督,确保实现“行政权力进清单、清单之外无权力”。</w:t>
      </w:r>
    </w:p>
    <w:p>
      <w:pPr>
        <w:ind w:firstLine="602" w:firstLineChars="200"/>
        <w:jc w:val="left"/>
        <w:rPr>
          <w:rFonts w:ascii="仿宋_GB2312" w:eastAsia="仿宋_GB2312"/>
          <w:b/>
          <w:sz w:val="30"/>
          <w:szCs w:val="30"/>
        </w:rPr>
      </w:pPr>
      <w:r>
        <w:rPr>
          <w:rFonts w:hint="eastAsia" w:ascii="仿宋_GB2312" w:eastAsia="仿宋_GB2312"/>
          <w:b/>
          <w:sz w:val="30"/>
          <w:szCs w:val="30"/>
        </w:rPr>
        <w:t>2.推行行政许可与一般处罚公开</w:t>
      </w:r>
    </w:p>
    <w:p>
      <w:pPr>
        <w:ind w:firstLine="600" w:firstLineChars="200"/>
        <w:jc w:val="left"/>
        <w:rPr>
          <w:rFonts w:ascii="仿宋_GB2312" w:eastAsia="仿宋_GB2312"/>
          <w:sz w:val="30"/>
          <w:szCs w:val="30"/>
        </w:rPr>
      </w:pPr>
      <w:r>
        <w:rPr>
          <w:rFonts w:hint="eastAsia" w:ascii="仿宋_GB2312" w:eastAsia="仿宋_GB2312"/>
          <w:sz w:val="30"/>
          <w:szCs w:val="30"/>
        </w:rPr>
        <w:t>区局将税务行政许可的事项、依据、条件、数量、程序、期限以及需要提交的全部材料的目录、申请书示范文本和服务指南等在办税服务厅以</w:t>
      </w:r>
      <w:bookmarkStart w:id="0" w:name="_GoBack"/>
      <w:bookmarkEnd w:id="0"/>
      <w:r>
        <w:rPr>
          <w:rFonts w:hint="eastAsia" w:ascii="仿宋_GB2312" w:eastAsia="仿宋_GB2312"/>
          <w:sz w:val="30"/>
          <w:szCs w:val="30"/>
        </w:rPr>
        <w:t>展板、公告栏、大屏幕LED、市局外网予以公示，以上行政许可和一般处罚情况均在区局办税服务厅公示完毕。</w:t>
      </w:r>
    </w:p>
    <w:p>
      <w:pPr>
        <w:ind w:firstLine="602" w:firstLineChars="200"/>
        <w:jc w:val="left"/>
        <w:rPr>
          <w:rFonts w:ascii="楷体_GB2312" w:eastAsia="楷体_GB2312"/>
          <w:b/>
          <w:sz w:val="30"/>
          <w:szCs w:val="30"/>
        </w:rPr>
      </w:pPr>
      <w:r>
        <w:rPr>
          <w:rFonts w:hint="eastAsia" w:ascii="楷体_GB2312" w:eastAsia="楷体_GB2312"/>
          <w:b/>
          <w:sz w:val="30"/>
          <w:szCs w:val="30"/>
        </w:rPr>
        <w:t>（二）税收政策法规及政策落实公开</w:t>
      </w:r>
    </w:p>
    <w:p>
      <w:pPr>
        <w:ind w:firstLine="602" w:firstLineChars="200"/>
        <w:jc w:val="left"/>
        <w:rPr>
          <w:rFonts w:ascii="仿宋_GB2312" w:eastAsia="仿宋_GB2312"/>
          <w:b/>
          <w:sz w:val="30"/>
          <w:szCs w:val="30"/>
        </w:rPr>
      </w:pPr>
      <w:r>
        <w:rPr>
          <w:rFonts w:hint="eastAsia" w:ascii="仿宋_GB2312" w:eastAsia="仿宋_GB2312"/>
          <w:b/>
          <w:sz w:val="30"/>
          <w:szCs w:val="30"/>
        </w:rPr>
        <w:t>1.大力宣传税收政策。</w:t>
      </w:r>
      <w:r>
        <w:rPr>
          <w:rFonts w:hint="eastAsia" w:ascii="仿宋_GB2312" w:eastAsia="仿宋_GB2312"/>
          <w:sz w:val="30"/>
          <w:szCs w:val="30"/>
        </w:rPr>
        <w:t>一是政策公开。政策法规、纳税服务等部门配合办税大厅将增值税小微企业优惠政策、企业所得税优惠政策及营改增最新政策等最新的税收政策及解读打印公布到公开栏并及时更新、维护；二是加强公开、宣传力度。利用外部网站、微信、税企QQ群、大厅电子屏幕等渠道对广大纳税人进行政策宣传，发布信息和政策解读；三是组织培训集中反馈。组织开展纳税人专项培训，对政策进行深度讲解，及时回应纳税人关注的税收问题；四是确保落实到底。比对纳税人申报情况，了解企业税负情况，确保纳税人切实享受税收红利。</w:t>
      </w:r>
    </w:p>
    <w:p>
      <w:pPr>
        <w:ind w:firstLine="602" w:firstLineChars="200"/>
        <w:rPr>
          <w:rFonts w:ascii="仿宋_GB2312" w:eastAsia="仿宋_GB2312"/>
          <w:sz w:val="30"/>
          <w:szCs w:val="30"/>
        </w:rPr>
      </w:pPr>
      <w:r>
        <w:rPr>
          <w:rFonts w:hint="eastAsia" w:ascii="仿宋_GB2312" w:eastAsia="仿宋_GB2312"/>
          <w:b/>
          <w:sz w:val="30"/>
          <w:szCs w:val="30"/>
        </w:rPr>
        <w:t>2.规范税收政策解读。</w:t>
      </w:r>
      <w:r>
        <w:rPr>
          <w:rFonts w:hint="eastAsia" w:ascii="仿宋_GB2312" w:eastAsia="仿宋_GB2312"/>
          <w:sz w:val="30"/>
          <w:szCs w:val="30"/>
        </w:rPr>
        <w:t>认真落实税收规范性文件和解读稿同步起草、同步审批、同步发布的“三同步”要求，依法依规、及时准确发布权威信息，全面深入介绍税收政策背景、主要内容、落实措施及工作进展。充分发挥官方网站、政务微信、手机客户端等新媒体的主动推送功能，提高政策知晓度和传播率。善于运用新媒体，发布信息和解读政策，在斗鱼直播间组织了14场在线政策解读和现场答疑等，高峰观看人数达5万人，总观看数量大10万余人次，打造出财税政策培训解读光谷品牌，不断提高纳税人获得感。</w:t>
      </w:r>
    </w:p>
    <w:p>
      <w:pPr>
        <w:ind w:firstLine="602" w:firstLineChars="200"/>
        <w:jc w:val="left"/>
        <w:rPr>
          <w:rFonts w:ascii="仿宋_GB2312" w:eastAsia="仿宋_GB2312"/>
          <w:b/>
          <w:sz w:val="30"/>
          <w:szCs w:val="30"/>
        </w:rPr>
      </w:pPr>
      <w:r>
        <w:rPr>
          <w:rFonts w:hint="eastAsia" w:ascii="仿宋_GB2312" w:eastAsia="仿宋_GB2312"/>
          <w:b/>
          <w:sz w:val="30"/>
          <w:szCs w:val="30"/>
        </w:rPr>
        <w:t>3.税收政策落实情况。</w:t>
      </w:r>
      <w:r>
        <w:rPr>
          <w:rFonts w:hint="eastAsia" w:ascii="仿宋_GB2312" w:eastAsia="仿宋_GB2312"/>
          <w:sz w:val="30"/>
          <w:szCs w:val="30"/>
        </w:rPr>
        <w:t>区局全体税务干部凝心聚力，真抓实干，全力落实好今年《政府工作报告》中部署的各项税收工作任务，一如既往地深化税收改革、优化纳税服务、落实各项税收优惠政策，努力把各项税收工作做得更扎实，努力为广大企业服好务，为地区经济社会发展服好务。</w:t>
      </w:r>
    </w:p>
    <w:p>
      <w:pPr>
        <w:ind w:firstLine="602" w:firstLineChars="200"/>
        <w:jc w:val="left"/>
        <w:rPr>
          <w:rFonts w:ascii="楷体_GB2312" w:eastAsia="楷体_GB2312"/>
          <w:b/>
          <w:sz w:val="30"/>
          <w:szCs w:val="30"/>
        </w:rPr>
      </w:pPr>
      <w:r>
        <w:rPr>
          <w:rFonts w:hint="eastAsia" w:ascii="楷体_GB2312" w:eastAsia="楷体_GB2312"/>
          <w:b/>
          <w:sz w:val="30"/>
          <w:szCs w:val="30"/>
        </w:rPr>
        <w:t>（三）推进征管改革及税收执法公开</w:t>
      </w:r>
    </w:p>
    <w:p>
      <w:pPr>
        <w:autoSpaceDE w:val="0"/>
        <w:autoSpaceDN w:val="0"/>
        <w:adjustRightInd w:val="0"/>
        <w:ind w:firstLine="600" w:firstLineChars="200"/>
        <w:jc w:val="left"/>
        <w:rPr>
          <w:rFonts w:ascii="仿宋_GB2312" w:eastAsia="仿宋_GB2312"/>
          <w:sz w:val="30"/>
          <w:szCs w:val="30"/>
        </w:rPr>
      </w:pPr>
      <w:r>
        <w:rPr>
          <w:rFonts w:hint="eastAsia" w:ascii="仿宋_GB2312" w:eastAsia="仿宋_GB2312"/>
          <w:sz w:val="30"/>
          <w:szCs w:val="30"/>
        </w:rPr>
        <w:t>加快征管改革的进程，不断修订改革方案。进一步拓展国地税联办业务，实行纳税人分级管理，主动公开信用A级纳税人名单及相关信息，及时在市局外网及区局办税服务厅屏幕上发布欠税公告、非正常户公告、个体工商户定额公示（公布）公告、税务登记证件失效公告、限期申报公告、限期纳税公告、委托代征公告等。</w:t>
      </w:r>
    </w:p>
    <w:p>
      <w:pPr>
        <w:ind w:firstLine="600" w:firstLineChars="200"/>
        <w:jc w:val="left"/>
        <w:rPr>
          <w:rFonts w:ascii="仿宋_GB2312" w:eastAsia="仿宋_GB2312"/>
          <w:sz w:val="30"/>
          <w:szCs w:val="30"/>
        </w:rPr>
      </w:pPr>
      <w:r>
        <w:rPr>
          <w:rFonts w:hint="eastAsia" w:ascii="仿宋_GB2312" w:eastAsia="仿宋_GB2312"/>
          <w:sz w:val="30"/>
          <w:szCs w:val="30"/>
        </w:rPr>
        <w:t>同时，推行行政执法公示制度，依法及时主动向社会公开有关税收执法信息，税务干部在下户核查严格实行双人下户，在执法过程中主动表明身份，接受社会监督。在行政许可、处罚、回证</w:t>
      </w:r>
    </w:p>
    <w:p>
      <w:pPr>
        <w:ind w:firstLine="602" w:firstLineChars="200"/>
        <w:jc w:val="left"/>
        <w:rPr>
          <w:rFonts w:ascii="楷体_GB2312" w:eastAsia="楷体_GB2312"/>
          <w:b/>
          <w:sz w:val="30"/>
          <w:szCs w:val="30"/>
        </w:rPr>
      </w:pPr>
      <w:r>
        <w:rPr>
          <w:rFonts w:hint="eastAsia" w:ascii="楷体_GB2312" w:eastAsia="楷体_GB2312"/>
          <w:b/>
          <w:sz w:val="30"/>
          <w:szCs w:val="30"/>
        </w:rPr>
        <w:t>（</w:t>
      </w:r>
      <w:r>
        <w:rPr>
          <w:rFonts w:hint="eastAsia" w:ascii="楷体_GB2312" w:eastAsia="楷体_GB2312"/>
          <w:b/>
          <w:sz w:val="30"/>
          <w:szCs w:val="30"/>
          <w:lang w:eastAsia="zh-CN"/>
        </w:rPr>
        <w:t>四</w:t>
      </w:r>
      <w:r>
        <w:rPr>
          <w:rFonts w:hint="eastAsia" w:ascii="楷体_GB2312" w:eastAsia="楷体_GB2312"/>
          <w:b/>
          <w:sz w:val="30"/>
          <w:szCs w:val="30"/>
        </w:rPr>
        <w:t>）加强政务公开教育培训</w:t>
      </w: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办公室组织全局政务公开的教育培训工作，主要包括相关法律法规的学习，省、市局关于政务公开工作的安排，以及全面推进政务公开工作任务分解表，根据区局实际，按照任务分解表开展实施。在提高干部政务公开意识的同时，也加强了干部对区局政务公开工作的了解，提高解读政策、回应关切的能力，在工作中时刻做到简政放权、放管结合、优化服务和转变工作职能的要求，全面梳理权责清单，清理规范权责事项，优化职权运行流程，明确标准规范。</w:t>
      </w:r>
    </w:p>
    <w:p>
      <w:pPr>
        <w:ind w:firstLine="600" w:firstLineChars="200"/>
        <w:jc w:val="left"/>
        <w:rPr>
          <w:rFonts w:ascii="仿宋_GB2312" w:eastAsia="仿宋_GB2312"/>
          <w:sz w:val="30"/>
          <w:szCs w:val="30"/>
        </w:rPr>
      </w:pPr>
    </w:p>
    <w:tbl>
      <w:tblPr>
        <w:tblStyle w:val="5"/>
        <w:tblW w:w="8670" w:type="dxa"/>
        <w:tblInd w:w="93" w:type="dxa"/>
        <w:tblLayout w:type="fixed"/>
        <w:tblCellMar>
          <w:top w:w="0" w:type="dxa"/>
          <w:left w:w="108" w:type="dxa"/>
          <w:bottom w:w="0" w:type="dxa"/>
          <w:right w:w="108" w:type="dxa"/>
        </w:tblCellMar>
      </w:tblPr>
      <w:tblGrid>
        <w:gridCol w:w="1589"/>
        <w:gridCol w:w="1589"/>
        <w:gridCol w:w="2174"/>
        <w:gridCol w:w="488"/>
        <w:gridCol w:w="876"/>
        <w:gridCol w:w="845"/>
        <w:gridCol w:w="1109"/>
      </w:tblGrid>
      <w:tr>
        <w:tblPrEx>
          <w:tblLayout w:type="fixed"/>
          <w:tblCellMar>
            <w:top w:w="0" w:type="dxa"/>
            <w:left w:w="108" w:type="dxa"/>
            <w:bottom w:w="0" w:type="dxa"/>
            <w:right w:w="108" w:type="dxa"/>
          </w:tblCellMar>
        </w:tblPrEx>
        <w:trPr>
          <w:trHeight w:val="375" w:hRule="atLeast"/>
        </w:trPr>
        <w:tc>
          <w:tcPr>
            <w:tcW w:w="1589" w:type="dxa"/>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附件1:</w:t>
            </w:r>
          </w:p>
        </w:tc>
        <w:tc>
          <w:tcPr>
            <w:tcW w:w="1589"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174"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488"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876"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845"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109"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624" w:hRule="atLeast"/>
        </w:trPr>
        <w:tc>
          <w:tcPr>
            <w:tcW w:w="8670" w:type="dxa"/>
            <w:gridSpan w:val="7"/>
            <w:vMerge w:val="restart"/>
            <w:tcBorders>
              <w:top w:val="nil"/>
              <w:left w:val="nil"/>
              <w:bottom w:val="nil"/>
              <w:right w:val="nil"/>
            </w:tcBorders>
            <w:shd w:val="clear" w:color="auto" w:fill="auto"/>
            <w:vAlign w:val="center"/>
          </w:tcPr>
          <w:p>
            <w:pPr>
              <w:widowControl/>
              <w:jc w:val="center"/>
              <w:rPr>
                <w:rFonts w:ascii="新宋体" w:hAnsi="新宋体" w:eastAsia="新宋体" w:cs="宋体"/>
                <w:b/>
                <w:bCs/>
                <w:kern w:val="0"/>
                <w:sz w:val="36"/>
                <w:szCs w:val="36"/>
              </w:rPr>
            </w:pPr>
            <w:r>
              <w:rPr>
                <w:rFonts w:hint="eastAsia" w:ascii="新宋体" w:hAnsi="新宋体" w:eastAsia="新宋体" w:cs="宋体"/>
                <w:b/>
                <w:bCs/>
                <w:kern w:val="0"/>
                <w:sz w:val="36"/>
                <w:szCs w:val="36"/>
              </w:rPr>
              <w:t>政府信息公开情况统计表</w:t>
            </w:r>
            <w:r>
              <w:rPr>
                <w:rFonts w:hint="eastAsia" w:ascii="新宋体" w:hAnsi="新宋体" w:eastAsia="新宋体" w:cs="宋体"/>
                <w:b/>
                <w:bCs/>
                <w:kern w:val="0"/>
                <w:sz w:val="36"/>
                <w:szCs w:val="36"/>
              </w:rPr>
              <w:br w:type="textWrapping"/>
            </w:r>
            <w:r>
              <w:rPr>
                <w:rFonts w:hint="eastAsia" w:ascii="新宋体" w:hAnsi="新宋体" w:eastAsia="新宋体" w:cs="宋体"/>
                <w:b/>
                <w:bCs/>
                <w:kern w:val="0"/>
                <w:sz w:val="36"/>
                <w:szCs w:val="36"/>
              </w:rPr>
              <w:t>( 2018年度)</w:t>
            </w:r>
          </w:p>
        </w:tc>
      </w:tr>
      <w:tr>
        <w:tblPrEx>
          <w:tblLayout w:type="fixed"/>
          <w:tblCellMar>
            <w:top w:w="0" w:type="dxa"/>
            <w:left w:w="108" w:type="dxa"/>
            <w:bottom w:w="0" w:type="dxa"/>
            <w:right w:w="108" w:type="dxa"/>
          </w:tblCellMar>
        </w:tblPrEx>
        <w:trPr>
          <w:trHeight w:val="642" w:hRule="atLeast"/>
        </w:trPr>
        <w:tc>
          <w:tcPr>
            <w:tcW w:w="8670" w:type="dxa"/>
            <w:gridSpan w:val="7"/>
            <w:vMerge w:val="continue"/>
            <w:tcBorders>
              <w:top w:val="nil"/>
              <w:left w:val="nil"/>
              <w:bottom w:val="nil"/>
              <w:right w:val="nil"/>
            </w:tcBorders>
            <w:vAlign w:val="center"/>
          </w:tcPr>
          <w:p>
            <w:pPr>
              <w:widowControl/>
              <w:jc w:val="left"/>
              <w:rPr>
                <w:rFonts w:ascii="新宋体" w:hAnsi="新宋体" w:eastAsia="新宋体" w:cs="宋体"/>
                <w:b/>
                <w:bCs/>
                <w:kern w:val="0"/>
                <w:sz w:val="36"/>
                <w:szCs w:val="36"/>
              </w:rPr>
            </w:pPr>
          </w:p>
        </w:tc>
      </w:tr>
      <w:tr>
        <w:tblPrEx>
          <w:tblLayout w:type="fixed"/>
          <w:tblCellMar>
            <w:top w:w="0" w:type="dxa"/>
            <w:left w:w="108" w:type="dxa"/>
            <w:bottom w:w="0" w:type="dxa"/>
            <w:right w:w="108" w:type="dxa"/>
          </w:tblCellMar>
        </w:tblPrEx>
        <w:trPr>
          <w:trHeight w:val="420" w:hRule="atLeast"/>
        </w:trPr>
        <w:tc>
          <w:tcPr>
            <w:tcW w:w="8670" w:type="dxa"/>
            <w:gridSpan w:val="7"/>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仿宋" w:hAnsi="仿宋" w:eastAsia="仿宋" w:cs="宋体"/>
                <w:kern w:val="0"/>
                <w:sz w:val="24"/>
              </w:rPr>
              <w:t>填报单位(盖章):武汉东湖新技术开发区税务局</w:t>
            </w:r>
          </w:p>
        </w:tc>
      </w:tr>
      <w:tr>
        <w:tblPrEx>
          <w:tblLayout w:type="fixed"/>
          <w:tblCellMar>
            <w:top w:w="0" w:type="dxa"/>
            <w:left w:w="108" w:type="dxa"/>
            <w:bottom w:w="0" w:type="dxa"/>
            <w:right w:w="108" w:type="dxa"/>
          </w:tblCellMar>
        </w:tblPrEx>
        <w:trPr>
          <w:trHeight w:val="420" w:hRule="atLeast"/>
        </w:trPr>
        <w:tc>
          <w:tcPr>
            <w:tcW w:w="5352" w:type="dxa"/>
            <w:gridSpan w:val="3"/>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统计指标</w:t>
            </w:r>
          </w:p>
        </w:tc>
        <w:tc>
          <w:tcPr>
            <w:tcW w:w="4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单位</w:t>
            </w:r>
          </w:p>
        </w:tc>
        <w:tc>
          <w:tcPr>
            <w:tcW w:w="28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统计数</w:t>
            </w:r>
          </w:p>
        </w:tc>
      </w:tr>
      <w:tr>
        <w:tblPrEx>
          <w:tblLayout w:type="fixed"/>
          <w:tblCellMar>
            <w:top w:w="0" w:type="dxa"/>
            <w:left w:w="108" w:type="dxa"/>
            <w:bottom w:w="0" w:type="dxa"/>
            <w:right w:w="108" w:type="dxa"/>
          </w:tblCellMar>
        </w:tblPrEx>
        <w:trPr>
          <w:trHeight w:val="570" w:hRule="atLeast"/>
        </w:trPr>
        <w:tc>
          <w:tcPr>
            <w:tcW w:w="5352" w:type="dxa"/>
            <w:gridSpan w:val="3"/>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宋体"/>
                <w:b/>
                <w:bCs/>
                <w:kern w:val="0"/>
                <w:sz w:val="24"/>
              </w:rPr>
            </w:pPr>
          </w:p>
        </w:tc>
        <w:tc>
          <w:tcPr>
            <w:tcW w:w="48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kern w:val="0"/>
                <w:sz w:val="24"/>
              </w:rPr>
            </w:pP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原国税局</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原地税局</w:t>
            </w:r>
          </w:p>
        </w:tc>
        <w:tc>
          <w:tcPr>
            <w:tcW w:w="11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合并后税务局</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一、主动公开情况</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r>
      <w:tr>
        <w:tblPrEx>
          <w:tblLayout w:type="fixed"/>
          <w:tblCellMar>
            <w:top w:w="0" w:type="dxa"/>
            <w:left w:w="108" w:type="dxa"/>
            <w:bottom w:w="0" w:type="dxa"/>
            <w:right w:w="108" w:type="dxa"/>
          </w:tblCellMar>
        </w:tblPrEx>
        <w:trPr>
          <w:trHeight w:val="624" w:hRule="atLeast"/>
        </w:trPr>
        <w:tc>
          <w:tcPr>
            <w:tcW w:w="535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(一)主动公开政府信息数</w:t>
            </w:r>
            <w:r>
              <w:rPr>
                <w:rFonts w:hint="eastAsia" w:ascii="仿宋" w:hAnsi="仿宋" w:eastAsia="仿宋" w:cs="宋体"/>
                <w:kern w:val="0"/>
                <w:sz w:val="24"/>
              </w:rPr>
              <w:br w:type="textWrapping"/>
            </w:r>
            <w:r>
              <w:rPr>
                <w:rFonts w:hint="eastAsia" w:ascii="仿宋" w:hAnsi="仿宋" w:eastAsia="仿宋" w:cs="宋体"/>
                <w:kern w:val="0"/>
                <w:sz w:val="24"/>
              </w:rPr>
              <w:t xml:space="preserve">        (不同渠道和方式公开相同信息计1条)</w:t>
            </w:r>
          </w:p>
        </w:tc>
        <w:tc>
          <w:tcPr>
            <w:tcW w:w="4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条</w:t>
            </w:r>
          </w:p>
        </w:tc>
        <w:tc>
          <w:tcPr>
            <w:tcW w:w="8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1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24" w:hRule="atLeast"/>
        </w:trPr>
        <w:tc>
          <w:tcPr>
            <w:tcW w:w="535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其中:主动公开规范性文件数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制发规范性文件总数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(二)通过不同渠道和方式公开政府信息的情况</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1.政府公报公开政府信息数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2.政府网站公开政府信息数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3.政务微博公开政府信息数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4.政务微信公开政府信息数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5.客户端公开政府信息数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6.其他方式公开政府信息数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二、回应解读情况</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r>
      <w:tr>
        <w:tblPrEx>
          <w:tblLayout w:type="fixed"/>
          <w:tblCellMar>
            <w:top w:w="0" w:type="dxa"/>
            <w:left w:w="108" w:type="dxa"/>
            <w:bottom w:w="0" w:type="dxa"/>
            <w:right w:w="108" w:type="dxa"/>
          </w:tblCellMar>
        </w:tblPrEx>
        <w:trPr>
          <w:trHeight w:val="624" w:hRule="atLeast"/>
        </w:trPr>
        <w:tc>
          <w:tcPr>
            <w:tcW w:w="535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(一)回应公众关注热点或重大舆情数</w:t>
            </w:r>
            <w:r>
              <w:rPr>
                <w:rFonts w:hint="eastAsia" w:ascii="仿宋" w:hAnsi="仿宋" w:eastAsia="仿宋" w:cs="宋体"/>
                <w:kern w:val="0"/>
                <w:sz w:val="24"/>
              </w:rPr>
              <w:br w:type="textWrapping"/>
            </w:r>
            <w:r>
              <w:rPr>
                <w:rFonts w:hint="eastAsia" w:ascii="仿宋" w:hAnsi="仿宋" w:eastAsia="仿宋" w:cs="宋体"/>
                <w:kern w:val="0"/>
                <w:sz w:val="24"/>
              </w:rPr>
              <w:t xml:space="preserve">       (不同方式回应同一热点或舆情计1次)</w:t>
            </w:r>
          </w:p>
        </w:tc>
        <w:tc>
          <w:tcPr>
            <w:tcW w:w="4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次</w:t>
            </w:r>
          </w:p>
        </w:tc>
        <w:tc>
          <w:tcPr>
            <w:tcW w:w="8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8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1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24" w:hRule="atLeast"/>
        </w:trPr>
        <w:tc>
          <w:tcPr>
            <w:tcW w:w="535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(二)通过不同渠道和方式回应解读的情况</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1.参加或举办新闻发布会总次数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其中:主要负责同志参加新闻发布会次数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2.政府网站在线访谈次数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其中:主要负责同志参加政府网站在线访谈次数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3.政策解读稿件发布数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篇</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4.微博微信回应事件数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5.其他方式回应事件数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其中:领导信箱回复办理数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人民网地方领导留言板回复数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网上调查数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民意征集数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热线电话接通数</w:t>
            </w:r>
            <w:r>
              <w:rPr>
                <w:rFonts w:hint="eastAsia" w:ascii="仿宋" w:hAnsi="仿宋" w:eastAsia="仿宋" w:cs="宋体"/>
                <w:color w:val="FF0000"/>
                <w:kern w:val="0"/>
                <w:sz w:val="24"/>
              </w:rPr>
              <w:t>（市局统一填写）</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通</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99"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三、依申请公开情况</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0</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(一)收到申请数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1.当面申请数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2.传真申请数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3.网络申请数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4.信函申请数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(二)申请办结数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1.按时办结数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2.延期办结数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(三)申请答复数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1.属于已主动公开范围数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2.同意公开答复数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3.同意部分公开答复数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4.不同意公开答复数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其中:涉及国家秘密</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涉及商业秘密</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涉及个人隐私</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危及国家安全、公共安全、经济安全和社会稳定</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不是《条例》所指政府信息</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法律法规规定的其他情形</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5.不属于本行政机关公开数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6.申请信息不存在数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7.告知作出更改补充数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8.告知通过其他途径办理数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四、行政复议数量</w:t>
            </w:r>
            <w:r>
              <w:rPr>
                <w:rFonts w:hint="eastAsia" w:ascii="微软雅黑" w:hAnsi="微软雅黑" w:eastAsia="微软雅黑" w:cs="宋体"/>
                <w:color w:val="FF0000"/>
                <w:kern w:val="0"/>
                <w:sz w:val="24"/>
              </w:rPr>
              <w:t>（涉及信息公开）</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(一)维持具体行政行为数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(二)被依法纠错数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(三)其他情形数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五、行政诉讼数量</w:t>
            </w:r>
            <w:r>
              <w:rPr>
                <w:rFonts w:hint="eastAsia" w:ascii="微软雅黑" w:hAnsi="微软雅黑" w:eastAsia="微软雅黑" w:cs="宋体"/>
                <w:color w:val="FF0000"/>
                <w:kern w:val="0"/>
                <w:sz w:val="24"/>
              </w:rPr>
              <w:t>（涉及信息公开）</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0</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(一)维持具体行政行为或者驳回原告诉讼请求数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(二)被依法纠错数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(三)其他情形数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六、举报投诉数量</w:t>
            </w:r>
            <w:r>
              <w:rPr>
                <w:rFonts w:hint="eastAsia" w:ascii="微软雅黑" w:hAnsi="微软雅黑" w:eastAsia="微软雅黑" w:cs="宋体"/>
                <w:color w:val="FF0000"/>
                <w:kern w:val="0"/>
                <w:sz w:val="24"/>
              </w:rPr>
              <w:t>（涉及信息公开）</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件</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463</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112</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242</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七、依申请公开信息收取的费用</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4"/>
              </w:rPr>
            </w:pPr>
            <w:r>
              <w:rPr>
                <w:rFonts w:hint="eastAsia" w:ascii="微软雅黑" w:hAnsi="微软雅黑" w:eastAsia="微软雅黑" w:cs="宋体"/>
                <w:kern w:val="0"/>
                <w:sz w:val="24"/>
              </w:rPr>
              <w:t>万元</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八、机构建设和保障经费情况</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(一)政府信息公开工作专门机构数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(二)设置政府信息公开查阅点数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(三)从事政府信息公开工作人员数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1.专职人员数(不包括政府公报及政府网站工作人员数)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2.兼职人员数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80"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(四)政府信息公开专项经费(不包括用于政府公报编辑管理及政府网站建设维护等方面的经费)</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万元</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4"/>
              </w:rPr>
            </w:pPr>
            <w:r>
              <w:rPr>
                <w:rFonts w:hint="eastAsia" w:ascii="微软雅黑" w:hAnsi="微软雅黑" w:eastAsia="微软雅黑" w:cs="宋体"/>
                <w:kern w:val="0"/>
                <w:sz w:val="24"/>
              </w:rPr>
              <w:t>九、政府信息公开会议和培训情况</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(一)召开政府信息公开工作会议或专题会议数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1</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1</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1</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(二)举办各类培训班数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1</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1</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1</w:t>
            </w:r>
          </w:p>
        </w:tc>
      </w:tr>
      <w:tr>
        <w:tblPrEx>
          <w:tblLayout w:type="fixed"/>
          <w:tblCellMar>
            <w:top w:w="0" w:type="dxa"/>
            <w:left w:w="108" w:type="dxa"/>
            <w:bottom w:w="0" w:type="dxa"/>
            <w:right w:w="108" w:type="dxa"/>
          </w:tblCellMar>
        </w:tblPrEx>
        <w:trPr>
          <w:trHeight w:val="462" w:hRule="atLeast"/>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    (三)接受培训人员数</w:t>
            </w:r>
          </w:p>
        </w:tc>
        <w:tc>
          <w:tcPr>
            <w:tcW w:w="4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人次</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40</w:t>
            </w:r>
          </w:p>
        </w:tc>
        <w:tc>
          <w:tcPr>
            <w:tcW w:w="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20</w:t>
            </w:r>
          </w:p>
        </w:tc>
        <w:tc>
          <w:tcPr>
            <w:tcW w:w="11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40</w:t>
            </w:r>
          </w:p>
        </w:tc>
      </w:tr>
      <w:tr>
        <w:tblPrEx>
          <w:tblLayout w:type="fixed"/>
          <w:tblCellMar>
            <w:top w:w="0" w:type="dxa"/>
            <w:left w:w="108" w:type="dxa"/>
            <w:bottom w:w="0" w:type="dxa"/>
            <w:right w:w="108" w:type="dxa"/>
          </w:tblCellMar>
        </w:tblPrEx>
        <w:trPr>
          <w:trHeight w:val="462" w:hRule="atLeast"/>
        </w:trPr>
        <w:tc>
          <w:tcPr>
            <w:tcW w:w="3178" w:type="dxa"/>
            <w:gridSpan w:val="2"/>
            <w:tcBorders>
              <w:top w:val="nil"/>
              <w:left w:val="nil"/>
              <w:bottom w:val="nil"/>
              <w:right w:val="nil"/>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单位负责人:郭立</w:t>
            </w:r>
          </w:p>
        </w:tc>
        <w:tc>
          <w:tcPr>
            <w:tcW w:w="2174" w:type="dxa"/>
            <w:tcBorders>
              <w:top w:val="nil"/>
              <w:left w:val="nil"/>
              <w:bottom w:val="nil"/>
              <w:right w:val="nil"/>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审核人:刘承鑫</w:t>
            </w:r>
          </w:p>
        </w:tc>
        <w:tc>
          <w:tcPr>
            <w:tcW w:w="1364" w:type="dxa"/>
            <w:gridSpan w:val="2"/>
            <w:tcBorders>
              <w:top w:val="nil"/>
              <w:left w:val="nil"/>
              <w:bottom w:val="nil"/>
              <w:right w:val="nil"/>
            </w:tcBorders>
            <w:shd w:val="clear" w:color="auto" w:fill="auto"/>
            <w:vAlign w:val="center"/>
          </w:tcPr>
          <w:p>
            <w:pPr>
              <w:widowControl/>
              <w:jc w:val="left"/>
              <w:rPr>
                <w:rFonts w:ascii="仿宋" w:hAnsi="仿宋" w:eastAsia="仿宋" w:cs="宋体"/>
                <w:kern w:val="0"/>
                <w:sz w:val="24"/>
              </w:rPr>
            </w:pPr>
          </w:p>
        </w:tc>
        <w:tc>
          <w:tcPr>
            <w:tcW w:w="845" w:type="dxa"/>
            <w:tcBorders>
              <w:top w:val="nil"/>
              <w:left w:val="nil"/>
              <w:bottom w:val="nil"/>
              <w:right w:val="nil"/>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填报人：</w:t>
            </w:r>
          </w:p>
        </w:tc>
        <w:tc>
          <w:tcPr>
            <w:tcW w:w="1109" w:type="dxa"/>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邓振华</w:t>
            </w:r>
          </w:p>
        </w:tc>
      </w:tr>
      <w:tr>
        <w:tblPrEx>
          <w:tblLayout w:type="fixed"/>
          <w:tblCellMar>
            <w:top w:w="0" w:type="dxa"/>
            <w:left w:w="108" w:type="dxa"/>
            <w:bottom w:w="0" w:type="dxa"/>
            <w:right w:w="108" w:type="dxa"/>
          </w:tblCellMar>
        </w:tblPrEx>
        <w:trPr>
          <w:trHeight w:val="675" w:hRule="atLeast"/>
        </w:trPr>
        <w:tc>
          <w:tcPr>
            <w:tcW w:w="5352" w:type="dxa"/>
            <w:gridSpan w:val="3"/>
            <w:tcBorders>
              <w:top w:val="nil"/>
              <w:left w:val="nil"/>
              <w:bottom w:val="nil"/>
              <w:right w:val="nil"/>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联系电话：027-67880209</w:t>
            </w:r>
          </w:p>
        </w:tc>
        <w:tc>
          <w:tcPr>
            <w:tcW w:w="1364" w:type="dxa"/>
            <w:gridSpan w:val="2"/>
            <w:tcBorders>
              <w:top w:val="nil"/>
              <w:left w:val="nil"/>
              <w:bottom w:val="nil"/>
              <w:right w:val="nil"/>
            </w:tcBorders>
            <w:shd w:val="clear" w:color="auto" w:fill="auto"/>
            <w:vAlign w:val="center"/>
          </w:tcPr>
          <w:p>
            <w:pPr>
              <w:widowControl/>
              <w:jc w:val="left"/>
              <w:rPr>
                <w:rFonts w:ascii="仿宋" w:hAnsi="仿宋" w:eastAsia="仿宋" w:cs="宋体"/>
                <w:kern w:val="0"/>
                <w:sz w:val="24"/>
              </w:rPr>
            </w:pPr>
          </w:p>
        </w:tc>
        <w:tc>
          <w:tcPr>
            <w:tcW w:w="1954" w:type="dxa"/>
            <w:gridSpan w:val="2"/>
            <w:tcBorders>
              <w:top w:val="nil"/>
              <w:left w:val="nil"/>
              <w:bottom w:val="nil"/>
              <w:right w:val="nil"/>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填报日期：2019年2月21日</w:t>
            </w:r>
          </w:p>
        </w:tc>
      </w:tr>
      <w:tr>
        <w:tblPrEx>
          <w:tblLayout w:type="fixed"/>
          <w:tblCellMar>
            <w:top w:w="0" w:type="dxa"/>
            <w:left w:w="108" w:type="dxa"/>
            <w:bottom w:w="0" w:type="dxa"/>
            <w:right w:w="108" w:type="dxa"/>
          </w:tblCellMar>
        </w:tblPrEx>
        <w:trPr>
          <w:trHeight w:val="1770" w:hRule="atLeast"/>
        </w:trPr>
        <w:tc>
          <w:tcPr>
            <w:tcW w:w="8670" w:type="dxa"/>
            <w:gridSpan w:val="7"/>
            <w:tcBorders>
              <w:top w:val="nil"/>
              <w:left w:val="nil"/>
              <w:bottom w:val="nil"/>
              <w:right w:val="nil"/>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备注:领导信箱回复办理数，是指回复办理政府门户网站或部门网站领导信箱群众来信的件数。人民网地方领导留言板回复数，是指公开回复人民网地方领导留言的条数，政府部门可不填报此项。网上调查数，是指通过政府门户网站或本部门网站举办的网上调查次数。民意征集数，是指通过政府门户网站或本部门网站征集民众意见建议的次数。热线电话接通数，是指接通应答已对外公布热线电话人民群众来电咨询的次数。</w:t>
            </w:r>
          </w:p>
        </w:tc>
      </w:tr>
    </w:tbl>
    <w:p>
      <w:pPr>
        <w:ind w:firstLine="2100" w:firstLineChars="700"/>
        <w:jc w:val="left"/>
        <w:rPr>
          <w:rFonts w:hint="eastAsia" w:ascii="仿宋_GB2312" w:eastAsia="仿宋_GB2312"/>
          <w:sz w:val="30"/>
          <w:szCs w:val="30"/>
          <w:lang w:eastAsia="zh-CN"/>
        </w:rPr>
      </w:pPr>
    </w:p>
    <w:p>
      <w:pPr>
        <w:ind w:firstLine="2100" w:firstLineChars="700"/>
        <w:jc w:val="left"/>
        <w:rPr>
          <w:rFonts w:hint="eastAsia" w:ascii="仿宋_GB2312" w:eastAsia="仿宋_GB2312"/>
          <w:sz w:val="30"/>
          <w:szCs w:val="30"/>
          <w:lang w:eastAsia="zh-CN"/>
        </w:rPr>
      </w:pPr>
    </w:p>
    <w:p>
      <w:pPr>
        <w:ind w:firstLine="2100" w:firstLineChars="700"/>
        <w:jc w:val="left"/>
        <w:rPr>
          <w:rFonts w:ascii="仿宋_GB2312" w:eastAsia="仿宋_GB2312"/>
          <w:sz w:val="30"/>
          <w:szCs w:val="30"/>
        </w:rPr>
      </w:pPr>
      <w:r>
        <w:rPr>
          <w:rFonts w:hint="eastAsia" w:ascii="仿宋_GB2312" w:eastAsia="仿宋_GB2312"/>
          <w:sz w:val="30"/>
          <w:szCs w:val="30"/>
          <w:lang w:eastAsia="zh-CN"/>
        </w:rPr>
        <w:t>国家税务总局</w:t>
      </w:r>
      <w:r>
        <w:rPr>
          <w:rFonts w:hint="eastAsia" w:ascii="仿宋_GB2312" w:eastAsia="仿宋_GB2312"/>
          <w:sz w:val="30"/>
          <w:szCs w:val="30"/>
        </w:rPr>
        <w:t>武汉东湖新技术开发区税务局</w:t>
      </w:r>
    </w:p>
    <w:p>
      <w:pPr>
        <w:ind w:firstLine="3450" w:firstLineChars="1150"/>
        <w:jc w:val="left"/>
        <w:rPr>
          <w:rFonts w:ascii="仿宋_GB2312" w:eastAsia="仿宋_GB2312"/>
          <w:sz w:val="30"/>
          <w:szCs w:val="30"/>
        </w:rPr>
      </w:pPr>
      <w:r>
        <w:rPr>
          <w:rFonts w:hint="eastAsia" w:ascii="仿宋_GB2312" w:eastAsia="仿宋_GB2312"/>
          <w:sz w:val="30"/>
          <w:szCs w:val="30"/>
        </w:rPr>
        <w:t xml:space="preserve">    2019年02月21日</w:t>
      </w:r>
    </w:p>
    <w:p>
      <w:pPr>
        <w:rPr>
          <w:sz w:val="30"/>
          <w:szCs w:val="30"/>
        </w:rPr>
      </w:pPr>
    </w:p>
    <w:p>
      <w:pPr>
        <w:rPr>
          <w:sz w:val="30"/>
          <w:szCs w:val="30"/>
        </w:rPr>
      </w:pPr>
    </w:p>
    <w:p>
      <w:pPr>
        <w:rPr>
          <w:sz w:val="30"/>
          <w:szCs w:val="30"/>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F2"/>
    <w:rsid w:val="00213CFD"/>
    <w:rsid w:val="00246BF2"/>
    <w:rsid w:val="009B4E42"/>
    <w:rsid w:val="009B67DA"/>
    <w:rsid w:val="00B104A7"/>
    <w:rsid w:val="00D76717"/>
    <w:rsid w:val="42EF1DFD"/>
    <w:rsid w:val="4EC02A4E"/>
    <w:rsid w:val="5AA0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semiHidden/>
    <w:uiPriority w:val="0"/>
    <w:rPr>
      <w:sz w:val="18"/>
      <w:szCs w:val="18"/>
    </w:rPr>
  </w:style>
  <w:style w:type="character" w:customStyle="1" w:styleId="7">
    <w:name w:val="页眉 Char"/>
    <w:basedOn w:val="4"/>
    <w:link w:val="3"/>
    <w:semiHidden/>
    <w:uiPriority w:val="0"/>
    <w:rPr>
      <w:sz w:val="18"/>
      <w:szCs w:val="18"/>
    </w:rPr>
  </w:style>
  <w:style w:type="paragraph" w:customStyle="1" w:styleId="8">
    <w:name w:val="普通(网站)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0"/>
    <w:pPr>
      <w:ind w:firstLine="420" w:firstLineChars="200"/>
    </w:pPr>
  </w:style>
  <w:style w:type="paragraph" w:customStyle="1" w:styleId="10">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DHGS</Company>
  <Pages>7</Pages>
  <Words>546</Words>
  <Characters>3117</Characters>
  <Lines>25</Lines>
  <Paragraphs>7</Paragraphs>
  <TotalTime>1</TotalTime>
  <ScaleCrop>false</ScaleCrop>
  <LinksUpToDate>false</LinksUpToDate>
  <CharactersWithSpaces>3656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2019-02-21T08:05:00Z</dcterms:created>
  <dc:creator>帅洁</dc:creator>
  <cp:lastModifiedBy>刘丹</cp:lastModifiedBy>
  <dcterms:modified xsi:type="dcterms:W3CDTF">2020-04-30T01:56:08Z</dcterms:modified>
  <dc:title>东湖区局2017年度政务公开工作情况报告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