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t>国家税务总局武汉东湖新技术开发区税务局</w:t>
      </w:r>
    </w:p>
    <w:p>
      <w:pPr>
        <w:jc w:val="center"/>
        <w:rPr>
          <w:rFonts w:ascii="方正小标宋简体" w:eastAsia="方正小标宋简体"/>
          <w:sz w:val="36"/>
          <w:szCs w:val="36"/>
        </w:rPr>
      </w:pPr>
      <w:r>
        <w:rPr>
          <w:rFonts w:hint="eastAsia" w:ascii="方正小标宋简体" w:eastAsia="方正小标宋简体"/>
          <w:sz w:val="36"/>
          <w:szCs w:val="36"/>
        </w:rPr>
        <w:t>201</w:t>
      </w:r>
      <w:r>
        <w:rPr>
          <w:rFonts w:hint="eastAsia" w:ascii="方正小标宋简体" w:eastAsia="方正小标宋简体"/>
          <w:sz w:val="36"/>
          <w:szCs w:val="36"/>
          <w:lang w:val="en-US" w:eastAsia="zh-CN"/>
        </w:rPr>
        <w:t>8</w:t>
      </w:r>
      <w:r>
        <w:rPr>
          <w:rFonts w:hint="eastAsia" w:ascii="方正小标宋简体" w:eastAsia="方正小标宋简体"/>
          <w:sz w:val="36"/>
          <w:szCs w:val="36"/>
        </w:rPr>
        <w:t>年政府信息公开年度报告</w:t>
      </w:r>
    </w:p>
    <w:p>
      <w:pPr>
        <w:ind w:firstLine="600" w:firstLineChars="200"/>
        <w:jc w:val="left"/>
        <w:rPr>
          <w:rFonts w:hint="eastAsia" w:ascii="仿宋_GB2312" w:eastAsia="仿宋_GB2312"/>
          <w:sz w:val="30"/>
          <w:szCs w:val="30"/>
        </w:rPr>
      </w:pPr>
    </w:p>
    <w:p>
      <w:pPr>
        <w:ind w:firstLine="600" w:firstLineChars="200"/>
        <w:jc w:val="left"/>
        <w:rPr>
          <w:rFonts w:ascii="黑体" w:eastAsia="黑体"/>
          <w:sz w:val="30"/>
          <w:szCs w:val="30"/>
        </w:rPr>
      </w:pPr>
      <w:r>
        <w:rPr>
          <w:rFonts w:hint="eastAsia" w:ascii="黑体" w:eastAsia="黑体"/>
          <w:sz w:val="30"/>
          <w:szCs w:val="30"/>
        </w:rPr>
        <w:t>一、建立科学的政务公开体系</w:t>
      </w:r>
    </w:p>
    <w:p>
      <w:pPr>
        <w:ind w:firstLine="600" w:firstLineChars="200"/>
        <w:jc w:val="left"/>
        <w:rPr>
          <w:rFonts w:ascii="仿宋_GB2312" w:eastAsia="仿宋_GB2312"/>
          <w:sz w:val="30"/>
          <w:szCs w:val="30"/>
        </w:rPr>
      </w:pPr>
      <w:r>
        <w:rPr>
          <w:rFonts w:hint="eastAsia" w:ascii="仿宋_GB2312" w:eastAsia="仿宋_GB2312"/>
          <w:sz w:val="30"/>
          <w:szCs w:val="30"/>
        </w:rPr>
        <w:t>区局党组高度重视并多次在局长办公会、局务会上部署政务公开工作，要求各部门应深刻认识到当前形势下进一步推进政务公开工作的重要性，要明确目标，划定职责并细化到个人，全面加强涉税信息公开工作，层层发动，形成人人参加、个个重视的氛围。会上，部门负责人均表态要坚决全面推进决策、执行、管理、服务、结果全过程公开，进一步加大办税透明度，让纳税人有“参与感”，保障其有知情、监督、申辩和表达的权利，塑造税务铁军形象，进一步提升公信力和公众认同感。</w:t>
      </w:r>
    </w:p>
    <w:p>
      <w:pPr>
        <w:ind w:firstLine="600" w:firstLineChars="200"/>
        <w:jc w:val="left"/>
        <w:rPr>
          <w:rFonts w:ascii="黑体" w:eastAsia="黑体"/>
          <w:sz w:val="30"/>
          <w:szCs w:val="30"/>
        </w:rPr>
      </w:pPr>
      <w:r>
        <w:rPr>
          <w:rFonts w:hint="eastAsia" w:ascii="黑体" w:eastAsia="黑体"/>
          <w:sz w:val="30"/>
          <w:szCs w:val="30"/>
        </w:rPr>
        <w:t>二、政务公开运行基本情况</w:t>
      </w:r>
    </w:p>
    <w:p>
      <w:pPr>
        <w:ind w:firstLine="602" w:firstLineChars="200"/>
        <w:jc w:val="left"/>
        <w:rPr>
          <w:rFonts w:ascii="楷体_GB2312" w:eastAsia="楷体_GB2312"/>
          <w:b/>
          <w:sz w:val="30"/>
          <w:szCs w:val="30"/>
        </w:rPr>
      </w:pPr>
      <w:r>
        <w:rPr>
          <w:rFonts w:hint="eastAsia" w:ascii="楷体_GB2312" w:eastAsia="楷体_GB2312"/>
          <w:b/>
          <w:sz w:val="30"/>
          <w:szCs w:val="30"/>
        </w:rPr>
        <w:t>（一）加大行政权利公开力度</w:t>
      </w:r>
    </w:p>
    <w:p>
      <w:pPr>
        <w:ind w:firstLine="596" w:firstLineChars="198"/>
        <w:jc w:val="left"/>
        <w:rPr>
          <w:rFonts w:ascii="仿宋_GB2312" w:eastAsia="仿宋_GB2312"/>
          <w:sz w:val="30"/>
          <w:szCs w:val="30"/>
        </w:rPr>
      </w:pPr>
      <w:r>
        <w:rPr>
          <w:rFonts w:hint="eastAsia" w:ascii="仿宋_GB2312" w:eastAsia="仿宋_GB2312"/>
          <w:b/>
          <w:sz w:val="30"/>
          <w:szCs w:val="30"/>
        </w:rPr>
        <w:t>1.及时公布权力清单</w:t>
      </w:r>
      <w:r>
        <w:rPr>
          <w:rFonts w:hint="eastAsia" w:ascii="仿宋_GB2312" w:eastAsia="仿宋_GB2312"/>
          <w:sz w:val="30"/>
          <w:szCs w:val="30"/>
        </w:rPr>
        <w:t>。政策法规科对全局涉税行政权力实施专项清理,制作公布行政权力清单和权力运行流程图,依据清单调整权力事项,充分保障税收执法相对人权利。严格依照清单上的权力依据、流程、标准和时限执行,规范自由裁量权,切实加强事中和事后监督,确保实现“行政权力进清单、清单之外无权力”。</w:t>
      </w:r>
    </w:p>
    <w:p>
      <w:pPr>
        <w:ind w:firstLine="602" w:firstLineChars="200"/>
        <w:jc w:val="left"/>
        <w:rPr>
          <w:rFonts w:ascii="仿宋_GB2312" w:eastAsia="仿宋_GB2312"/>
          <w:b/>
          <w:sz w:val="30"/>
          <w:szCs w:val="30"/>
        </w:rPr>
      </w:pPr>
      <w:r>
        <w:rPr>
          <w:rFonts w:hint="eastAsia" w:ascii="仿宋_GB2312" w:eastAsia="仿宋_GB2312"/>
          <w:b/>
          <w:sz w:val="30"/>
          <w:szCs w:val="30"/>
        </w:rPr>
        <w:t>2.推行行政许可与一般处罚公开</w:t>
      </w:r>
    </w:p>
    <w:p>
      <w:pPr>
        <w:ind w:firstLine="600" w:firstLineChars="200"/>
        <w:jc w:val="left"/>
        <w:rPr>
          <w:rFonts w:ascii="仿宋_GB2312" w:eastAsia="仿宋_GB2312"/>
          <w:sz w:val="30"/>
          <w:szCs w:val="30"/>
        </w:rPr>
      </w:pPr>
      <w:r>
        <w:rPr>
          <w:rFonts w:hint="eastAsia" w:ascii="仿宋_GB2312" w:eastAsia="仿宋_GB2312"/>
          <w:sz w:val="30"/>
          <w:szCs w:val="30"/>
        </w:rPr>
        <w:t>区局将税务行政许可的事项、依据、条件、数量、程序、期限以及需要提交的全部材料的目录、申请书示范文本和服务指南等在办税服务厅以</w:t>
      </w:r>
      <w:bookmarkStart w:id="0" w:name="_GoBack"/>
      <w:bookmarkEnd w:id="0"/>
      <w:r>
        <w:rPr>
          <w:rFonts w:hint="eastAsia" w:ascii="仿宋_GB2312" w:eastAsia="仿宋_GB2312"/>
          <w:sz w:val="30"/>
          <w:szCs w:val="30"/>
        </w:rPr>
        <w:t>展板、公告栏、大屏幕LED、市局外网予以公示，以上行政许可和一般处罚情况均在区局办税服务厅公示完毕。</w:t>
      </w:r>
    </w:p>
    <w:p>
      <w:pPr>
        <w:ind w:firstLine="602" w:firstLineChars="200"/>
        <w:jc w:val="left"/>
        <w:rPr>
          <w:rFonts w:ascii="楷体_GB2312" w:eastAsia="楷体_GB2312"/>
          <w:b/>
          <w:sz w:val="30"/>
          <w:szCs w:val="30"/>
        </w:rPr>
      </w:pPr>
      <w:r>
        <w:rPr>
          <w:rFonts w:hint="eastAsia" w:ascii="楷体_GB2312" w:eastAsia="楷体_GB2312"/>
          <w:b/>
          <w:sz w:val="30"/>
          <w:szCs w:val="30"/>
        </w:rPr>
        <w:t>（二）税收政策法规及政策落实公开</w:t>
      </w:r>
    </w:p>
    <w:p>
      <w:pPr>
        <w:ind w:firstLine="602" w:firstLineChars="200"/>
        <w:jc w:val="left"/>
        <w:rPr>
          <w:rFonts w:ascii="仿宋_GB2312" w:eastAsia="仿宋_GB2312"/>
          <w:b/>
          <w:sz w:val="30"/>
          <w:szCs w:val="30"/>
        </w:rPr>
      </w:pPr>
      <w:r>
        <w:rPr>
          <w:rFonts w:hint="eastAsia" w:ascii="仿宋_GB2312" w:eastAsia="仿宋_GB2312"/>
          <w:b/>
          <w:sz w:val="30"/>
          <w:szCs w:val="30"/>
        </w:rPr>
        <w:t>1.大力宣传税收政策。</w:t>
      </w:r>
      <w:r>
        <w:rPr>
          <w:rFonts w:hint="eastAsia" w:ascii="仿宋_GB2312" w:eastAsia="仿宋_GB2312"/>
          <w:sz w:val="30"/>
          <w:szCs w:val="30"/>
        </w:rPr>
        <w:t>一是政策公开。政策法规、纳税服务等部门配合办税大厅将增值税小微企业优惠政策、企业所得税优惠政策及营改增最新政策等最新的税收政策及解读打印公布到公开栏并及时更新、维护；二是加强公开、宣传力度。利用外部网站、微信、税企QQ群、大厅电子屏幕等渠道对广大纳税人进行政策宣传，发布信息和政策解读；三是组织培训集中反馈。组织开展纳税人专项培训，对政策进行深度讲解，及时回应纳税人关注的税收问题；四是确保落实到底。比对纳税人申报情况，了解企业税负情况，确保纳税人切实享受税收红利。</w:t>
      </w:r>
    </w:p>
    <w:p>
      <w:pPr>
        <w:ind w:firstLine="602" w:firstLineChars="200"/>
        <w:rPr>
          <w:rFonts w:ascii="仿宋_GB2312" w:eastAsia="仿宋_GB2312"/>
          <w:sz w:val="30"/>
          <w:szCs w:val="30"/>
        </w:rPr>
      </w:pPr>
      <w:r>
        <w:rPr>
          <w:rFonts w:hint="eastAsia" w:ascii="仿宋_GB2312" w:eastAsia="仿宋_GB2312"/>
          <w:b/>
          <w:sz w:val="30"/>
          <w:szCs w:val="30"/>
        </w:rPr>
        <w:t>2.规范税收政策解读。</w:t>
      </w:r>
      <w:r>
        <w:rPr>
          <w:rFonts w:hint="eastAsia" w:ascii="仿宋_GB2312" w:eastAsia="仿宋_GB2312"/>
          <w:sz w:val="30"/>
          <w:szCs w:val="30"/>
        </w:rPr>
        <w:t>认真落实税收规范性文件和解读稿同步起草、同步审批、同步发布的“三同步”要求，依法依规、及时准确发布权威信息，全面深入介绍税收政策背景、主要内容、落实措施及工作进展。充分发挥官方网站、政务微信、手机客户端等新媒体的主动推送功能，提高政策知晓度和传播率。善于运用新媒体，发布信息和解读政策，在斗鱼直播间组织了14场在线政策解读和现场答疑等，高峰观看人数达5万人，总观看数量大10万余人次，打造出财税政策培训解读光谷品牌，不断提高纳税人获得感。</w:t>
      </w:r>
    </w:p>
    <w:p>
      <w:pPr>
        <w:ind w:firstLine="602" w:firstLineChars="200"/>
        <w:jc w:val="left"/>
        <w:rPr>
          <w:rFonts w:ascii="仿宋_GB2312" w:eastAsia="仿宋_GB2312"/>
          <w:b/>
          <w:sz w:val="30"/>
          <w:szCs w:val="30"/>
        </w:rPr>
      </w:pPr>
      <w:r>
        <w:rPr>
          <w:rFonts w:hint="eastAsia" w:ascii="仿宋_GB2312" w:eastAsia="仿宋_GB2312"/>
          <w:b/>
          <w:sz w:val="30"/>
          <w:szCs w:val="30"/>
        </w:rPr>
        <w:t>3.税收政策落实情况。</w:t>
      </w:r>
      <w:r>
        <w:rPr>
          <w:rFonts w:hint="eastAsia" w:ascii="仿宋_GB2312" w:eastAsia="仿宋_GB2312"/>
          <w:sz w:val="30"/>
          <w:szCs w:val="30"/>
        </w:rPr>
        <w:t>区局全体税务干部凝心聚力，真抓实干，全力落实好今年《政府工作报告》中部署的各项税收工作任务，一如既往地深化税收改革、优化纳税服务、落实各项税收优惠政策，努力把各项税收工作做得更扎实，努力为广大企业服好务，为地区经济社会发展服好务。</w:t>
      </w:r>
    </w:p>
    <w:p>
      <w:pPr>
        <w:ind w:firstLine="602" w:firstLineChars="200"/>
        <w:jc w:val="left"/>
        <w:rPr>
          <w:rFonts w:ascii="楷体_GB2312" w:eastAsia="楷体_GB2312"/>
          <w:b/>
          <w:sz w:val="30"/>
          <w:szCs w:val="30"/>
        </w:rPr>
      </w:pPr>
      <w:r>
        <w:rPr>
          <w:rFonts w:hint="eastAsia" w:ascii="楷体_GB2312" w:eastAsia="楷体_GB2312"/>
          <w:b/>
          <w:sz w:val="30"/>
          <w:szCs w:val="30"/>
        </w:rPr>
        <w:t>（三）推进征管改革及税收执法公开</w:t>
      </w:r>
    </w:p>
    <w:p>
      <w:pPr>
        <w:autoSpaceDE w:val="0"/>
        <w:autoSpaceDN w:val="0"/>
        <w:adjustRightInd w:val="0"/>
        <w:ind w:firstLine="600" w:firstLineChars="200"/>
        <w:jc w:val="left"/>
        <w:rPr>
          <w:rFonts w:ascii="仿宋_GB2312" w:eastAsia="仿宋_GB2312"/>
          <w:sz w:val="30"/>
          <w:szCs w:val="30"/>
        </w:rPr>
      </w:pPr>
      <w:r>
        <w:rPr>
          <w:rFonts w:hint="eastAsia" w:ascii="仿宋_GB2312" w:eastAsia="仿宋_GB2312"/>
          <w:sz w:val="30"/>
          <w:szCs w:val="30"/>
        </w:rPr>
        <w:t>加快征管改革的进程，不断修订改革方案。进一步拓展国地税联办业务，实行纳税人分级管理，主动公开信用A级纳税人名单及相关信息，及时在市局外网及区局办税服务厅屏幕上发布欠税公告、非正常户公告、个体工商户定额公示（公布）公告、税务登记证件失效公告、限期申报公告、限期纳税公告、委托代征公告等。</w:t>
      </w:r>
    </w:p>
    <w:p>
      <w:pPr>
        <w:ind w:firstLine="600" w:firstLineChars="200"/>
        <w:jc w:val="left"/>
        <w:rPr>
          <w:rFonts w:ascii="仿宋_GB2312" w:eastAsia="仿宋_GB2312"/>
          <w:sz w:val="30"/>
          <w:szCs w:val="30"/>
        </w:rPr>
      </w:pPr>
      <w:r>
        <w:rPr>
          <w:rFonts w:hint="eastAsia" w:ascii="仿宋_GB2312" w:eastAsia="仿宋_GB2312"/>
          <w:sz w:val="30"/>
          <w:szCs w:val="30"/>
        </w:rPr>
        <w:t>同时，推行行政执法公示制度，依法及时主动向社会公开有关税收执法信息，税务干部在下户核查严格实行双人下户，在执法过程中主动表明身份，接受社会监督。在行政许可、处罚、回证</w:t>
      </w:r>
    </w:p>
    <w:p>
      <w:pPr>
        <w:ind w:firstLine="602" w:firstLineChars="200"/>
        <w:jc w:val="left"/>
        <w:rPr>
          <w:rFonts w:ascii="楷体_GB2312" w:eastAsia="楷体_GB2312"/>
          <w:b/>
          <w:sz w:val="30"/>
          <w:szCs w:val="30"/>
        </w:rPr>
      </w:pPr>
      <w:r>
        <w:rPr>
          <w:rFonts w:hint="eastAsia" w:ascii="楷体_GB2312" w:eastAsia="楷体_GB2312"/>
          <w:b/>
          <w:sz w:val="30"/>
          <w:szCs w:val="30"/>
        </w:rPr>
        <w:t>（</w:t>
      </w:r>
      <w:r>
        <w:rPr>
          <w:rFonts w:hint="eastAsia" w:ascii="楷体_GB2312" w:eastAsia="楷体_GB2312"/>
          <w:b/>
          <w:sz w:val="30"/>
          <w:szCs w:val="30"/>
          <w:lang w:eastAsia="zh-CN"/>
        </w:rPr>
        <w:t>四</w:t>
      </w:r>
      <w:r>
        <w:rPr>
          <w:rFonts w:hint="eastAsia" w:ascii="楷体_GB2312" w:eastAsia="楷体_GB2312"/>
          <w:b/>
          <w:sz w:val="30"/>
          <w:szCs w:val="30"/>
        </w:rPr>
        <w:t>）加强政务公开教育培训</w:t>
      </w:r>
    </w:p>
    <w:p>
      <w:pPr>
        <w:spacing w:line="560" w:lineRule="exact"/>
        <w:ind w:firstLine="600" w:firstLineChars="200"/>
        <w:jc w:val="left"/>
        <w:rPr>
          <w:rFonts w:ascii="仿宋_GB2312" w:eastAsia="仿宋_GB2312"/>
          <w:sz w:val="30"/>
          <w:szCs w:val="30"/>
        </w:rPr>
      </w:pPr>
      <w:r>
        <w:rPr>
          <w:rFonts w:hint="eastAsia" w:ascii="仿宋_GB2312" w:eastAsia="仿宋_GB2312"/>
          <w:sz w:val="30"/>
          <w:szCs w:val="30"/>
        </w:rPr>
        <w:t>办公室组织全局政务公开的教育培训工作，主要包括相关法律法规的学习，省、市局关于政务公开工作的安排，以及全面推进政务公开工作任务分解表，根据区局实际，按照任务分解表开展实施。在提高干部政务公开意识的同时，也加强了干部对区局政务公开工作的了解，提高解读政策、回应关切的能力，在工作中时刻做到简政放权、放管结合、优化服务和转变工作职能的要求，全面梳理权责清单，清理规范权责事项，优化职权运行流程，明确标准规范。</w:t>
      </w:r>
    </w:p>
    <w:p>
      <w:pPr>
        <w:ind w:firstLine="600" w:firstLineChars="200"/>
        <w:jc w:val="left"/>
        <w:rPr>
          <w:rFonts w:ascii="仿宋_GB2312" w:eastAsia="仿宋_GB2312"/>
          <w:sz w:val="30"/>
          <w:szCs w:val="30"/>
        </w:rPr>
      </w:pPr>
    </w:p>
    <w:tbl>
      <w:tblPr>
        <w:tblStyle w:val="5"/>
        <w:tblW w:w="8670" w:type="dxa"/>
        <w:tblInd w:w="93" w:type="dxa"/>
        <w:tblLayout w:type="fixed"/>
        <w:tblCellMar>
          <w:top w:w="0" w:type="dxa"/>
          <w:left w:w="108" w:type="dxa"/>
          <w:bottom w:w="0" w:type="dxa"/>
          <w:right w:w="108" w:type="dxa"/>
        </w:tblCellMar>
      </w:tblPr>
      <w:tblGrid>
        <w:gridCol w:w="1589"/>
        <w:gridCol w:w="1589"/>
        <w:gridCol w:w="2174"/>
        <w:gridCol w:w="488"/>
        <w:gridCol w:w="876"/>
        <w:gridCol w:w="845"/>
        <w:gridCol w:w="1109"/>
      </w:tblGrid>
      <w:tr>
        <w:tblPrEx>
          <w:tblLayout w:type="fixed"/>
          <w:tblCellMar>
            <w:top w:w="0" w:type="dxa"/>
            <w:left w:w="108" w:type="dxa"/>
            <w:bottom w:w="0" w:type="dxa"/>
            <w:right w:w="108" w:type="dxa"/>
          </w:tblCellMar>
        </w:tblPrEx>
        <w:trPr>
          <w:trHeight w:val="375" w:hRule="atLeast"/>
        </w:trPr>
        <w:tc>
          <w:tcPr>
            <w:tcW w:w="1589" w:type="dxa"/>
            <w:tcBorders>
              <w:top w:val="nil"/>
              <w:left w:val="nil"/>
              <w:bottom w:val="nil"/>
              <w:right w:val="nil"/>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附件1:</w:t>
            </w:r>
          </w:p>
        </w:tc>
        <w:tc>
          <w:tcPr>
            <w:tcW w:w="1589"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174"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488"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876"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845"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109"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624" w:hRule="atLeast"/>
        </w:trPr>
        <w:tc>
          <w:tcPr>
            <w:tcW w:w="8670" w:type="dxa"/>
            <w:gridSpan w:val="7"/>
            <w:vMerge w:val="restart"/>
            <w:tcBorders>
              <w:top w:val="nil"/>
              <w:left w:val="nil"/>
              <w:bottom w:val="nil"/>
              <w:right w:val="nil"/>
            </w:tcBorders>
            <w:shd w:val="clear" w:color="auto" w:fill="auto"/>
            <w:vAlign w:val="center"/>
          </w:tcPr>
          <w:p>
            <w:pPr>
              <w:widowControl/>
              <w:jc w:val="center"/>
              <w:rPr>
                <w:rFonts w:ascii="新宋体" w:hAnsi="新宋体" w:eastAsia="新宋体" w:cs="宋体"/>
                <w:b/>
                <w:bCs/>
                <w:kern w:val="0"/>
                <w:sz w:val="36"/>
                <w:szCs w:val="36"/>
              </w:rPr>
            </w:pPr>
            <w:r>
              <w:rPr>
                <w:rFonts w:hint="eastAsia" w:ascii="新宋体" w:hAnsi="新宋体" w:eastAsia="新宋体" w:cs="宋体"/>
                <w:b/>
                <w:bCs/>
                <w:kern w:val="0"/>
                <w:sz w:val="36"/>
                <w:szCs w:val="36"/>
              </w:rPr>
              <w:t>政府信息公开情况统计表</w:t>
            </w:r>
            <w:r>
              <w:rPr>
                <w:rFonts w:hint="eastAsia" w:ascii="新宋体" w:hAnsi="新宋体" w:eastAsia="新宋体" w:cs="宋体"/>
                <w:b/>
                <w:bCs/>
                <w:kern w:val="0"/>
                <w:sz w:val="36"/>
                <w:szCs w:val="36"/>
              </w:rPr>
              <w:br w:type="textWrapping"/>
            </w:r>
            <w:r>
              <w:rPr>
                <w:rFonts w:hint="eastAsia" w:ascii="新宋体" w:hAnsi="新宋体" w:eastAsia="新宋体" w:cs="宋体"/>
                <w:b/>
                <w:bCs/>
                <w:kern w:val="0"/>
                <w:sz w:val="36"/>
                <w:szCs w:val="36"/>
              </w:rPr>
              <w:t>( 2018年度)</w:t>
            </w:r>
          </w:p>
        </w:tc>
      </w:tr>
      <w:tr>
        <w:tblPrEx>
          <w:tblLayout w:type="fixed"/>
          <w:tblCellMar>
            <w:top w:w="0" w:type="dxa"/>
            <w:left w:w="108" w:type="dxa"/>
            <w:bottom w:w="0" w:type="dxa"/>
            <w:right w:w="108" w:type="dxa"/>
          </w:tblCellMar>
        </w:tblPrEx>
        <w:trPr>
          <w:trHeight w:val="642" w:hRule="atLeast"/>
        </w:trPr>
        <w:tc>
          <w:tcPr>
            <w:tcW w:w="8670" w:type="dxa"/>
            <w:gridSpan w:val="7"/>
            <w:vMerge w:val="continue"/>
            <w:tcBorders>
              <w:top w:val="nil"/>
              <w:left w:val="nil"/>
              <w:bottom w:val="nil"/>
              <w:right w:val="nil"/>
            </w:tcBorders>
            <w:vAlign w:val="center"/>
          </w:tcPr>
          <w:p>
            <w:pPr>
              <w:widowControl/>
              <w:jc w:val="left"/>
              <w:rPr>
                <w:rFonts w:ascii="新宋体" w:hAnsi="新宋体" w:eastAsia="新宋体" w:cs="宋体"/>
                <w:b/>
                <w:bCs/>
                <w:kern w:val="0"/>
                <w:sz w:val="36"/>
                <w:szCs w:val="36"/>
              </w:rPr>
            </w:pPr>
          </w:p>
        </w:tc>
      </w:tr>
      <w:tr>
        <w:tblPrEx>
          <w:tblLayout w:type="fixed"/>
          <w:tblCellMar>
            <w:top w:w="0" w:type="dxa"/>
            <w:left w:w="108" w:type="dxa"/>
            <w:bottom w:w="0" w:type="dxa"/>
            <w:right w:w="108" w:type="dxa"/>
          </w:tblCellMar>
        </w:tblPrEx>
        <w:trPr>
          <w:trHeight w:val="420" w:hRule="atLeast"/>
        </w:trPr>
        <w:tc>
          <w:tcPr>
            <w:tcW w:w="8670" w:type="dxa"/>
            <w:gridSpan w:val="7"/>
            <w:tcBorders>
              <w:top w:val="nil"/>
              <w:left w:val="nil"/>
              <w:bottom w:val="nil"/>
              <w:right w:val="nil"/>
            </w:tcBorders>
            <w:shd w:val="clear" w:color="auto" w:fill="auto"/>
            <w:vAlign w:val="center"/>
          </w:tcPr>
          <w:p>
            <w:pPr>
              <w:widowControl/>
              <w:jc w:val="left"/>
              <w:rPr>
                <w:rFonts w:ascii="宋体" w:hAnsi="宋体" w:cs="宋体"/>
                <w:kern w:val="0"/>
                <w:sz w:val="24"/>
              </w:rPr>
            </w:pPr>
            <w:r>
              <w:rPr>
                <w:rFonts w:hint="eastAsia" w:ascii="仿宋" w:hAnsi="仿宋" w:eastAsia="仿宋" w:cs="宋体"/>
                <w:kern w:val="0"/>
                <w:sz w:val="24"/>
              </w:rPr>
              <w:t>填报单位(盖章):武汉东湖新技术开发区税务局</w:t>
            </w:r>
          </w:p>
        </w:tc>
      </w:tr>
      <w:tr>
        <w:tblPrEx>
          <w:tblLayout w:type="fixed"/>
          <w:tblCellMar>
            <w:top w:w="0" w:type="dxa"/>
            <w:left w:w="108" w:type="dxa"/>
            <w:bottom w:w="0" w:type="dxa"/>
            <w:right w:w="108" w:type="dxa"/>
          </w:tblCellMar>
        </w:tblPrEx>
        <w:trPr>
          <w:trHeight w:val="420" w:hRule="atLeast"/>
        </w:trPr>
        <w:tc>
          <w:tcPr>
            <w:tcW w:w="5352" w:type="dxa"/>
            <w:gridSpan w:val="3"/>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统计指标</w:t>
            </w:r>
          </w:p>
        </w:tc>
        <w:tc>
          <w:tcPr>
            <w:tcW w:w="48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单位</w:t>
            </w:r>
          </w:p>
        </w:tc>
        <w:tc>
          <w:tcPr>
            <w:tcW w:w="283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统计数</w:t>
            </w:r>
          </w:p>
        </w:tc>
      </w:tr>
      <w:tr>
        <w:tblPrEx>
          <w:tblLayout w:type="fixed"/>
          <w:tblCellMar>
            <w:top w:w="0" w:type="dxa"/>
            <w:left w:w="108" w:type="dxa"/>
            <w:bottom w:w="0" w:type="dxa"/>
            <w:right w:w="108" w:type="dxa"/>
          </w:tblCellMar>
        </w:tblPrEx>
        <w:trPr>
          <w:trHeight w:val="570" w:hRule="atLeast"/>
        </w:trPr>
        <w:tc>
          <w:tcPr>
            <w:tcW w:w="5352" w:type="dxa"/>
            <w:gridSpan w:val="3"/>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宋体"/>
                <w:b/>
                <w:bCs/>
                <w:kern w:val="0"/>
                <w:sz w:val="24"/>
              </w:rPr>
            </w:pPr>
          </w:p>
        </w:tc>
        <w:tc>
          <w:tcPr>
            <w:tcW w:w="488"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bCs/>
                <w:kern w:val="0"/>
                <w:sz w:val="24"/>
              </w:rPr>
            </w:pP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原国税局</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原地税局</w:t>
            </w:r>
          </w:p>
        </w:tc>
        <w:tc>
          <w:tcPr>
            <w:tcW w:w="1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合并后税务局</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24"/>
              </w:rPr>
            </w:pPr>
            <w:r>
              <w:rPr>
                <w:rFonts w:hint="eastAsia" w:ascii="微软雅黑" w:hAnsi="微软雅黑" w:eastAsia="微软雅黑" w:cs="宋体"/>
                <w:kern w:val="0"/>
                <w:sz w:val="24"/>
              </w:rPr>
              <w:t>一、主动公开情况</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0</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0</w:t>
            </w:r>
          </w:p>
        </w:tc>
      </w:tr>
      <w:tr>
        <w:tblPrEx>
          <w:tblLayout w:type="fixed"/>
          <w:tblCellMar>
            <w:top w:w="0" w:type="dxa"/>
            <w:left w:w="108" w:type="dxa"/>
            <w:bottom w:w="0" w:type="dxa"/>
            <w:right w:w="108" w:type="dxa"/>
          </w:tblCellMar>
        </w:tblPrEx>
        <w:trPr>
          <w:trHeight w:val="624" w:hRule="atLeast"/>
        </w:trPr>
        <w:tc>
          <w:tcPr>
            <w:tcW w:w="5352"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(一)主动公开政府信息数</w:t>
            </w:r>
            <w:r>
              <w:rPr>
                <w:rFonts w:hint="eastAsia" w:ascii="仿宋" w:hAnsi="仿宋" w:eastAsia="仿宋" w:cs="宋体"/>
                <w:kern w:val="0"/>
                <w:sz w:val="24"/>
              </w:rPr>
              <w:br w:type="textWrapping"/>
            </w:r>
            <w:r>
              <w:rPr>
                <w:rFonts w:hint="eastAsia" w:ascii="仿宋" w:hAnsi="仿宋" w:eastAsia="仿宋" w:cs="宋体"/>
                <w:kern w:val="0"/>
                <w:sz w:val="24"/>
              </w:rPr>
              <w:t xml:space="preserve">        (不同渠道和方式公开相同信息计1条)</w:t>
            </w:r>
          </w:p>
        </w:tc>
        <w:tc>
          <w:tcPr>
            <w:tcW w:w="4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条</w:t>
            </w:r>
          </w:p>
        </w:tc>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24" w:hRule="atLeast"/>
        </w:trPr>
        <w:tc>
          <w:tcPr>
            <w:tcW w:w="535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48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1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其中:主动公开规范性文件数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条</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  制发规范性文件总数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(二)通过不同渠道和方式公开政府信息的情况</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1.政府公报公开政府信息数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条</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2.政府网站公开政府信息数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条</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3.政务微博公开政府信息数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条</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4.政务微信公开政府信息数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条</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5.客户端公开政府信息数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条</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6.其他方式公开政府信息数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条</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24"/>
              </w:rPr>
            </w:pPr>
            <w:r>
              <w:rPr>
                <w:rFonts w:hint="eastAsia" w:ascii="微软雅黑" w:hAnsi="微软雅黑" w:eastAsia="微软雅黑" w:cs="宋体"/>
                <w:kern w:val="0"/>
                <w:sz w:val="24"/>
              </w:rPr>
              <w:t>二、回应解读情况</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0</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0</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0</w:t>
            </w:r>
          </w:p>
        </w:tc>
      </w:tr>
      <w:tr>
        <w:tblPrEx>
          <w:tblLayout w:type="fixed"/>
          <w:tblCellMar>
            <w:top w:w="0" w:type="dxa"/>
            <w:left w:w="108" w:type="dxa"/>
            <w:bottom w:w="0" w:type="dxa"/>
            <w:right w:w="108" w:type="dxa"/>
          </w:tblCellMar>
        </w:tblPrEx>
        <w:trPr>
          <w:trHeight w:val="624" w:hRule="atLeast"/>
        </w:trPr>
        <w:tc>
          <w:tcPr>
            <w:tcW w:w="5352"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(一)回应公众关注热点或重大舆情数</w:t>
            </w:r>
            <w:r>
              <w:rPr>
                <w:rFonts w:hint="eastAsia" w:ascii="仿宋" w:hAnsi="仿宋" w:eastAsia="仿宋" w:cs="宋体"/>
                <w:kern w:val="0"/>
                <w:sz w:val="24"/>
              </w:rPr>
              <w:br w:type="textWrapping"/>
            </w:r>
            <w:r>
              <w:rPr>
                <w:rFonts w:hint="eastAsia" w:ascii="仿宋" w:hAnsi="仿宋" w:eastAsia="仿宋" w:cs="宋体"/>
                <w:kern w:val="0"/>
                <w:sz w:val="24"/>
              </w:rPr>
              <w:t xml:space="preserve">       (不同方式回应同一热点或舆情计1次)</w:t>
            </w:r>
          </w:p>
        </w:tc>
        <w:tc>
          <w:tcPr>
            <w:tcW w:w="4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次</w:t>
            </w:r>
          </w:p>
        </w:tc>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24" w:hRule="atLeast"/>
        </w:trPr>
        <w:tc>
          <w:tcPr>
            <w:tcW w:w="535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48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1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(二)通过不同渠道和方式回应解读的情况</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1.参加或举办新闻发布会总次数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次</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 其中:主要负责同志参加新闻发布会次数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次</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2.政府网站在线访谈次数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次</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其中:主要负责同志参加政府网站在线访谈次数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次</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3.政策解读稿件发布数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篇</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4.微博微信回应事件数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次</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5.其他方式回应事件数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次</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其中:领导信箱回复办理数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人民网地方领导留言板回复数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条</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网上调查数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次</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民意征集数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次</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热线电话接通数</w:t>
            </w:r>
            <w:r>
              <w:rPr>
                <w:rFonts w:hint="eastAsia" w:ascii="仿宋" w:hAnsi="仿宋" w:eastAsia="仿宋" w:cs="宋体"/>
                <w:color w:val="FF0000"/>
                <w:kern w:val="0"/>
                <w:sz w:val="24"/>
              </w:rPr>
              <w:t>（市局统一填写）</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通</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24"/>
              </w:rPr>
            </w:pPr>
            <w:r>
              <w:rPr>
                <w:rFonts w:hint="eastAsia" w:ascii="微软雅黑" w:hAnsi="微软雅黑" w:eastAsia="微软雅黑" w:cs="宋体"/>
                <w:kern w:val="0"/>
                <w:sz w:val="24"/>
              </w:rPr>
              <w:t>三、依申请公开情况</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0</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0</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0</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(一)收到申请数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1.当面申请数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2.传真申请数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3.网络申请数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4.信函申请数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(二)申请办结数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1.按时办结数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2.延期办结数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(三)申请答复数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1.属于已主动公开范围数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2.同意公开答复数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3.同意部分公开答复数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4.不同意公开答复数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其中:涉及国家秘密</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涉及商业秘密</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涉及个人隐私</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危及国家安全、公共安全、经济安全和社会稳定</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不是《条例》所指政府信息</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法律法规规定的其他情形</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5.不属于本行政机关公开数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6.申请信息不存在数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7.告知作出更改补充数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8.告知通过其他途径办理数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24"/>
              </w:rPr>
            </w:pPr>
            <w:r>
              <w:rPr>
                <w:rFonts w:hint="eastAsia" w:ascii="微软雅黑" w:hAnsi="微软雅黑" w:eastAsia="微软雅黑" w:cs="宋体"/>
                <w:kern w:val="0"/>
                <w:sz w:val="24"/>
              </w:rPr>
              <w:t>四、行政复议数量</w:t>
            </w:r>
            <w:r>
              <w:rPr>
                <w:rFonts w:hint="eastAsia" w:ascii="微软雅黑" w:hAnsi="微软雅黑" w:eastAsia="微软雅黑" w:cs="宋体"/>
                <w:color w:val="FF0000"/>
                <w:kern w:val="0"/>
                <w:sz w:val="24"/>
              </w:rPr>
              <w:t>（涉及信息公开）</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4"/>
              </w:rPr>
            </w:pPr>
            <w:r>
              <w:rPr>
                <w:rFonts w:hint="eastAsia" w:ascii="微软雅黑" w:hAnsi="微软雅黑" w:eastAsia="微软雅黑"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0</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0</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0</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(一)维持具体行政行为数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(二)被依法纠错数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(三)其他情形数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24"/>
              </w:rPr>
            </w:pPr>
            <w:r>
              <w:rPr>
                <w:rFonts w:hint="eastAsia" w:ascii="微软雅黑" w:hAnsi="微软雅黑" w:eastAsia="微软雅黑" w:cs="宋体"/>
                <w:kern w:val="0"/>
                <w:sz w:val="24"/>
              </w:rPr>
              <w:t>五、行政诉讼数量</w:t>
            </w:r>
            <w:r>
              <w:rPr>
                <w:rFonts w:hint="eastAsia" w:ascii="微软雅黑" w:hAnsi="微软雅黑" w:eastAsia="微软雅黑" w:cs="宋体"/>
                <w:color w:val="FF0000"/>
                <w:kern w:val="0"/>
                <w:sz w:val="24"/>
              </w:rPr>
              <w:t>（涉及信息公开）</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4"/>
              </w:rPr>
            </w:pPr>
            <w:r>
              <w:rPr>
                <w:rFonts w:hint="eastAsia" w:ascii="微软雅黑" w:hAnsi="微软雅黑" w:eastAsia="微软雅黑"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0</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0</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0</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(一)维持具体行政行为或者驳回原告诉讼请求数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(二)被依法纠错数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(三)其他情形数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24"/>
              </w:rPr>
            </w:pPr>
            <w:r>
              <w:rPr>
                <w:rFonts w:hint="eastAsia" w:ascii="微软雅黑" w:hAnsi="微软雅黑" w:eastAsia="微软雅黑" w:cs="宋体"/>
                <w:kern w:val="0"/>
                <w:sz w:val="24"/>
              </w:rPr>
              <w:t>六、举报投诉数量</w:t>
            </w:r>
            <w:r>
              <w:rPr>
                <w:rFonts w:hint="eastAsia" w:ascii="微软雅黑" w:hAnsi="微软雅黑" w:eastAsia="微软雅黑" w:cs="宋体"/>
                <w:color w:val="FF0000"/>
                <w:kern w:val="0"/>
                <w:sz w:val="24"/>
              </w:rPr>
              <w:t>（涉及信息公开）</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4"/>
              </w:rPr>
            </w:pPr>
            <w:r>
              <w:rPr>
                <w:rFonts w:hint="eastAsia" w:ascii="微软雅黑" w:hAnsi="微软雅黑" w:eastAsia="微软雅黑" w:cs="宋体"/>
                <w:kern w:val="0"/>
                <w:sz w:val="24"/>
              </w:rPr>
              <w:t>件</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463</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112</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242</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24"/>
              </w:rPr>
            </w:pPr>
            <w:r>
              <w:rPr>
                <w:rFonts w:hint="eastAsia" w:ascii="微软雅黑" w:hAnsi="微软雅黑" w:eastAsia="微软雅黑" w:cs="宋体"/>
                <w:kern w:val="0"/>
                <w:sz w:val="24"/>
              </w:rPr>
              <w:t>七、依申请公开信息收取的费用</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4"/>
              </w:rPr>
            </w:pPr>
            <w:r>
              <w:rPr>
                <w:rFonts w:hint="eastAsia" w:ascii="微软雅黑" w:hAnsi="微软雅黑" w:eastAsia="微软雅黑" w:cs="宋体"/>
                <w:kern w:val="0"/>
                <w:sz w:val="24"/>
              </w:rPr>
              <w:t>万元</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24"/>
              </w:rPr>
            </w:pPr>
            <w:r>
              <w:rPr>
                <w:rFonts w:hint="eastAsia" w:ascii="微软雅黑" w:hAnsi="微软雅黑" w:eastAsia="微软雅黑" w:cs="宋体"/>
                <w:kern w:val="0"/>
                <w:sz w:val="24"/>
              </w:rPr>
              <w:t>八、机构建设和保障经费情况</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(一)政府信息公开工作专门机构数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个</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(二)设置政府信息公开查阅点数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个</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(三)从事政府信息公开工作人员数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个</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1.专职人员数(不包括政府公报及政府网站工作人员数)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人</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2.兼职人员数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人</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80"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(四)政府信息公开专项经费(不包括用于政府公报编辑管理及政府网站建设维护等方面的经费)</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万元</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24"/>
              </w:rPr>
            </w:pPr>
            <w:r>
              <w:rPr>
                <w:rFonts w:hint="eastAsia" w:ascii="微软雅黑" w:hAnsi="微软雅黑" w:eastAsia="微软雅黑" w:cs="宋体"/>
                <w:kern w:val="0"/>
                <w:sz w:val="24"/>
              </w:rPr>
              <w:t>九、政府信息公开会议和培训情况</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(一)召开政府信息公开工作会议或专题会议数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次</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1</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1</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1</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(二)举办各类培训班数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次</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1</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1</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1</w:t>
            </w:r>
          </w:p>
        </w:tc>
      </w:tr>
      <w:tr>
        <w:tblPrEx>
          <w:tblLayout w:type="fixed"/>
          <w:tblCellMar>
            <w:top w:w="0" w:type="dxa"/>
            <w:left w:w="108" w:type="dxa"/>
            <w:bottom w:w="0" w:type="dxa"/>
            <w:right w:w="108" w:type="dxa"/>
          </w:tblCellMar>
        </w:tblPrEx>
        <w:trPr>
          <w:trHeight w:val="462" w:hRule="atLeast"/>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xml:space="preserve">    (三)接受培训人员数</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人次</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　40</w:t>
            </w:r>
          </w:p>
        </w:tc>
        <w:tc>
          <w:tcPr>
            <w:tcW w:w="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20</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40</w:t>
            </w:r>
          </w:p>
        </w:tc>
      </w:tr>
      <w:tr>
        <w:tblPrEx>
          <w:tblLayout w:type="fixed"/>
          <w:tblCellMar>
            <w:top w:w="0" w:type="dxa"/>
            <w:left w:w="108" w:type="dxa"/>
            <w:bottom w:w="0" w:type="dxa"/>
            <w:right w:w="108" w:type="dxa"/>
          </w:tblCellMar>
        </w:tblPrEx>
        <w:trPr>
          <w:trHeight w:val="462" w:hRule="atLeast"/>
        </w:trPr>
        <w:tc>
          <w:tcPr>
            <w:tcW w:w="3178" w:type="dxa"/>
            <w:gridSpan w:val="2"/>
            <w:tcBorders>
              <w:top w:val="nil"/>
              <w:left w:val="nil"/>
              <w:bottom w:val="nil"/>
              <w:right w:val="nil"/>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单位负责人:郭立</w:t>
            </w:r>
          </w:p>
        </w:tc>
        <w:tc>
          <w:tcPr>
            <w:tcW w:w="2174" w:type="dxa"/>
            <w:tcBorders>
              <w:top w:val="nil"/>
              <w:left w:val="nil"/>
              <w:bottom w:val="nil"/>
              <w:right w:val="nil"/>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审核人:刘承鑫</w:t>
            </w:r>
          </w:p>
        </w:tc>
        <w:tc>
          <w:tcPr>
            <w:tcW w:w="1364" w:type="dxa"/>
            <w:gridSpan w:val="2"/>
            <w:tcBorders>
              <w:top w:val="nil"/>
              <w:left w:val="nil"/>
              <w:bottom w:val="nil"/>
              <w:right w:val="nil"/>
            </w:tcBorders>
            <w:shd w:val="clear" w:color="auto" w:fill="auto"/>
            <w:vAlign w:val="center"/>
          </w:tcPr>
          <w:p>
            <w:pPr>
              <w:widowControl/>
              <w:jc w:val="left"/>
              <w:rPr>
                <w:rFonts w:ascii="仿宋" w:hAnsi="仿宋" w:eastAsia="仿宋" w:cs="宋体"/>
                <w:kern w:val="0"/>
                <w:sz w:val="24"/>
              </w:rPr>
            </w:pPr>
          </w:p>
        </w:tc>
        <w:tc>
          <w:tcPr>
            <w:tcW w:w="845" w:type="dxa"/>
            <w:tcBorders>
              <w:top w:val="nil"/>
              <w:left w:val="nil"/>
              <w:bottom w:val="nil"/>
              <w:right w:val="nil"/>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填报人：</w:t>
            </w:r>
          </w:p>
        </w:tc>
        <w:tc>
          <w:tcPr>
            <w:tcW w:w="1109" w:type="dxa"/>
            <w:tcBorders>
              <w:top w:val="nil"/>
              <w:left w:val="nil"/>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邓振华</w:t>
            </w:r>
          </w:p>
        </w:tc>
      </w:tr>
      <w:tr>
        <w:tblPrEx>
          <w:tblLayout w:type="fixed"/>
          <w:tblCellMar>
            <w:top w:w="0" w:type="dxa"/>
            <w:left w:w="108" w:type="dxa"/>
            <w:bottom w:w="0" w:type="dxa"/>
            <w:right w:w="108" w:type="dxa"/>
          </w:tblCellMar>
        </w:tblPrEx>
        <w:trPr>
          <w:trHeight w:val="675" w:hRule="atLeast"/>
        </w:trPr>
        <w:tc>
          <w:tcPr>
            <w:tcW w:w="5352" w:type="dxa"/>
            <w:gridSpan w:val="3"/>
            <w:tcBorders>
              <w:top w:val="nil"/>
              <w:left w:val="nil"/>
              <w:bottom w:val="nil"/>
              <w:right w:val="nil"/>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联系电话：027-67880209</w:t>
            </w:r>
          </w:p>
        </w:tc>
        <w:tc>
          <w:tcPr>
            <w:tcW w:w="1364" w:type="dxa"/>
            <w:gridSpan w:val="2"/>
            <w:tcBorders>
              <w:top w:val="nil"/>
              <w:left w:val="nil"/>
              <w:bottom w:val="nil"/>
              <w:right w:val="nil"/>
            </w:tcBorders>
            <w:shd w:val="clear" w:color="auto" w:fill="auto"/>
            <w:vAlign w:val="center"/>
          </w:tcPr>
          <w:p>
            <w:pPr>
              <w:widowControl/>
              <w:jc w:val="left"/>
              <w:rPr>
                <w:rFonts w:ascii="仿宋" w:hAnsi="仿宋" w:eastAsia="仿宋" w:cs="宋体"/>
                <w:kern w:val="0"/>
                <w:sz w:val="24"/>
              </w:rPr>
            </w:pPr>
          </w:p>
        </w:tc>
        <w:tc>
          <w:tcPr>
            <w:tcW w:w="1954" w:type="dxa"/>
            <w:gridSpan w:val="2"/>
            <w:tcBorders>
              <w:top w:val="nil"/>
              <w:left w:val="nil"/>
              <w:bottom w:val="nil"/>
              <w:right w:val="nil"/>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填报日期：2019年2月21日</w:t>
            </w:r>
          </w:p>
        </w:tc>
      </w:tr>
      <w:tr>
        <w:tblPrEx>
          <w:tblLayout w:type="fixed"/>
          <w:tblCellMar>
            <w:top w:w="0" w:type="dxa"/>
            <w:left w:w="108" w:type="dxa"/>
            <w:bottom w:w="0" w:type="dxa"/>
            <w:right w:w="108" w:type="dxa"/>
          </w:tblCellMar>
        </w:tblPrEx>
        <w:trPr>
          <w:trHeight w:val="1770" w:hRule="atLeast"/>
        </w:trPr>
        <w:tc>
          <w:tcPr>
            <w:tcW w:w="8670" w:type="dxa"/>
            <w:gridSpan w:val="7"/>
            <w:tcBorders>
              <w:top w:val="nil"/>
              <w:left w:val="nil"/>
              <w:bottom w:val="nil"/>
              <w:right w:val="nil"/>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备注:领导信箱回复办理数，是指回复办理政府门户网站或部门网站领导信箱群众来信的件数。人民网地方领导留言板回复数，是指公开回复人民网地方领导留言的条数，政府部门可不填报此项。网上调查数，是指通过政府门户网站或本部门网站举办的网上调查次数。民意征集数，是指通过政府门户网站或本部门网站征集民众意见建议的次数。热线电话接通数，是指接通应答已对外公布热线电话人民群众来电咨询的次数。</w:t>
            </w:r>
          </w:p>
        </w:tc>
      </w:tr>
    </w:tbl>
    <w:p>
      <w:pPr>
        <w:ind w:firstLine="2100" w:firstLineChars="700"/>
        <w:jc w:val="left"/>
        <w:rPr>
          <w:rFonts w:hint="eastAsia" w:ascii="仿宋_GB2312" w:eastAsia="仿宋_GB2312"/>
          <w:sz w:val="30"/>
          <w:szCs w:val="30"/>
          <w:lang w:eastAsia="zh-CN"/>
        </w:rPr>
      </w:pPr>
    </w:p>
    <w:p>
      <w:pPr>
        <w:ind w:firstLine="2100" w:firstLineChars="700"/>
        <w:jc w:val="left"/>
        <w:rPr>
          <w:rFonts w:hint="eastAsia" w:ascii="仿宋_GB2312" w:eastAsia="仿宋_GB2312"/>
          <w:sz w:val="30"/>
          <w:szCs w:val="30"/>
          <w:lang w:eastAsia="zh-CN"/>
        </w:rPr>
      </w:pPr>
    </w:p>
    <w:p>
      <w:pPr>
        <w:ind w:firstLine="2100" w:firstLineChars="700"/>
        <w:jc w:val="left"/>
        <w:rPr>
          <w:rFonts w:ascii="仿宋_GB2312" w:eastAsia="仿宋_GB2312"/>
          <w:sz w:val="30"/>
          <w:szCs w:val="30"/>
        </w:rPr>
      </w:pPr>
      <w:r>
        <w:rPr>
          <w:rFonts w:hint="eastAsia" w:ascii="仿宋_GB2312" w:eastAsia="仿宋_GB2312"/>
          <w:sz w:val="30"/>
          <w:szCs w:val="30"/>
          <w:lang w:eastAsia="zh-CN"/>
        </w:rPr>
        <w:t>国家税务总局</w:t>
      </w:r>
      <w:r>
        <w:rPr>
          <w:rFonts w:hint="eastAsia" w:ascii="仿宋_GB2312" w:eastAsia="仿宋_GB2312"/>
          <w:sz w:val="30"/>
          <w:szCs w:val="30"/>
        </w:rPr>
        <w:t>武汉东湖新技术开发区税务局</w:t>
      </w:r>
    </w:p>
    <w:p>
      <w:pPr>
        <w:ind w:firstLine="3450" w:firstLineChars="1150"/>
        <w:jc w:val="left"/>
        <w:rPr>
          <w:rFonts w:ascii="仿宋_GB2312" w:eastAsia="仿宋_GB2312"/>
          <w:sz w:val="30"/>
          <w:szCs w:val="30"/>
        </w:rPr>
      </w:pPr>
      <w:r>
        <w:rPr>
          <w:rFonts w:hint="eastAsia" w:ascii="仿宋_GB2312" w:eastAsia="仿宋_GB2312"/>
          <w:sz w:val="30"/>
          <w:szCs w:val="30"/>
        </w:rPr>
        <w:t xml:space="preserve">    2019年02月21日</w:t>
      </w:r>
    </w:p>
    <w:p>
      <w:pPr>
        <w:rPr>
          <w:sz w:val="30"/>
          <w:szCs w:val="30"/>
        </w:rPr>
      </w:pPr>
    </w:p>
    <w:p>
      <w:pPr>
        <w:rPr>
          <w:sz w:val="30"/>
          <w:szCs w:val="30"/>
        </w:rPr>
      </w:pPr>
    </w:p>
    <w:p>
      <w:pPr>
        <w:rPr>
          <w:sz w:val="30"/>
          <w:szCs w:val="30"/>
        </w:rPr>
      </w:pP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F2"/>
    <w:rsid w:val="00213CFD"/>
    <w:rsid w:val="00246BF2"/>
    <w:rsid w:val="009B4E42"/>
    <w:rsid w:val="009B67DA"/>
    <w:rsid w:val="00B104A7"/>
    <w:rsid w:val="00D76717"/>
    <w:rsid w:val="42EF1DFD"/>
    <w:rsid w:val="4EC02A4E"/>
    <w:rsid w:val="5AA0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semiHidden/>
    <w:uiPriority w:val="0"/>
    <w:rPr>
      <w:sz w:val="18"/>
      <w:szCs w:val="18"/>
    </w:rPr>
  </w:style>
  <w:style w:type="character" w:customStyle="1" w:styleId="7">
    <w:name w:val="页眉 Char"/>
    <w:basedOn w:val="4"/>
    <w:link w:val="3"/>
    <w:semiHidden/>
    <w:uiPriority w:val="0"/>
    <w:rPr>
      <w:sz w:val="18"/>
      <w:szCs w:val="18"/>
    </w:rPr>
  </w:style>
  <w:style w:type="paragraph" w:customStyle="1" w:styleId="8">
    <w:name w:val="普通(网站)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
    <w:name w:val="列出段落1"/>
    <w:basedOn w:val="1"/>
    <w:qFormat/>
    <w:uiPriority w:val="0"/>
    <w:pPr>
      <w:ind w:firstLine="420" w:firstLineChars="200"/>
    </w:pPr>
  </w:style>
  <w:style w:type="paragraph" w:customStyle="1" w:styleId="10">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
    <w:name w:val="apple-converted-spac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DHGS</Company>
  <Pages>7</Pages>
  <Words>546</Words>
  <Characters>3117</Characters>
  <Lines>25</Lines>
  <Paragraphs>7</Paragraphs>
  <TotalTime>1</TotalTime>
  <ScaleCrop>false</ScaleCrop>
  <LinksUpToDate>false</LinksUpToDate>
  <CharactersWithSpaces>3656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2019-02-21T08:05:00Z</dcterms:created>
  <dc:creator>帅洁</dc:creator>
  <cp:lastModifiedBy>刘丹</cp:lastModifiedBy>
  <dcterms:modified xsi:type="dcterms:W3CDTF">2020-04-30T01:56:08Z</dcterms:modified>
  <dc:title>东湖区局2017年度政务公开工作情况报告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