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jc w:val="center"/>
        <w:rPr>
          <w:rFonts w:ascii="宋体" w:hAnsi="宋体" w:eastAsia="宋体" w:cs="宋体"/>
          <w:b/>
          <w:bCs/>
          <w:color w:val="333333"/>
          <w:kern w:val="0"/>
          <w:sz w:val="44"/>
          <w:szCs w:val="44"/>
        </w:rPr>
      </w:pPr>
      <w:r>
        <w:rPr>
          <w:rFonts w:hint="eastAsia" w:ascii="宋体" w:hAnsi="宋体" w:eastAsia="宋体" w:cs="宋体"/>
          <w:b/>
          <w:bCs/>
          <w:color w:val="333333"/>
          <w:kern w:val="0"/>
          <w:sz w:val="44"/>
          <w:szCs w:val="44"/>
        </w:rPr>
        <w:t>国家税务总局</w:t>
      </w:r>
      <w:r>
        <w:rPr>
          <w:rFonts w:hint="eastAsia" w:ascii="宋体" w:hAnsi="宋体" w:eastAsia="宋体" w:cs="宋体"/>
          <w:b/>
          <w:bCs/>
          <w:color w:val="333333"/>
          <w:kern w:val="0"/>
          <w:sz w:val="44"/>
          <w:szCs w:val="44"/>
          <w:lang w:eastAsia="zh-CN"/>
        </w:rPr>
        <w:t>洪湖</w:t>
      </w:r>
      <w:r>
        <w:rPr>
          <w:rFonts w:hint="eastAsia" w:ascii="宋体" w:hAnsi="宋体" w:eastAsia="宋体" w:cs="宋体"/>
          <w:b/>
          <w:bCs/>
          <w:color w:val="333333"/>
          <w:kern w:val="0"/>
          <w:sz w:val="44"/>
          <w:szCs w:val="44"/>
        </w:rPr>
        <w:t>市税务局</w:t>
      </w:r>
    </w:p>
    <w:p>
      <w:pPr>
        <w:widowControl/>
        <w:shd w:val="clear" w:color="auto" w:fill="FFFFFF"/>
        <w:jc w:val="center"/>
        <w:rPr>
          <w:rFonts w:ascii="宋体" w:hAnsi="宋体" w:eastAsia="宋体" w:cs="宋体"/>
          <w:color w:val="333333"/>
          <w:kern w:val="0"/>
          <w:sz w:val="44"/>
          <w:szCs w:val="44"/>
        </w:rPr>
      </w:pPr>
      <w:r>
        <w:rPr>
          <w:rFonts w:hint="eastAsia" w:ascii="宋体" w:hAnsi="宋体" w:eastAsia="宋体" w:cs="宋体"/>
          <w:b/>
          <w:bCs/>
          <w:color w:val="333333"/>
          <w:kern w:val="0"/>
          <w:sz w:val="44"/>
          <w:szCs w:val="44"/>
        </w:rPr>
        <w:t>2019年度政府信息公开工作年度报告</w:t>
      </w:r>
    </w:p>
    <w:p>
      <w:pPr>
        <w:widowControl/>
        <w:shd w:val="clear" w:color="auto" w:fill="FFFFFF"/>
        <w:ind w:firstLine="480"/>
        <w:rPr>
          <w:rFonts w:ascii="宋体" w:hAnsi="宋体" w:eastAsia="宋体" w:cs="宋体"/>
          <w:color w:val="333333"/>
          <w:kern w:val="0"/>
          <w:szCs w:val="21"/>
        </w:rPr>
      </w:pPr>
    </w:p>
    <w:p>
      <w:pPr>
        <w:keepNext w:val="0"/>
        <w:keepLines w:val="0"/>
        <w:pageBreakBefore w:val="0"/>
        <w:widowControl/>
        <w:shd w:val="clear" w:color="auto" w:fill="FFFFFF"/>
        <w:kinsoku/>
        <w:wordWrap/>
        <w:overflowPunct/>
        <w:topLinePunct w:val="0"/>
        <w:bidi w:val="0"/>
        <w:adjustRightInd w:val="0"/>
        <w:snapToGrid w:val="0"/>
        <w:spacing w:line="560" w:lineRule="exact"/>
        <w:ind w:firstLine="640" w:firstLineChars="200"/>
        <w:jc w:val="both"/>
        <w:textAlignment w:val="auto"/>
        <w:rPr>
          <w:rFonts w:ascii="仿宋_GB2312" w:hAnsi="宋体" w:eastAsia="仿宋_GB2312" w:cs="宋体"/>
          <w:sz w:val="32"/>
          <w:szCs w:val="32"/>
        </w:rPr>
      </w:pPr>
      <w:r>
        <w:rPr>
          <w:rFonts w:hint="eastAsia" w:ascii="仿宋" w:hAnsi="仿宋" w:eastAsia="仿宋" w:cs="仿宋"/>
          <w:sz w:val="32"/>
          <w:szCs w:val="32"/>
          <w:shd w:val="clear" w:color="auto" w:fill="FFFFFF"/>
        </w:rPr>
        <w:t>根据《中华人民共和国政府信息公开条例》（以下简称《条例》），特向社会公布国家税务总局</w:t>
      </w:r>
      <w:r>
        <w:rPr>
          <w:rFonts w:hint="eastAsia" w:ascii="仿宋" w:hAnsi="仿宋" w:eastAsia="仿宋" w:cs="仿宋"/>
          <w:sz w:val="32"/>
          <w:szCs w:val="32"/>
          <w:shd w:val="clear" w:color="auto" w:fill="FFFFFF"/>
          <w:lang w:eastAsia="zh-CN"/>
        </w:rPr>
        <w:t>洪湖市</w:t>
      </w:r>
      <w:r>
        <w:rPr>
          <w:rFonts w:hint="eastAsia" w:ascii="仿宋" w:hAnsi="仿宋" w:eastAsia="仿宋" w:cs="仿宋"/>
          <w:sz w:val="32"/>
          <w:szCs w:val="32"/>
          <w:shd w:val="clear" w:color="auto" w:fill="FFFFFF"/>
        </w:rPr>
        <w:t>税务局201</w:t>
      </w:r>
      <w:r>
        <w:rPr>
          <w:rFonts w:hint="eastAsia" w:ascii="仿宋" w:hAnsi="仿宋" w:eastAsia="仿宋" w:cs="仿宋"/>
          <w:sz w:val="32"/>
          <w:szCs w:val="32"/>
          <w:shd w:val="clear" w:color="auto" w:fill="FFFFFF"/>
          <w:lang w:eastAsia="zh-CN"/>
        </w:rPr>
        <w:t>9</w:t>
      </w:r>
      <w:r>
        <w:rPr>
          <w:rFonts w:hint="eastAsia" w:ascii="仿宋" w:hAnsi="仿宋" w:eastAsia="仿宋" w:cs="仿宋"/>
          <w:sz w:val="32"/>
          <w:szCs w:val="32"/>
          <w:shd w:val="clear" w:color="auto" w:fill="FFFFFF"/>
        </w:rPr>
        <w:t>年度政府信息公开工作报告。本报告包括</w:t>
      </w:r>
      <w:r>
        <w:rPr>
          <w:rFonts w:hint="eastAsia" w:ascii="仿宋" w:hAnsi="仿宋" w:eastAsia="仿宋" w:cs="仿宋"/>
          <w:sz w:val="32"/>
          <w:szCs w:val="32"/>
          <w:shd w:val="clear" w:color="auto" w:fill="FFFFFF"/>
          <w:lang w:eastAsia="zh-CN"/>
        </w:rPr>
        <w:t>总体情况</w:t>
      </w:r>
      <w:r>
        <w:rPr>
          <w:rFonts w:hint="eastAsia" w:ascii="仿宋" w:hAnsi="仿宋" w:eastAsia="仿宋" w:cs="仿宋"/>
          <w:sz w:val="32"/>
          <w:szCs w:val="32"/>
          <w:shd w:val="clear" w:color="auto" w:fill="FFFFFF"/>
        </w:rPr>
        <w:t>，主动公开政府信息情况</w:t>
      </w:r>
      <w:r>
        <w:rPr>
          <w:rFonts w:hint="eastAsia" w:ascii="仿宋" w:hAnsi="仿宋" w:eastAsia="仿宋" w:cs="仿宋"/>
          <w:sz w:val="32"/>
          <w:szCs w:val="32"/>
          <w:shd w:val="clear" w:color="auto" w:fill="FFFFFF"/>
          <w:lang w:eastAsia="zh-CN"/>
        </w:rPr>
        <w:t>，收到和处理政府信息公开申请情况，政府信息公开</w:t>
      </w:r>
      <w:r>
        <w:rPr>
          <w:rFonts w:hint="eastAsia" w:ascii="仿宋" w:hAnsi="仿宋" w:eastAsia="仿宋" w:cs="仿宋"/>
          <w:sz w:val="32"/>
          <w:szCs w:val="32"/>
          <w:shd w:val="clear" w:color="auto" w:fill="FFFFFF"/>
        </w:rPr>
        <w:t>行政复议、行政诉讼情况</w:t>
      </w:r>
      <w:r>
        <w:rPr>
          <w:rFonts w:hint="eastAsia" w:ascii="仿宋" w:hAnsi="仿宋" w:eastAsia="仿宋" w:cs="仿宋"/>
          <w:sz w:val="32"/>
          <w:szCs w:val="32"/>
          <w:shd w:val="clear" w:color="auto" w:fill="FFFFFF"/>
          <w:lang w:eastAsia="zh-CN"/>
        </w:rPr>
        <w:t>，</w:t>
      </w:r>
      <w:r>
        <w:rPr>
          <w:rFonts w:hint="eastAsia" w:ascii="仿宋" w:hAnsi="仿宋" w:eastAsia="仿宋" w:cs="仿宋"/>
          <w:sz w:val="32"/>
          <w:szCs w:val="32"/>
          <w:shd w:val="clear" w:color="auto" w:fill="FFFFFF"/>
        </w:rPr>
        <w:t>存在的主要问题及改进</w:t>
      </w:r>
      <w:r>
        <w:rPr>
          <w:rFonts w:hint="eastAsia" w:ascii="仿宋" w:hAnsi="仿宋" w:eastAsia="仿宋" w:cs="仿宋"/>
          <w:sz w:val="32"/>
          <w:szCs w:val="32"/>
          <w:shd w:val="clear" w:color="auto" w:fill="FFFFFF"/>
          <w:lang w:eastAsia="zh-CN"/>
        </w:rPr>
        <w:t>情况、其他需要报告的事项</w:t>
      </w:r>
      <w:r>
        <w:rPr>
          <w:rFonts w:hint="eastAsia" w:ascii="仿宋" w:hAnsi="仿宋" w:eastAsia="仿宋" w:cs="仿宋"/>
          <w:sz w:val="32"/>
          <w:szCs w:val="32"/>
          <w:shd w:val="clear" w:color="auto" w:fill="FFFFFF"/>
        </w:rPr>
        <w:t>等，共</w:t>
      </w:r>
      <w:r>
        <w:rPr>
          <w:rFonts w:hint="eastAsia" w:ascii="仿宋" w:hAnsi="仿宋" w:eastAsia="仿宋" w:cs="仿宋"/>
          <w:sz w:val="32"/>
          <w:szCs w:val="32"/>
          <w:shd w:val="clear" w:color="auto" w:fill="FFFFFF"/>
          <w:lang w:eastAsia="zh-CN"/>
        </w:rPr>
        <w:t>六</w:t>
      </w:r>
      <w:r>
        <w:rPr>
          <w:rFonts w:hint="eastAsia" w:ascii="仿宋" w:hAnsi="仿宋" w:eastAsia="仿宋" w:cs="仿宋"/>
          <w:sz w:val="32"/>
          <w:szCs w:val="32"/>
          <w:shd w:val="clear" w:color="auto" w:fill="FFFFFF"/>
        </w:rPr>
        <w:t>个部分。所列数据的统计期限为201</w:t>
      </w:r>
      <w:r>
        <w:rPr>
          <w:rFonts w:hint="eastAsia" w:ascii="仿宋" w:hAnsi="仿宋" w:eastAsia="仿宋" w:cs="仿宋"/>
          <w:sz w:val="32"/>
          <w:szCs w:val="32"/>
          <w:shd w:val="clear" w:color="auto" w:fill="FFFFFF"/>
          <w:lang w:eastAsia="zh-CN"/>
        </w:rPr>
        <w:t>9</w:t>
      </w:r>
      <w:r>
        <w:rPr>
          <w:rFonts w:hint="eastAsia" w:ascii="仿宋" w:hAnsi="仿宋" w:eastAsia="仿宋" w:cs="仿宋"/>
          <w:sz w:val="32"/>
          <w:szCs w:val="32"/>
          <w:shd w:val="clear" w:color="auto" w:fill="FFFFFF"/>
        </w:rPr>
        <w:t>年1月1日至201</w:t>
      </w:r>
      <w:r>
        <w:rPr>
          <w:rFonts w:hint="eastAsia" w:ascii="仿宋" w:hAnsi="仿宋" w:eastAsia="仿宋" w:cs="仿宋"/>
          <w:sz w:val="32"/>
          <w:szCs w:val="32"/>
          <w:shd w:val="clear" w:color="auto" w:fill="FFFFFF"/>
          <w:lang w:eastAsia="zh-CN"/>
        </w:rPr>
        <w:t>9</w:t>
      </w:r>
      <w:r>
        <w:rPr>
          <w:rFonts w:hint="eastAsia" w:ascii="仿宋" w:hAnsi="仿宋" w:eastAsia="仿宋" w:cs="仿宋"/>
          <w:sz w:val="32"/>
          <w:szCs w:val="32"/>
          <w:shd w:val="clear" w:color="auto" w:fill="FFFFFF"/>
        </w:rPr>
        <w:t>年12月31日。如对本报告有疑问，请与国家税务总局</w:t>
      </w:r>
      <w:r>
        <w:rPr>
          <w:rFonts w:hint="eastAsia" w:ascii="仿宋" w:hAnsi="仿宋" w:eastAsia="仿宋" w:cs="仿宋"/>
          <w:sz w:val="32"/>
          <w:szCs w:val="32"/>
          <w:shd w:val="clear" w:color="auto" w:fill="FFFFFF"/>
          <w:lang w:val="en-US" w:eastAsia="zh-CN"/>
        </w:rPr>
        <w:t>洪湖市</w:t>
      </w:r>
      <w:r>
        <w:rPr>
          <w:rFonts w:hint="eastAsia" w:ascii="仿宋" w:hAnsi="仿宋" w:eastAsia="仿宋" w:cs="仿宋"/>
          <w:sz w:val="32"/>
          <w:szCs w:val="32"/>
          <w:shd w:val="clear" w:color="auto" w:fill="FFFFFF"/>
        </w:rPr>
        <w:t>税务局政府信息公开工作领导小组办公室联系(地址：湖北省</w:t>
      </w:r>
      <w:r>
        <w:rPr>
          <w:rFonts w:hint="eastAsia" w:ascii="仿宋" w:hAnsi="仿宋" w:eastAsia="仿宋" w:cs="仿宋"/>
          <w:sz w:val="32"/>
          <w:szCs w:val="32"/>
          <w:shd w:val="clear" w:color="auto" w:fill="FFFFFF"/>
          <w:lang w:val="en-US" w:eastAsia="zh-CN"/>
        </w:rPr>
        <w:t>洪湖市茅江大道55</w:t>
      </w:r>
      <w:r>
        <w:rPr>
          <w:rFonts w:hint="eastAsia" w:ascii="仿宋" w:hAnsi="仿宋" w:eastAsia="仿宋" w:cs="仿宋"/>
          <w:sz w:val="32"/>
          <w:szCs w:val="32"/>
          <w:shd w:val="clear" w:color="auto" w:fill="FFFFFF"/>
        </w:rPr>
        <w:t>号，邮编：4</w:t>
      </w:r>
      <w:r>
        <w:rPr>
          <w:rFonts w:hint="eastAsia" w:ascii="仿宋" w:hAnsi="仿宋" w:eastAsia="仿宋" w:cs="仿宋"/>
          <w:sz w:val="32"/>
          <w:szCs w:val="32"/>
          <w:shd w:val="clear" w:color="auto" w:fill="FFFFFF"/>
          <w:lang w:val="en-US" w:eastAsia="zh-CN"/>
        </w:rPr>
        <w:t>33220</w:t>
      </w:r>
      <w:r>
        <w:rPr>
          <w:rFonts w:hint="eastAsia" w:ascii="仿宋" w:hAnsi="仿宋" w:eastAsia="仿宋" w:cs="仿宋"/>
          <w:sz w:val="32"/>
          <w:szCs w:val="32"/>
          <w:shd w:val="clear" w:color="auto" w:fill="FFFFFF"/>
        </w:rPr>
        <w:t>，电话：0716-</w:t>
      </w:r>
      <w:r>
        <w:rPr>
          <w:rFonts w:hint="eastAsia" w:ascii="仿宋" w:hAnsi="仿宋" w:eastAsia="仿宋" w:cs="仿宋"/>
          <w:sz w:val="32"/>
          <w:szCs w:val="32"/>
          <w:shd w:val="clear" w:color="auto" w:fill="FFFFFF"/>
          <w:lang w:val="en-US" w:eastAsia="zh-CN"/>
        </w:rPr>
        <w:t>2422297</w:t>
      </w:r>
      <w:r>
        <w:rPr>
          <w:rFonts w:hint="eastAsia" w:ascii="仿宋" w:hAnsi="仿宋" w:eastAsia="仿宋" w:cs="仿宋"/>
          <w:sz w:val="32"/>
          <w:szCs w:val="32"/>
          <w:shd w:val="clear" w:color="auto" w:fill="FFFFFF"/>
        </w:rPr>
        <w:t>，传真0716-</w:t>
      </w:r>
      <w:r>
        <w:rPr>
          <w:rFonts w:hint="eastAsia" w:ascii="仿宋" w:hAnsi="仿宋" w:eastAsia="仿宋" w:cs="仿宋"/>
          <w:sz w:val="32"/>
          <w:szCs w:val="32"/>
          <w:shd w:val="clear" w:color="auto" w:fill="FFFFFF"/>
          <w:lang w:val="en-US" w:eastAsia="zh-CN"/>
        </w:rPr>
        <w:t>2422297</w:t>
      </w:r>
      <w:r>
        <w:rPr>
          <w:rFonts w:hint="eastAsia" w:ascii="仿宋" w:hAnsi="仿宋" w:eastAsia="仿宋" w:cs="仿宋"/>
          <w:sz w:val="32"/>
          <w:szCs w:val="32"/>
          <w:shd w:val="clear" w:color="auto" w:fill="FFFFFF"/>
        </w:rPr>
        <w:t>)。</w:t>
      </w:r>
    </w:p>
    <w:p>
      <w:pPr>
        <w:keepNext w:val="0"/>
        <w:keepLines w:val="0"/>
        <w:pageBreakBefore w:val="0"/>
        <w:widowControl/>
        <w:shd w:val="clear" w:color="auto" w:fill="FFFFFF"/>
        <w:kinsoku/>
        <w:wordWrap/>
        <w:overflowPunct/>
        <w:topLinePunct w:val="0"/>
        <w:bidi w:val="0"/>
        <w:adjustRightInd w:val="0"/>
        <w:snapToGrid w:val="0"/>
        <w:spacing w:line="560" w:lineRule="exact"/>
        <w:ind w:firstLine="643" w:firstLineChars="200"/>
        <w:jc w:val="both"/>
        <w:textAlignment w:val="auto"/>
        <w:rPr>
          <w:rFonts w:ascii="黑体" w:hAnsi="黑体" w:eastAsia="黑体" w:cs="宋体"/>
          <w:color w:val="333333"/>
          <w:kern w:val="0"/>
          <w:sz w:val="32"/>
          <w:szCs w:val="32"/>
        </w:rPr>
      </w:pPr>
      <w:r>
        <w:rPr>
          <w:rFonts w:hint="eastAsia" w:ascii="黑体" w:hAnsi="黑体" w:eastAsia="黑体" w:cs="宋体"/>
          <w:b/>
          <w:bCs/>
          <w:color w:val="333333"/>
          <w:kern w:val="0"/>
          <w:sz w:val="32"/>
          <w:szCs w:val="32"/>
        </w:rPr>
        <w:t>一、总体情况</w:t>
      </w:r>
    </w:p>
    <w:p>
      <w:pPr>
        <w:keepNext w:val="0"/>
        <w:keepLines w:val="0"/>
        <w:pageBreakBefore w:val="0"/>
        <w:widowControl/>
        <w:shd w:val="clear" w:color="auto" w:fill="FFFFFF"/>
        <w:kinsoku/>
        <w:wordWrap/>
        <w:overflowPunct/>
        <w:topLinePunct w:val="0"/>
        <w:bidi w:val="0"/>
        <w:adjustRightInd w:val="0"/>
        <w:snapToGrid w:val="0"/>
        <w:spacing w:line="560" w:lineRule="exact"/>
        <w:ind w:firstLine="640" w:firstLineChars="200"/>
        <w:jc w:val="both"/>
        <w:textAlignment w:val="auto"/>
        <w:rPr>
          <w:rFonts w:ascii="仿宋_GB2312" w:hAnsi="宋体" w:eastAsia="仿宋_GB2312" w:cs="宋体"/>
          <w:sz w:val="32"/>
          <w:szCs w:val="32"/>
        </w:rPr>
      </w:pPr>
      <w:r>
        <w:rPr>
          <w:rFonts w:hint="eastAsia" w:ascii="仿宋_GB2312" w:hAnsi="宋体" w:eastAsia="仿宋_GB2312" w:cs="宋体"/>
          <w:sz w:val="32"/>
          <w:szCs w:val="32"/>
        </w:rPr>
        <w:t>2019年，国家税务总局</w:t>
      </w:r>
      <w:r>
        <w:rPr>
          <w:rFonts w:hint="eastAsia" w:ascii="仿宋_GB2312" w:hAnsi="宋体" w:eastAsia="仿宋_GB2312" w:cs="宋体"/>
          <w:sz w:val="32"/>
          <w:szCs w:val="32"/>
          <w:lang w:eastAsia="zh-CN"/>
        </w:rPr>
        <w:t>洪湖</w:t>
      </w:r>
      <w:r>
        <w:rPr>
          <w:rFonts w:hint="eastAsia" w:ascii="仿宋_GB2312" w:hAnsi="宋体" w:eastAsia="仿宋_GB2312" w:cs="宋体"/>
          <w:sz w:val="32"/>
          <w:szCs w:val="32"/>
        </w:rPr>
        <w:t>市税务局认真贯彻落实《中华人民共和国政府信息公开条例》、《国家税务总局关于印发全面推进政务公开实施办法的通知》和总局、省局、</w:t>
      </w:r>
      <w:r>
        <w:rPr>
          <w:rFonts w:hint="eastAsia" w:ascii="仿宋_GB2312" w:hAnsi="宋体" w:eastAsia="仿宋_GB2312" w:cs="宋体"/>
          <w:sz w:val="32"/>
          <w:szCs w:val="32"/>
          <w:lang w:eastAsia="zh-CN"/>
        </w:rPr>
        <w:t>市局、</w:t>
      </w:r>
      <w:r>
        <w:rPr>
          <w:rFonts w:hint="eastAsia" w:ascii="仿宋_GB2312" w:hAnsi="宋体" w:eastAsia="仿宋_GB2312" w:cs="宋体"/>
          <w:sz w:val="32"/>
          <w:szCs w:val="32"/>
        </w:rPr>
        <w:t>市政府的有关要求，坚持以公开为常态、不公开为例外，全面推进决策、执行、管理、服务、结果全过程公开，严格信息公开审查，全面规范政策解读，积极回应社会关切，加强公开平台建设，保障了公众知情权、参与权和监督权，增强了税务部门公信力和执行力。</w:t>
      </w:r>
    </w:p>
    <w:p>
      <w:pPr>
        <w:keepNext w:val="0"/>
        <w:keepLines w:val="0"/>
        <w:pageBreakBefore w:val="0"/>
        <w:widowControl/>
        <w:kinsoku/>
        <w:wordWrap/>
        <w:overflowPunct/>
        <w:topLinePunct w:val="0"/>
        <w:bidi w:val="0"/>
        <w:adjustRightInd w:val="0"/>
        <w:snapToGrid w:val="0"/>
        <w:spacing w:line="560" w:lineRule="exact"/>
        <w:ind w:firstLine="640" w:firstLineChars="200"/>
        <w:jc w:val="both"/>
        <w:textAlignment w:val="auto"/>
        <w:rPr>
          <w:rFonts w:ascii="仿宋_GB2312" w:eastAsia="仿宋_GB2312" w:cs="仿宋_GB2312"/>
          <w:kern w:val="0"/>
          <w:sz w:val="32"/>
          <w:szCs w:val="32"/>
        </w:rPr>
      </w:pPr>
      <w:r>
        <w:rPr>
          <w:rFonts w:hint="eastAsia" w:ascii="仿宋_GB2312" w:hAnsi="宋体" w:eastAsia="仿宋_GB2312" w:cs="宋体"/>
          <w:kern w:val="0"/>
          <w:sz w:val="32"/>
          <w:szCs w:val="32"/>
        </w:rPr>
        <w:t>（一</w:t>
      </w:r>
      <w:r>
        <w:rPr>
          <w:rFonts w:ascii="仿宋_GB2312" w:hAnsi="宋体" w:eastAsia="仿宋_GB2312" w:cs="宋体"/>
          <w:kern w:val="0"/>
          <w:sz w:val="32"/>
          <w:szCs w:val="32"/>
        </w:rPr>
        <w:t>）</w:t>
      </w:r>
      <w:r>
        <w:rPr>
          <w:rFonts w:hint="eastAsia" w:ascii="仿宋_GB2312" w:hAnsi="宋体" w:eastAsia="仿宋_GB2312" w:cs="宋体"/>
          <w:kern w:val="0"/>
          <w:sz w:val="32"/>
          <w:szCs w:val="32"/>
        </w:rPr>
        <w:t>加强信</w:t>
      </w:r>
      <w:r>
        <w:rPr>
          <w:rFonts w:ascii="仿宋_GB2312" w:hAnsi="宋体" w:eastAsia="仿宋_GB2312" w:cs="宋体"/>
          <w:kern w:val="0"/>
          <w:sz w:val="32"/>
          <w:szCs w:val="32"/>
        </w:rPr>
        <w:t>息公开渠道</w:t>
      </w:r>
      <w:r>
        <w:rPr>
          <w:rFonts w:hint="eastAsia" w:ascii="仿宋_GB2312" w:hAnsi="宋体" w:eastAsia="仿宋_GB2312" w:cs="宋体"/>
          <w:kern w:val="0"/>
          <w:sz w:val="32"/>
          <w:szCs w:val="32"/>
        </w:rPr>
        <w:t>建设</w:t>
      </w:r>
      <w:r>
        <w:rPr>
          <w:rFonts w:ascii="仿宋_GB2312" w:hAnsi="宋体" w:eastAsia="仿宋_GB2312" w:cs="宋体"/>
          <w:kern w:val="0"/>
          <w:sz w:val="32"/>
          <w:szCs w:val="32"/>
        </w:rPr>
        <w:t>。2019年，按照国家税务总局</w:t>
      </w:r>
      <w:r>
        <w:rPr>
          <w:rFonts w:hint="eastAsia" w:ascii="仿宋_GB2312" w:hAnsi="宋体" w:eastAsia="仿宋_GB2312" w:cs="宋体"/>
          <w:kern w:val="0"/>
          <w:sz w:val="32"/>
          <w:szCs w:val="32"/>
          <w:lang w:eastAsia="zh-CN"/>
        </w:rPr>
        <w:t>、</w:t>
      </w:r>
      <w:r>
        <w:rPr>
          <w:rFonts w:ascii="仿宋_GB2312" w:hAnsi="宋体" w:eastAsia="仿宋_GB2312" w:cs="宋体"/>
          <w:kern w:val="0"/>
          <w:sz w:val="32"/>
          <w:szCs w:val="32"/>
        </w:rPr>
        <w:t>省税务局</w:t>
      </w:r>
      <w:r>
        <w:rPr>
          <w:rFonts w:hint="eastAsia" w:ascii="仿宋_GB2312" w:hAnsi="宋体" w:eastAsia="仿宋_GB2312" w:cs="宋体"/>
          <w:kern w:val="0"/>
          <w:sz w:val="32"/>
          <w:szCs w:val="32"/>
          <w:lang w:eastAsia="zh-CN"/>
        </w:rPr>
        <w:t>以及荆州市税务局</w:t>
      </w:r>
      <w:r>
        <w:rPr>
          <w:rFonts w:ascii="仿宋_GB2312" w:hAnsi="宋体" w:eastAsia="仿宋_GB2312" w:cs="宋体"/>
          <w:kern w:val="0"/>
          <w:sz w:val="32"/>
          <w:szCs w:val="32"/>
        </w:rPr>
        <w:t>关</w:t>
      </w:r>
      <w:r>
        <w:rPr>
          <w:rFonts w:hint="eastAsia" w:ascii="仿宋_GB2312" w:hAnsi="宋体" w:eastAsia="仿宋_GB2312" w:cs="宋体"/>
          <w:kern w:val="0"/>
          <w:sz w:val="32"/>
          <w:szCs w:val="32"/>
        </w:rPr>
        <w:t>于</w:t>
      </w:r>
      <w:r>
        <w:rPr>
          <w:rFonts w:ascii="仿宋_GB2312" w:hAnsi="宋体" w:eastAsia="仿宋_GB2312" w:cs="宋体"/>
          <w:kern w:val="0"/>
          <w:sz w:val="32"/>
          <w:szCs w:val="32"/>
        </w:rPr>
        <w:t>网站建设管理规范工作的要求，</w:t>
      </w:r>
      <w:r>
        <w:rPr>
          <w:rFonts w:hint="eastAsia" w:ascii="仿宋_GB2312" w:hAnsi="宋体" w:eastAsia="仿宋_GB2312" w:cs="宋体"/>
          <w:kern w:val="0"/>
          <w:sz w:val="32"/>
          <w:szCs w:val="32"/>
        </w:rPr>
        <w:t>我</w:t>
      </w:r>
      <w:r>
        <w:rPr>
          <w:rFonts w:ascii="仿宋_GB2312" w:hAnsi="宋体" w:eastAsia="仿宋_GB2312" w:cs="宋体"/>
          <w:kern w:val="0"/>
          <w:sz w:val="32"/>
          <w:szCs w:val="32"/>
        </w:rPr>
        <w:t>局</w:t>
      </w:r>
      <w:r>
        <w:rPr>
          <w:rFonts w:hint="eastAsia" w:ascii="仿宋_GB2312" w:eastAsia="仿宋_GB2312" w:cs="仿宋_GB2312"/>
          <w:kern w:val="0"/>
          <w:sz w:val="32"/>
          <w:szCs w:val="32"/>
        </w:rPr>
        <w:t>对</w:t>
      </w:r>
      <w:r>
        <w:rPr>
          <w:rFonts w:hint="eastAsia" w:ascii="仿宋_GB2312" w:eastAsia="仿宋_GB2312" w:cs="仿宋_GB2312"/>
          <w:kern w:val="0"/>
          <w:sz w:val="32"/>
          <w:szCs w:val="32"/>
          <w:lang w:eastAsia="zh-CN"/>
        </w:rPr>
        <w:t>洪湖</w:t>
      </w:r>
      <w:r>
        <w:rPr>
          <w:rFonts w:hint="eastAsia" w:ascii="仿宋_GB2312" w:eastAsia="仿宋_GB2312" w:cs="仿宋_GB2312"/>
          <w:kern w:val="0"/>
          <w:sz w:val="32"/>
          <w:szCs w:val="32"/>
        </w:rPr>
        <w:t>市</w:t>
      </w:r>
      <w:r>
        <w:rPr>
          <w:rFonts w:ascii="仿宋_GB2312" w:eastAsia="仿宋_GB2312" w:cs="仿宋_GB2312"/>
          <w:kern w:val="0"/>
          <w:sz w:val="32"/>
          <w:szCs w:val="32"/>
        </w:rPr>
        <w:t>税务局互联网</w:t>
      </w:r>
      <w:r>
        <w:rPr>
          <w:rFonts w:hint="eastAsia" w:ascii="仿宋_GB2312" w:eastAsia="仿宋_GB2312" w:cs="仿宋_GB2312"/>
          <w:kern w:val="0"/>
          <w:sz w:val="32"/>
          <w:szCs w:val="32"/>
        </w:rPr>
        <w:t>门</w:t>
      </w:r>
      <w:r>
        <w:rPr>
          <w:rFonts w:ascii="仿宋_GB2312" w:eastAsia="仿宋_GB2312" w:cs="仿宋_GB2312"/>
          <w:kern w:val="0"/>
          <w:sz w:val="32"/>
          <w:szCs w:val="32"/>
        </w:rPr>
        <w:t>户网站</w:t>
      </w:r>
      <w:r>
        <w:rPr>
          <w:rFonts w:hint="eastAsia" w:ascii="仿宋_GB2312" w:eastAsia="仿宋_GB2312" w:cs="仿宋_GB2312"/>
          <w:kern w:val="0"/>
          <w:sz w:val="32"/>
          <w:szCs w:val="32"/>
        </w:rPr>
        <w:t>进行改版，整合成为全</w:t>
      </w:r>
      <w:r>
        <w:rPr>
          <w:rFonts w:hint="eastAsia" w:ascii="仿宋_GB2312" w:eastAsia="仿宋_GB2312" w:cs="仿宋_GB2312"/>
          <w:kern w:val="0"/>
          <w:sz w:val="32"/>
          <w:szCs w:val="32"/>
          <w:lang w:eastAsia="zh-CN"/>
        </w:rPr>
        <w:t>市</w:t>
      </w:r>
      <w:r>
        <w:rPr>
          <w:rFonts w:hint="eastAsia" w:ascii="仿宋_GB2312" w:eastAsia="仿宋_GB2312" w:cs="仿宋_GB2312"/>
          <w:kern w:val="0"/>
          <w:sz w:val="32"/>
          <w:szCs w:val="32"/>
        </w:rPr>
        <w:t>税务系统互</w:t>
      </w:r>
      <w:r>
        <w:rPr>
          <w:rFonts w:ascii="仿宋_GB2312" w:eastAsia="仿宋_GB2312" w:cs="仿宋_GB2312"/>
          <w:kern w:val="0"/>
          <w:sz w:val="32"/>
          <w:szCs w:val="32"/>
        </w:rPr>
        <w:t>联网</w:t>
      </w:r>
      <w:r>
        <w:rPr>
          <w:rFonts w:hint="eastAsia" w:ascii="仿宋_GB2312" w:eastAsia="仿宋_GB2312" w:cs="仿宋_GB2312"/>
          <w:kern w:val="0"/>
          <w:sz w:val="32"/>
          <w:szCs w:val="32"/>
        </w:rPr>
        <w:t>门</w:t>
      </w:r>
      <w:r>
        <w:rPr>
          <w:rFonts w:ascii="仿宋_GB2312" w:eastAsia="仿宋_GB2312" w:cs="仿宋_GB2312"/>
          <w:kern w:val="0"/>
          <w:sz w:val="32"/>
          <w:szCs w:val="32"/>
        </w:rPr>
        <w:t>户网</w:t>
      </w:r>
      <w:r>
        <w:rPr>
          <w:rFonts w:hint="eastAsia" w:ascii="仿宋_GB2312" w:eastAsia="仿宋_GB2312" w:cs="仿宋_GB2312"/>
          <w:kern w:val="0"/>
          <w:sz w:val="32"/>
          <w:szCs w:val="32"/>
          <w:lang w:eastAsia="zh-CN"/>
        </w:rPr>
        <w:t>洪湖</w:t>
      </w:r>
      <w:r>
        <w:rPr>
          <w:rFonts w:hint="eastAsia" w:ascii="仿宋_GB2312" w:eastAsia="仿宋_GB2312" w:cs="仿宋_GB2312"/>
          <w:kern w:val="0"/>
          <w:sz w:val="32"/>
          <w:szCs w:val="32"/>
        </w:rPr>
        <w:t>频道，并对原网站信息</w:t>
      </w:r>
      <w:r>
        <w:rPr>
          <w:rFonts w:ascii="仿宋_GB2312" w:eastAsia="仿宋_GB2312" w:cs="仿宋_GB2312"/>
          <w:kern w:val="0"/>
          <w:sz w:val="32"/>
          <w:szCs w:val="32"/>
        </w:rPr>
        <w:t>公开</w:t>
      </w:r>
      <w:r>
        <w:rPr>
          <w:rFonts w:hint="eastAsia" w:ascii="仿宋_GB2312" w:eastAsia="仿宋_GB2312" w:cs="仿宋_GB2312"/>
          <w:kern w:val="0"/>
          <w:sz w:val="32"/>
          <w:szCs w:val="32"/>
        </w:rPr>
        <w:t>数据进行迁移校对，实现了集约</w:t>
      </w:r>
      <w:r>
        <w:rPr>
          <w:rFonts w:ascii="仿宋_GB2312" w:eastAsia="仿宋_GB2312" w:cs="仿宋_GB2312"/>
          <w:kern w:val="0"/>
          <w:sz w:val="32"/>
          <w:szCs w:val="32"/>
        </w:rPr>
        <w:t>化、</w:t>
      </w:r>
      <w:r>
        <w:rPr>
          <w:rFonts w:hint="eastAsia" w:ascii="仿宋_GB2312" w:eastAsia="仿宋_GB2312" w:cs="仿宋_GB2312"/>
          <w:kern w:val="0"/>
          <w:sz w:val="32"/>
          <w:szCs w:val="32"/>
        </w:rPr>
        <w:t>规范化管理。</w:t>
      </w:r>
    </w:p>
    <w:p>
      <w:pPr>
        <w:keepNext w:val="0"/>
        <w:keepLines w:val="0"/>
        <w:pageBreakBefore w:val="0"/>
        <w:kinsoku/>
        <w:wordWrap/>
        <w:overflowPunct/>
        <w:topLinePunct w:val="0"/>
        <w:autoSpaceDE w:val="0"/>
        <w:autoSpaceDN w:val="0"/>
        <w:bidi w:val="0"/>
        <w:adjustRightInd w:val="0"/>
        <w:snapToGrid w:val="0"/>
        <w:spacing w:line="560" w:lineRule="exact"/>
        <w:ind w:firstLine="640" w:firstLineChars="200"/>
        <w:jc w:val="both"/>
        <w:textAlignment w:val="auto"/>
        <w:rPr>
          <w:rFonts w:ascii="仿宋_GB2312" w:eastAsia="仿宋_GB2312" w:cs="仿宋_GB2312"/>
          <w:kern w:val="0"/>
          <w:sz w:val="32"/>
          <w:szCs w:val="32"/>
        </w:rPr>
      </w:pPr>
      <w:r>
        <w:rPr>
          <w:rFonts w:hint="eastAsia" w:ascii="仿宋_GB2312" w:eastAsia="仿宋_GB2312" w:cs="仿宋_GB2312"/>
          <w:kern w:val="0"/>
          <w:sz w:val="32"/>
          <w:szCs w:val="32"/>
        </w:rPr>
        <w:t>（二</w:t>
      </w:r>
      <w:r>
        <w:rPr>
          <w:rFonts w:ascii="仿宋_GB2312" w:eastAsia="仿宋_GB2312" w:cs="仿宋_GB2312"/>
          <w:kern w:val="0"/>
          <w:sz w:val="32"/>
          <w:szCs w:val="32"/>
        </w:rPr>
        <w:t>）</w:t>
      </w:r>
      <w:r>
        <w:rPr>
          <w:rFonts w:hint="eastAsia" w:ascii="仿宋_GB2312" w:eastAsia="仿宋_GB2312" w:cs="仿宋_GB2312"/>
          <w:kern w:val="0"/>
          <w:sz w:val="32"/>
          <w:szCs w:val="32"/>
        </w:rPr>
        <w:t>做</w:t>
      </w:r>
      <w:r>
        <w:rPr>
          <w:rFonts w:ascii="仿宋_GB2312" w:eastAsia="仿宋_GB2312" w:cs="仿宋_GB2312"/>
          <w:kern w:val="0"/>
          <w:sz w:val="32"/>
          <w:szCs w:val="32"/>
        </w:rPr>
        <w:t>好</w:t>
      </w:r>
      <w:r>
        <w:rPr>
          <w:rFonts w:hint="eastAsia" w:ascii="仿宋_GB2312" w:eastAsia="仿宋_GB2312" w:cs="仿宋_GB2312"/>
          <w:kern w:val="0"/>
          <w:sz w:val="32"/>
          <w:szCs w:val="32"/>
        </w:rPr>
        <w:t>信息公开日常工作。主动推送税收优惠政策。在门户网站实时推送新出台的“减税降费”政策措施，以及促进创业创新、保障和改善民生等税收优惠政策，并利用新闻媒体积极宣传最新的税收政策落实情况，突出工作亮点，产生了较好的社会影响。</w:t>
      </w:r>
    </w:p>
    <w:p>
      <w:pPr>
        <w:keepNext w:val="0"/>
        <w:keepLines w:val="0"/>
        <w:pageBreakBefore w:val="0"/>
        <w:kinsoku/>
        <w:wordWrap/>
        <w:overflowPunct/>
        <w:topLinePunct w:val="0"/>
        <w:autoSpaceDE w:val="0"/>
        <w:autoSpaceDN w:val="0"/>
        <w:bidi w:val="0"/>
        <w:adjustRightInd w:val="0"/>
        <w:snapToGrid w:val="0"/>
        <w:spacing w:line="560" w:lineRule="exact"/>
        <w:ind w:firstLine="640" w:firstLineChars="200"/>
        <w:jc w:val="both"/>
        <w:textAlignment w:val="auto"/>
        <w:rPr>
          <w:rFonts w:ascii="仿宋_GB2312" w:eastAsia="仿宋_GB2312" w:cs="仿宋_GB2312"/>
          <w:kern w:val="0"/>
          <w:sz w:val="32"/>
          <w:szCs w:val="32"/>
        </w:rPr>
      </w:pPr>
      <w:r>
        <w:rPr>
          <w:rFonts w:hint="eastAsia" w:ascii="仿宋_GB2312" w:hAnsi="宋体" w:eastAsia="仿宋_GB2312" w:cs="宋体"/>
          <w:kern w:val="0"/>
          <w:sz w:val="32"/>
          <w:szCs w:val="32"/>
        </w:rPr>
        <w:t>（三</w:t>
      </w:r>
      <w:r>
        <w:rPr>
          <w:rFonts w:ascii="仿宋_GB2312" w:hAnsi="宋体" w:eastAsia="仿宋_GB2312" w:cs="宋体"/>
          <w:kern w:val="0"/>
          <w:sz w:val="32"/>
          <w:szCs w:val="32"/>
        </w:rPr>
        <w:t>）</w:t>
      </w:r>
      <w:r>
        <w:rPr>
          <w:rFonts w:hint="eastAsia" w:ascii="仿宋_GB2312" w:eastAsia="仿宋_GB2312" w:cs="仿宋_GB2312"/>
          <w:kern w:val="0"/>
          <w:sz w:val="32"/>
          <w:szCs w:val="32"/>
        </w:rPr>
        <w:t>提升信息公开工作质效。我局将信息公开、</w:t>
      </w:r>
      <w:r>
        <w:rPr>
          <w:rFonts w:ascii="仿宋_GB2312" w:eastAsia="仿宋_GB2312" w:cs="仿宋_GB2312"/>
          <w:kern w:val="0"/>
          <w:sz w:val="32"/>
          <w:szCs w:val="32"/>
        </w:rPr>
        <w:t>税法宣传</w:t>
      </w:r>
      <w:r>
        <w:rPr>
          <w:rFonts w:hint="eastAsia" w:ascii="仿宋_GB2312" w:eastAsia="仿宋_GB2312" w:cs="仿宋_GB2312"/>
          <w:kern w:val="0"/>
          <w:sz w:val="32"/>
          <w:szCs w:val="32"/>
        </w:rPr>
        <w:t>、</w:t>
      </w:r>
      <w:r>
        <w:rPr>
          <w:rFonts w:ascii="仿宋_GB2312" w:eastAsia="仿宋_GB2312" w:cs="仿宋_GB2312"/>
          <w:kern w:val="0"/>
          <w:sz w:val="32"/>
          <w:szCs w:val="32"/>
        </w:rPr>
        <w:t>平台运维等</w:t>
      </w:r>
      <w:r>
        <w:rPr>
          <w:rFonts w:hint="eastAsia" w:ascii="仿宋_GB2312" w:eastAsia="仿宋_GB2312" w:cs="仿宋_GB2312"/>
          <w:kern w:val="0"/>
          <w:sz w:val="32"/>
          <w:szCs w:val="32"/>
        </w:rPr>
        <w:t>有关信息公开工作纳入绩效考评，细化量化考核指标、定期开展巡</w:t>
      </w:r>
      <w:r>
        <w:rPr>
          <w:rFonts w:ascii="仿宋_GB2312" w:eastAsia="仿宋_GB2312" w:cs="仿宋_GB2312"/>
          <w:kern w:val="0"/>
          <w:sz w:val="32"/>
          <w:szCs w:val="32"/>
        </w:rPr>
        <w:t>检</w:t>
      </w:r>
      <w:r>
        <w:rPr>
          <w:rFonts w:hint="eastAsia" w:ascii="仿宋_GB2312" w:eastAsia="仿宋_GB2312" w:cs="仿宋_GB2312"/>
          <w:kern w:val="0"/>
          <w:sz w:val="32"/>
          <w:szCs w:val="32"/>
        </w:rPr>
        <w:t>评价，不断提升信</w:t>
      </w:r>
      <w:r>
        <w:rPr>
          <w:rFonts w:ascii="仿宋_GB2312" w:eastAsia="仿宋_GB2312" w:cs="仿宋_GB2312"/>
          <w:kern w:val="0"/>
          <w:sz w:val="32"/>
          <w:szCs w:val="32"/>
        </w:rPr>
        <w:t>息公开</w:t>
      </w:r>
      <w:r>
        <w:rPr>
          <w:rFonts w:hint="eastAsia" w:ascii="仿宋_GB2312" w:eastAsia="仿宋_GB2312" w:cs="仿宋_GB2312"/>
          <w:kern w:val="0"/>
          <w:sz w:val="32"/>
          <w:szCs w:val="32"/>
        </w:rPr>
        <w:t>工作规范化水平。</w:t>
      </w:r>
    </w:p>
    <w:p>
      <w:pPr>
        <w:keepNext w:val="0"/>
        <w:keepLines w:val="0"/>
        <w:pageBreakBefore w:val="0"/>
        <w:kinsoku/>
        <w:wordWrap/>
        <w:overflowPunct/>
        <w:topLinePunct w:val="0"/>
        <w:autoSpaceDE w:val="0"/>
        <w:autoSpaceDN w:val="0"/>
        <w:bidi w:val="0"/>
        <w:adjustRightInd w:val="0"/>
        <w:snapToGrid w:val="0"/>
        <w:spacing w:line="560" w:lineRule="exact"/>
        <w:ind w:firstLine="643" w:firstLineChars="200"/>
        <w:jc w:val="both"/>
        <w:textAlignment w:val="auto"/>
        <w:rPr>
          <w:rFonts w:ascii="仿宋_GB2312" w:eastAsia="仿宋_GB2312" w:cs="仿宋_GB2312"/>
          <w:kern w:val="0"/>
          <w:sz w:val="32"/>
          <w:szCs w:val="32"/>
        </w:rPr>
      </w:pPr>
      <w:r>
        <w:rPr>
          <w:rFonts w:hint="eastAsia" w:ascii="仿宋_GB2312" w:eastAsia="仿宋_GB2312" w:cs="仿宋_GB2312"/>
          <w:b/>
          <w:bCs/>
          <w:kern w:val="0"/>
          <w:sz w:val="32"/>
          <w:szCs w:val="32"/>
        </w:rPr>
        <w:t>二、主动公开政府信息情况</w:t>
      </w:r>
    </w:p>
    <w:p>
      <w:pPr>
        <w:pStyle w:val="4"/>
        <w:keepNext w:val="0"/>
        <w:keepLines w:val="0"/>
        <w:pageBreakBefore w:val="0"/>
        <w:widowControl/>
        <w:kinsoku/>
        <w:wordWrap/>
        <w:overflowPunct/>
        <w:topLinePunct w:val="0"/>
        <w:bidi w:val="0"/>
        <w:adjustRightInd w:val="0"/>
        <w:snapToGrid w:val="0"/>
        <w:spacing w:beforeAutospacing="0" w:afterAutospacing="0" w:line="560" w:lineRule="exact"/>
        <w:ind w:firstLine="640" w:firstLineChars="200"/>
        <w:jc w:val="both"/>
        <w:textAlignment w:val="auto"/>
        <w:rPr>
          <w:rFonts w:ascii="仿宋" w:hAnsi="仿宋" w:eastAsia="仿宋" w:cs="仿宋"/>
          <w:sz w:val="24"/>
        </w:rPr>
      </w:pPr>
      <w:r>
        <w:rPr>
          <w:rFonts w:hint="eastAsia" w:ascii="仿宋" w:hAnsi="仿宋" w:eastAsia="仿宋" w:cs="仿宋"/>
          <w:sz w:val="32"/>
          <w:szCs w:val="32"/>
          <w:shd w:val="clear" w:color="auto" w:fill="FFFFFF"/>
        </w:rPr>
        <w:t>201</w:t>
      </w:r>
      <w:r>
        <w:rPr>
          <w:rFonts w:hint="eastAsia" w:ascii="仿宋" w:hAnsi="仿宋" w:eastAsia="仿宋" w:cs="仿宋"/>
          <w:sz w:val="32"/>
          <w:szCs w:val="32"/>
          <w:shd w:val="clear" w:color="auto" w:fill="FFFFFF"/>
          <w:lang w:eastAsia="zh-CN"/>
        </w:rPr>
        <w:t>9</w:t>
      </w:r>
      <w:r>
        <w:rPr>
          <w:rFonts w:hint="eastAsia" w:ascii="仿宋" w:hAnsi="仿宋" w:eastAsia="仿宋" w:cs="仿宋"/>
          <w:sz w:val="32"/>
          <w:szCs w:val="32"/>
          <w:shd w:val="clear" w:color="auto" w:fill="FFFFFF"/>
        </w:rPr>
        <w:t>年，</w:t>
      </w:r>
      <w:r>
        <w:rPr>
          <w:rFonts w:hint="eastAsia" w:ascii="仿宋" w:hAnsi="仿宋" w:eastAsia="仿宋" w:cs="仿宋"/>
          <w:sz w:val="32"/>
          <w:szCs w:val="32"/>
          <w:shd w:val="clear" w:color="auto" w:fill="FFFFFF"/>
          <w:lang w:val="en-US" w:eastAsia="zh-CN"/>
        </w:rPr>
        <w:t>洪湖市税务局</w:t>
      </w:r>
      <w:r>
        <w:rPr>
          <w:rFonts w:hint="eastAsia" w:ascii="仿宋" w:hAnsi="仿宋" w:eastAsia="仿宋" w:cs="仿宋"/>
          <w:sz w:val="32"/>
          <w:szCs w:val="32"/>
          <w:shd w:val="clear" w:color="auto" w:fill="FFFFFF"/>
        </w:rPr>
        <w:t>共向社会公开各类政务信息</w:t>
      </w:r>
      <w:r>
        <w:rPr>
          <w:rFonts w:hint="eastAsia" w:ascii="仿宋" w:hAnsi="仿宋" w:eastAsia="仿宋" w:cs="仿宋"/>
          <w:sz w:val="32"/>
          <w:szCs w:val="32"/>
          <w:shd w:val="clear" w:color="auto" w:fill="FFFFFF"/>
          <w:lang w:eastAsia="zh-CN"/>
        </w:rPr>
        <w:t>138</w:t>
      </w:r>
      <w:r>
        <w:rPr>
          <w:rFonts w:hint="eastAsia" w:ascii="仿宋" w:hAnsi="仿宋" w:eastAsia="仿宋" w:cs="仿宋"/>
          <w:sz w:val="32"/>
          <w:szCs w:val="32"/>
          <w:shd w:val="clear" w:color="auto" w:fill="FFFFFF"/>
        </w:rPr>
        <w:t>条，其中：政府网站公开信息 </w:t>
      </w:r>
      <w:r>
        <w:rPr>
          <w:rFonts w:hint="eastAsia" w:ascii="仿宋" w:hAnsi="仿宋" w:eastAsia="仿宋" w:cs="仿宋"/>
          <w:sz w:val="32"/>
          <w:szCs w:val="32"/>
          <w:shd w:val="clear" w:color="auto" w:fill="FFFFFF"/>
          <w:lang w:eastAsia="zh-CN"/>
        </w:rPr>
        <w:t>12</w:t>
      </w:r>
      <w:r>
        <w:rPr>
          <w:rFonts w:hint="eastAsia" w:ascii="仿宋" w:hAnsi="仿宋" w:eastAsia="仿宋" w:cs="仿宋"/>
          <w:sz w:val="32"/>
          <w:szCs w:val="32"/>
          <w:shd w:val="clear" w:color="auto" w:fill="FFFFFF"/>
        </w:rPr>
        <w:t>条；通过纳税服务大厅公示栏公开</w:t>
      </w:r>
      <w:r>
        <w:rPr>
          <w:rFonts w:hint="eastAsia" w:ascii="仿宋" w:hAnsi="仿宋" w:eastAsia="仿宋" w:cs="仿宋"/>
          <w:sz w:val="32"/>
          <w:szCs w:val="32"/>
          <w:shd w:val="clear" w:color="auto" w:fill="FFFFFF"/>
          <w:lang w:eastAsia="zh-CN"/>
        </w:rPr>
        <w:t>96</w:t>
      </w:r>
      <w:r>
        <w:rPr>
          <w:rFonts w:hint="eastAsia" w:ascii="仿宋" w:hAnsi="仿宋" w:eastAsia="仿宋" w:cs="仿宋"/>
          <w:sz w:val="32"/>
          <w:szCs w:val="32"/>
          <w:shd w:val="clear" w:color="auto" w:fill="FFFFFF"/>
        </w:rPr>
        <w:t>条；市级以上新闻媒体和网站发表涉税新闻稿件</w:t>
      </w:r>
      <w:r>
        <w:rPr>
          <w:rFonts w:hint="eastAsia" w:ascii="仿宋" w:hAnsi="仿宋" w:eastAsia="仿宋" w:cs="仿宋"/>
          <w:sz w:val="32"/>
          <w:szCs w:val="32"/>
          <w:shd w:val="clear" w:color="auto" w:fill="FFFFFF"/>
          <w:lang w:eastAsia="zh-CN"/>
        </w:rPr>
        <w:t>30</w:t>
      </w:r>
      <w:r>
        <w:rPr>
          <w:rFonts w:hint="eastAsia" w:ascii="仿宋" w:hAnsi="仿宋" w:eastAsia="仿宋" w:cs="仿宋"/>
          <w:sz w:val="32"/>
          <w:szCs w:val="32"/>
          <w:shd w:val="clear" w:color="auto" w:fill="FFFFFF"/>
        </w:rPr>
        <w:t>篇。共接受咨询电话</w:t>
      </w:r>
      <w:r>
        <w:rPr>
          <w:rFonts w:hint="eastAsia" w:ascii="仿宋" w:hAnsi="仿宋" w:eastAsia="仿宋" w:cs="仿宋"/>
          <w:sz w:val="32"/>
          <w:szCs w:val="32"/>
          <w:shd w:val="clear" w:color="auto" w:fill="FFFFFF"/>
          <w:lang w:eastAsia="zh-CN"/>
        </w:rPr>
        <w:t>1578</w:t>
      </w:r>
      <w:r>
        <w:rPr>
          <w:rFonts w:hint="eastAsia" w:ascii="仿宋" w:hAnsi="仿宋" w:eastAsia="仿宋" w:cs="仿宋"/>
          <w:sz w:val="32"/>
          <w:szCs w:val="32"/>
          <w:shd w:val="clear" w:color="auto" w:fill="FFFFFF"/>
        </w:rPr>
        <w:t>次。通过政务公开，方便了纳税人和社会各界了解税务工作和职能，增强了工作透明度，有效宣传了税务工作。我们重点加强了以下工作：</w:t>
      </w:r>
    </w:p>
    <w:p>
      <w:pPr>
        <w:keepNext w:val="0"/>
        <w:keepLines w:val="0"/>
        <w:pageBreakBefore w:val="0"/>
        <w:widowControl/>
        <w:shd w:val="clear" w:color="auto" w:fill="FFFFFF"/>
        <w:kinsoku/>
        <w:wordWrap/>
        <w:overflowPunct/>
        <w:topLinePunct w:val="0"/>
        <w:bidi w:val="0"/>
        <w:adjustRightInd w:val="0"/>
        <w:snapToGrid w:val="0"/>
        <w:spacing w:line="560" w:lineRule="exact"/>
        <w:ind w:left="150" w:firstLine="643" w:firstLineChars="200"/>
        <w:jc w:val="both"/>
        <w:textAlignment w:val="auto"/>
        <w:rPr>
          <w:rFonts w:ascii="仿宋" w:hAnsi="仿宋" w:eastAsia="仿宋" w:cs="仿宋"/>
          <w:b/>
          <w:color w:val="333333"/>
          <w:kern w:val="0"/>
          <w:sz w:val="32"/>
          <w:szCs w:val="32"/>
          <w:shd w:val="clear" w:color="auto" w:fill="FFFFFF"/>
        </w:rPr>
      </w:pPr>
      <w:r>
        <w:rPr>
          <w:rFonts w:hint="eastAsia" w:ascii="仿宋" w:hAnsi="仿宋" w:eastAsia="仿宋" w:cs="仿宋"/>
          <w:b/>
          <w:color w:val="333333"/>
          <w:kern w:val="0"/>
          <w:sz w:val="32"/>
          <w:szCs w:val="32"/>
          <w:shd w:val="clear" w:color="auto" w:fill="FFFFFF"/>
        </w:rPr>
        <w:t>（</w:t>
      </w:r>
      <w:r>
        <w:rPr>
          <w:rFonts w:hint="eastAsia" w:ascii="仿宋" w:hAnsi="仿宋" w:eastAsia="仿宋" w:cs="仿宋"/>
          <w:b/>
          <w:color w:val="333333"/>
          <w:kern w:val="0"/>
          <w:sz w:val="32"/>
          <w:szCs w:val="32"/>
          <w:shd w:val="clear" w:color="auto" w:fill="FFFFFF"/>
          <w:lang w:eastAsia="zh-CN"/>
        </w:rPr>
        <w:t>一</w:t>
      </w:r>
      <w:r>
        <w:rPr>
          <w:rFonts w:hint="eastAsia" w:ascii="仿宋" w:hAnsi="仿宋" w:eastAsia="仿宋" w:cs="仿宋"/>
          <w:b/>
          <w:color w:val="333333"/>
          <w:kern w:val="0"/>
          <w:sz w:val="32"/>
          <w:szCs w:val="32"/>
          <w:shd w:val="clear" w:color="auto" w:fill="FFFFFF"/>
        </w:rPr>
        <w:t>）提升政务服务工作质效</w:t>
      </w:r>
    </w:p>
    <w:p>
      <w:pPr>
        <w:keepNext w:val="0"/>
        <w:keepLines w:val="0"/>
        <w:pageBreakBefore w:val="0"/>
        <w:widowControl/>
        <w:shd w:val="clear" w:color="auto" w:fill="FFFFFF"/>
        <w:kinsoku/>
        <w:wordWrap/>
        <w:overflowPunct/>
        <w:topLinePunct w:val="0"/>
        <w:bidi w:val="0"/>
        <w:adjustRightInd w:val="0"/>
        <w:snapToGrid w:val="0"/>
        <w:spacing w:line="560" w:lineRule="exact"/>
        <w:ind w:left="150" w:firstLine="640" w:firstLineChars="200"/>
        <w:jc w:val="both"/>
        <w:textAlignment w:val="auto"/>
        <w:rPr>
          <w:rFonts w:ascii="仿宋" w:hAnsi="仿宋" w:eastAsia="仿宋" w:cs="仿宋"/>
          <w:bCs/>
          <w:kern w:val="0"/>
          <w:sz w:val="32"/>
          <w:szCs w:val="32"/>
          <w:shd w:val="clear" w:color="auto" w:fill="FFFFFF"/>
        </w:rPr>
      </w:pPr>
      <w:r>
        <w:rPr>
          <w:rFonts w:hint="eastAsia" w:ascii="仿宋" w:hAnsi="仿宋" w:eastAsia="仿宋" w:cs="仿宋"/>
          <w:bCs/>
          <w:kern w:val="0"/>
          <w:sz w:val="32"/>
          <w:szCs w:val="32"/>
          <w:shd w:val="clear" w:color="auto" w:fill="FFFFFF"/>
        </w:rPr>
        <w:t>明确政府信息公开重点，利用好纳税服务大厅这一阵地，及时将各项征管政策予以主动公开，在纳税服务厅成立导税团队，坚持领导值班制度和信访接待制度，及时回应纳税人和社会各界的咨询。将政府信息公开工作纳入绩效管理系统，强化对政务公开工作的督办力度，在全体税务干部队伍中树立政府信息公开意识，形成良好氛围。</w:t>
      </w:r>
    </w:p>
    <w:p>
      <w:pPr>
        <w:keepNext w:val="0"/>
        <w:keepLines w:val="0"/>
        <w:pageBreakBefore w:val="0"/>
        <w:widowControl/>
        <w:shd w:val="clear" w:color="auto" w:fill="FFFFFF"/>
        <w:kinsoku/>
        <w:wordWrap/>
        <w:overflowPunct/>
        <w:topLinePunct w:val="0"/>
        <w:bidi w:val="0"/>
        <w:adjustRightInd w:val="0"/>
        <w:snapToGrid w:val="0"/>
        <w:spacing w:line="560" w:lineRule="exact"/>
        <w:ind w:left="150" w:firstLine="643" w:firstLineChars="200"/>
        <w:jc w:val="both"/>
        <w:textAlignment w:val="auto"/>
        <w:rPr>
          <w:rFonts w:ascii="仿宋" w:hAnsi="仿宋" w:eastAsia="仿宋" w:cs="仿宋"/>
          <w:color w:val="2B2B2B"/>
          <w:sz w:val="32"/>
          <w:szCs w:val="32"/>
        </w:rPr>
      </w:pPr>
      <w:r>
        <w:rPr>
          <w:rFonts w:hint="eastAsia" w:ascii="仿宋" w:hAnsi="仿宋" w:eastAsia="仿宋" w:cs="仿宋"/>
          <w:b/>
          <w:color w:val="333333"/>
          <w:kern w:val="0"/>
          <w:sz w:val="32"/>
          <w:szCs w:val="32"/>
          <w:shd w:val="clear" w:color="auto" w:fill="FFFFFF"/>
        </w:rPr>
        <w:t>（</w:t>
      </w:r>
      <w:r>
        <w:rPr>
          <w:rFonts w:hint="eastAsia" w:ascii="仿宋" w:hAnsi="仿宋" w:eastAsia="仿宋" w:cs="仿宋"/>
          <w:b/>
          <w:color w:val="333333"/>
          <w:kern w:val="0"/>
          <w:sz w:val="32"/>
          <w:szCs w:val="32"/>
          <w:shd w:val="clear" w:color="auto" w:fill="FFFFFF"/>
          <w:lang w:eastAsia="zh-CN"/>
        </w:rPr>
        <w:t>二</w:t>
      </w:r>
      <w:r>
        <w:rPr>
          <w:rFonts w:hint="eastAsia" w:ascii="仿宋" w:hAnsi="仿宋" w:eastAsia="仿宋" w:cs="仿宋"/>
          <w:b/>
          <w:color w:val="333333"/>
          <w:kern w:val="0"/>
          <w:sz w:val="32"/>
          <w:szCs w:val="32"/>
          <w:shd w:val="clear" w:color="auto" w:fill="FFFFFF"/>
        </w:rPr>
        <w:t>）推进政府信息公开平台建设</w:t>
      </w:r>
    </w:p>
    <w:p>
      <w:pPr>
        <w:keepNext w:val="0"/>
        <w:keepLines w:val="0"/>
        <w:pageBreakBefore w:val="0"/>
        <w:kinsoku/>
        <w:wordWrap/>
        <w:overflowPunct/>
        <w:topLinePunct w:val="0"/>
        <w:bidi w:val="0"/>
        <w:adjustRightInd w:val="0"/>
        <w:snapToGrid w:val="0"/>
        <w:spacing w:line="560" w:lineRule="exact"/>
        <w:ind w:firstLine="640" w:firstLineChars="200"/>
        <w:jc w:val="both"/>
        <w:textAlignment w:val="auto"/>
        <w:rPr>
          <w:rFonts w:ascii="仿宋_GB2312" w:hAnsi="宋体" w:eastAsia="仿宋_GB2312" w:cs="宋体"/>
          <w:sz w:val="32"/>
          <w:szCs w:val="32"/>
        </w:rPr>
      </w:pPr>
      <w:r>
        <w:rPr>
          <w:rFonts w:hint="eastAsia" w:ascii="仿宋" w:hAnsi="仿宋" w:eastAsia="仿宋" w:cs="仿宋"/>
          <w:kern w:val="0"/>
          <w:sz w:val="32"/>
          <w:szCs w:val="32"/>
          <w:shd w:val="clear" w:color="auto" w:fill="FFFFFF"/>
        </w:rPr>
        <w:t>依托单位内部网站，借助网络平台定期将全局重要工作信息、工作动态、政策法规、工作程序等进行公开，为税务干部了解我局政务工作和最新税收政策提供了便利。同时，通过纳税服务厅公示栏、纳税人学堂、微信群等方式，广泛宣传税收政策，增强税收工作的透明度。全面深化办税服务厅标准化建设，以开展“便民办税春风行动”活动为抓手，不断优化纳税服务资源配置，持续改进服务措施，强化纳税人权益保护。做好公开行政审批清单、提高办税服务效率、推行首问负责制、减轻纳税人负担、公开纳税人信用状况清单、公开执法权力清单等工作，有效推进春风行动的实施，全面提升纳税服务水平。</w:t>
      </w:r>
    </w:p>
    <w:tbl>
      <w:tblPr>
        <w:tblStyle w:val="5"/>
        <w:tblW w:w="8140" w:type="dxa"/>
        <w:jc w:val="center"/>
        <w:tblInd w:w="0" w:type="dxa"/>
        <w:tblLayout w:type="fixed"/>
        <w:tblCellMar>
          <w:top w:w="0" w:type="dxa"/>
          <w:left w:w="0" w:type="dxa"/>
          <w:bottom w:w="0" w:type="dxa"/>
          <w:right w:w="0" w:type="dxa"/>
        </w:tblCellMar>
      </w:tblPr>
      <w:tblGrid>
        <w:gridCol w:w="3113"/>
        <w:gridCol w:w="1875"/>
        <w:gridCol w:w="6"/>
        <w:gridCol w:w="1265"/>
        <w:gridCol w:w="1881"/>
      </w:tblGrid>
      <w:tr>
        <w:tblPrEx>
          <w:tblLayout w:type="fixed"/>
          <w:tblCellMar>
            <w:top w:w="0" w:type="dxa"/>
            <w:left w:w="0" w:type="dxa"/>
            <w:bottom w:w="0" w:type="dxa"/>
            <w:right w:w="0" w:type="dxa"/>
          </w:tblCellMar>
        </w:tblPrEx>
        <w:trPr>
          <w:trHeight w:val="495" w:hRule="atLeast"/>
          <w:jc w:val="center"/>
        </w:trPr>
        <w:tc>
          <w:tcPr>
            <w:tcW w:w="8140" w:type="dxa"/>
            <w:gridSpan w:val="5"/>
            <w:tcBorders>
              <w:top w:val="single" w:color="auto" w:sz="8" w:space="0"/>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第二十条第（一）项</w:t>
            </w:r>
          </w:p>
        </w:tc>
      </w:tr>
      <w:tr>
        <w:tblPrEx>
          <w:tblLayout w:type="fixed"/>
          <w:tblCellMar>
            <w:top w:w="0" w:type="dxa"/>
            <w:left w:w="0" w:type="dxa"/>
            <w:bottom w:w="0" w:type="dxa"/>
            <w:right w:w="0" w:type="dxa"/>
          </w:tblCellMar>
        </w:tblPrEx>
        <w:trPr>
          <w:trHeight w:val="882"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187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本年新</w:t>
            </w:r>
            <w:r>
              <w:rPr>
                <w:rFonts w:hint="eastAsia" w:ascii="宋体" w:hAnsi="宋体" w:eastAsia="宋体" w:cs="宋体"/>
                <w:color w:val="000000"/>
                <w:kern w:val="0"/>
                <w:sz w:val="20"/>
                <w:szCs w:val="20"/>
              </w:rPr>
              <w:br w:type="textWrapping"/>
            </w:r>
            <w:r>
              <w:rPr>
                <w:rFonts w:ascii="宋体" w:hAnsi="宋体" w:eastAsia="宋体" w:cs="宋体"/>
                <w:kern w:val="0"/>
                <w:sz w:val="20"/>
                <w:szCs w:val="20"/>
              </w:rPr>
              <w:t>制作数量</w:t>
            </w:r>
          </w:p>
        </w:tc>
        <w:tc>
          <w:tcPr>
            <w:tcW w:w="1271"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本年新</w:t>
            </w:r>
            <w:r>
              <w:rPr>
                <w:rFonts w:hint="eastAsia" w:ascii="宋体" w:hAnsi="宋体" w:eastAsia="宋体" w:cs="宋体"/>
                <w:color w:val="000000"/>
                <w:kern w:val="0"/>
                <w:sz w:val="20"/>
                <w:szCs w:val="20"/>
              </w:rPr>
              <w:br w:type="textWrapping"/>
            </w:r>
            <w:r>
              <w:rPr>
                <w:rFonts w:ascii="宋体" w:hAnsi="宋体" w:eastAsia="宋体" w:cs="宋体"/>
                <w:kern w:val="0"/>
                <w:sz w:val="20"/>
                <w:szCs w:val="20"/>
              </w:rPr>
              <w:t>公开数量</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对外公开总数量</w:t>
            </w:r>
          </w:p>
        </w:tc>
      </w:tr>
      <w:tr>
        <w:tblPrEx>
          <w:tblLayout w:type="fixed"/>
          <w:tblCellMar>
            <w:top w:w="0" w:type="dxa"/>
            <w:left w:w="0" w:type="dxa"/>
            <w:bottom w:w="0" w:type="dxa"/>
            <w:right w:w="0" w:type="dxa"/>
          </w:tblCellMar>
        </w:tblPrEx>
        <w:trPr>
          <w:trHeight w:val="523"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规章</w:t>
            </w:r>
          </w:p>
        </w:tc>
        <w:tc>
          <w:tcPr>
            <w:tcW w:w="18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　　</w:t>
            </w:r>
            <w:r>
              <w:rPr>
                <w:rFonts w:hint="eastAsia" w:ascii="宋体" w:hAnsi="宋体" w:eastAsia="宋体" w:cs="宋体"/>
                <w:color w:val="000000"/>
                <w:kern w:val="0"/>
                <w:sz w:val="20"/>
                <w:szCs w:val="20"/>
                <w:lang w:eastAsia="zh-CN"/>
              </w:rPr>
              <w:t>0</w:t>
            </w:r>
          </w:p>
        </w:tc>
        <w:tc>
          <w:tcPr>
            <w:tcW w:w="127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eastAsia="zh-CN"/>
              </w:rPr>
            </w:pPr>
            <w:r>
              <w:rPr>
                <w:rFonts w:hint="eastAsia" w:ascii="宋体" w:hAnsi="宋体" w:eastAsia="宋体" w:cs="宋体"/>
                <w:kern w:val="0"/>
                <w:sz w:val="24"/>
                <w:szCs w:val="24"/>
                <w:lang w:eastAsia="zh-CN"/>
              </w:rPr>
              <w:t>0</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r>
        <w:tblPrEx>
          <w:tblLayout w:type="fixed"/>
          <w:tblCellMar>
            <w:top w:w="0" w:type="dxa"/>
            <w:left w:w="0" w:type="dxa"/>
            <w:bottom w:w="0" w:type="dxa"/>
            <w:right w:w="0" w:type="dxa"/>
          </w:tblCellMar>
        </w:tblPrEx>
        <w:trPr>
          <w:trHeight w:val="471"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规范性文件</w:t>
            </w:r>
          </w:p>
        </w:tc>
        <w:tc>
          <w:tcPr>
            <w:tcW w:w="18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　　</w:t>
            </w:r>
            <w:r>
              <w:rPr>
                <w:rFonts w:hint="eastAsia" w:ascii="宋体" w:hAnsi="宋体" w:eastAsia="宋体" w:cs="宋体"/>
                <w:color w:val="000000"/>
                <w:kern w:val="0"/>
                <w:sz w:val="20"/>
                <w:szCs w:val="20"/>
                <w:lang w:eastAsia="zh-CN"/>
              </w:rPr>
              <w:t>0</w:t>
            </w:r>
          </w:p>
        </w:tc>
        <w:tc>
          <w:tcPr>
            <w:tcW w:w="127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 </w:t>
            </w:r>
            <w:r>
              <w:rPr>
                <w:rFonts w:hint="eastAsia" w:ascii="宋体" w:hAnsi="宋体" w:eastAsia="宋体" w:cs="宋体"/>
                <w:color w:val="000000"/>
                <w:kern w:val="0"/>
                <w:sz w:val="20"/>
                <w:szCs w:val="20"/>
                <w:lang w:eastAsia="zh-CN"/>
              </w:rPr>
              <w:t>0</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宋体" w:hAnsi="宋体" w:eastAsia="宋体" w:cs="宋体"/>
                <w:kern w:val="0"/>
                <w:sz w:val="24"/>
                <w:szCs w:val="24"/>
                <w:lang w:val="en-US" w:eastAsia="zh-CN"/>
              </w:rPr>
            </w:pPr>
            <w:r>
              <w:rPr>
                <w:rFonts w:hint="eastAsia" w:ascii="宋体" w:hAnsi="宋体" w:eastAsia="宋体" w:cs="宋体"/>
                <w:color w:val="000000"/>
                <w:kern w:val="0"/>
                <w:sz w:val="20"/>
                <w:szCs w:val="20"/>
              </w:rPr>
              <w:t>　</w:t>
            </w:r>
            <w:r>
              <w:rPr>
                <w:rFonts w:hint="eastAsia" w:ascii="宋体" w:hAnsi="宋体" w:eastAsia="宋体" w:cs="宋体"/>
                <w:color w:val="000000"/>
                <w:kern w:val="0"/>
                <w:sz w:val="20"/>
                <w:szCs w:val="20"/>
                <w:lang w:val="en-US" w:eastAsia="zh-CN"/>
              </w:rPr>
              <w:t>0</w:t>
            </w:r>
          </w:p>
        </w:tc>
      </w:tr>
      <w:tr>
        <w:tblPrEx>
          <w:tblLayout w:type="fixed"/>
          <w:tblCellMar>
            <w:top w:w="0" w:type="dxa"/>
            <w:left w:w="0" w:type="dxa"/>
            <w:bottom w:w="0" w:type="dxa"/>
            <w:right w:w="0" w:type="dxa"/>
          </w:tblCellMar>
        </w:tblPrEx>
        <w:trPr>
          <w:trHeight w:val="480"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第二十条第（五）项</w:t>
            </w:r>
          </w:p>
        </w:tc>
      </w:tr>
      <w:tr>
        <w:tblPrEx>
          <w:tblLayout w:type="fixed"/>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187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上一年项目数量</w:t>
            </w:r>
          </w:p>
        </w:tc>
        <w:tc>
          <w:tcPr>
            <w:tcW w:w="1271"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本年增/减</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处理决定数量</w:t>
            </w:r>
          </w:p>
        </w:tc>
      </w:tr>
      <w:tr>
        <w:tblPrEx>
          <w:tblLayout w:type="fixed"/>
          <w:tblCellMar>
            <w:top w:w="0" w:type="dxa"/>
            <w:left w:w="0" w:type="dxa"/>
            <w:bottom w:w="0" w:type="dxa"/>
            <w:right w:w="0" w:type="dxa"/>
          </w:tblCellMar>
        </w:tblPrEx>
        <w:trPr>
          <w:trHeight w:val="528"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行政许可</w:t>
            </w:r>
          </w:p>
        </w:tc>
        <w:tc>
          <w:tcPr>
            <w:tcW w:w="188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　</w:t>
            </w:r>
            <w:r>
              <w:rPr>
                <w:rFonts w:hint="eastAsia" w:ascii="宋体" w:hAnsi="宋体" w:eastAsia="宋体" w:cs="宋体"/>
                <w:color w:val="000000"/>
                <w:kern w:val="0"/>
                <w:sz w:val="20"/>
                <w:szCs w:val="20"/>
                <w:lang w:eastAsia="zh-CN"/>
              </w:rPr>
              <w:t>316</w:t>
            </w:r>
          </w:p>
        </w:tc>
        <w:tc>
          <w:tcPr>
            <w:tcW w:w="12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　</w:t>
            </w:r>
            <w:r>
              <w:rPr>
                <w:rFonts w:hint="eastAsia" w:ascii="宋体" w:hAnsi="宋体" w:eastAsia="宋体" w:cs="宋体"/>
                <w:color w:val="000000"/>
                <w:kern w:val="0"/>
                <w:sz w:val="20"/>
                <w:szCs w:val="20"/>
                <w:lang w:eastAsia="zh-CN"/>
              </w:rPr>
              <w:t>263</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宋体" w:hAnsi="宋体" w:eastAsia="宋体" w:cs="宋体"/>
                <w:kern w:val="0"/>
                <w:sz w:val="24"/>
                <w:szCs w:val="24"/>
                <w:lang w:val="en-US" w:eastAsia="zh-CN"/>
              </w:rPr>
            </w:pPr>
            <w:r>
              <w:rPr>
                <w:rFonts w:hint="eastAsia" w:ascii="宋体" w:hAnsi="宋体" w:eastAsia="宋体" w:cs="宋体"/>
                <w:color w:val="000000"/>
                <w:kern w:val="0"/>
                <w:sz w:val="20"/>
                <w:szCs w:val="20"/>
              </w:rPr>
              <w:t>　</w:t>
            </w:r>
            <w:r>
              <w:rPr>
                <w:rFonts w:hint="eastAsia" w:ascii="宋体" w:hAnsi="宋体" w:eastAsia="宋体" w:cs="宋体"/>
                <w:color w:val="000000"/>
                <w:kern w:val="0"/>
                <w:sz w:val="20"/>
                <w:szCs w:val="20"/>
                <w:lang w:val="en-US" w:eastAsia="zh-CN"/>
              </w:rPr>
              <w:t>579</w:t>
            </w:r>
          </w:p>
        </w:tc>
      </w:tr>
      <w:tr>
        <w:tblPrEx>
          <w:tblLayout w:type="fixed"/>
          <w:tblCellMar>
            <w:top w:w="0" w:type="dxa"/>
            <w:left w:w="0" w:type="dxa"/>
            <w:bottom w:w="0" w:type="dxa"/>
            <w:right w:w="0" w:type="dxa"/>
          </w:tblCellMar>
        </w:tblPrEx>
        <w:trPr>
          <w:trHeight w:val="550"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其他对外管理服务事项</w:t>
            </w:r>
          </w:p>
        </w:tc>
        <w:tc>
          <w:tcPr>
            <w:tcW w:w="188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　</w:t>
            </w:r>
            <w:r>
              <w:rPr>
                <w:rFonts w:hint="eastAsia" w:ascii="宋体" w:hAnsi="宋体" w:eastAsia="宋体" w:cs="宋体"/>
                <w:color w:val="000000"/>
                <w:kern w:val="0"/>
                <w:sz w:val="20"/>
                <w:szCs w:val="20"/>
                <w:lang w:eastAsia="zh-CN"/>
              </w:rPr>
              <w:t>0</w:t>
            </w:r>
          </w:p>
        </w:tc>
        <w:tc>
          <w:tcPr>
            <w:tcW w:w="12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　</w:t>
            </w:r>
            <w:r>
              <w:rPr>
                <w:rFonts w:hint="eastAsia" w:ascii="宋体" w:hAnsi="宋体" w:eastAsia="宋体" w:cs="宋体"/>
                <w:color w:val="000000"/>
                <w:kern w:val="0"/>
                <w:sz w:val="20"/>
                <w:szCs w:val="20"/>
                <w:lang w:eastAsia="zh-CN"/>
              </w:rPr>
              <w:t>0</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宋体" w:hAnsi="宋体" w:eastAsia="宋体" w:cs="宋体"/>
                <w:kern w:val="0"/>
                <w:sz w:val="24"/>
                <w:szCs w:val="24"/>
                <w:lang w:val="en-US" w:eastAsia="zh-CN"/>
              </w:rPr>
            </w:pPr>
            <w:r>
              <w:rPr>
                <w:rFonts w:hint="eastAsia" w:ascii="宋体" w:hAnsi="宋体" w:eastAsia="宋体" w:cs="宋体"/>
                <w:color w:val="000000"/>
                <w:kern w:val="0"/>
                <w:sz w:val="20"/>
                <w:szCs w:val="20"/>
              </w:rPr>
              <w:t>　</w:t>
            </w:r>
            <w:r>
              <w:rPr>
                <w:rFonts w:hint="eastAsia" w:ascii="宋体" w:hAnsi="宋体" w:eastAsia="宋体" w:cs="宋体"/>
                <w:color w:val="000000"/>
                <w:kern w:val="0"/>
                <w:sz w:val="20"/>
                <w:szCs w:val="20"/>
                <w:lang w:val="en-US" w:eastAsia="zh-CN"/>
              </w:rPr>
              <w:t>0</w:t>
            </w:r>
          </w:p>
        </w:tc>
      </w:tr>
      <w:tr>
        <w:tblPrEx>
          <w:tblLayout w:type="fixed"/>
          <w:tblCellMar>
            <w:top w:w="0" w:type="dxa"/>
            <w:left w:w="0" w:type="dxa"/>
            <w:bottom w:w="0" w:type="dxa"/>
            <w:right w:w="0" w:type="dxa"/>
          </w:tblCellMar>
        </w:tblPrEx>
        <w:trPr>
          <w:trHeight w:val="406"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第二十条第（六）项</w:t>
            </w:r>
          </w:p>
        </w:tc>
      </w:tr>
      <w:tr>
        <w:tblPrEx>
          <w:tblLayout w:type="fixed"/>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187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上一年项目数量</w:t>
            </w:r>
          </w:p>
        </w:tc>
        <w:tc>
          <w:tcPr>
            <w:tcW w:w="1271"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本年增/减</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处理决定数量</w:t>
            </w:r>
          </w:p>
        </w:tc>
      </w:tr>
      <w:tr>
        <w:tblPrEx>
          <w:tblLayout w:type="fixed"/>
          <w:tblCellMar>
            <w:top w:w="0" w:type="dxa"/>
            <w:left w:w="0" w:type="dxa"/>
            <w:bottom w:w="0" w:type="dxa"/>
            <w:right w:w="0" w:type="dxa"/>
          </w:tblCellMar>
        </w:tblPrEx>
        <w:trPr>
          <w:trHeight w:val="430"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行政处罚</w:t>
            </w:r>
          </w:p>
        </w:tc>
        <w:tc>
          <w:tcPr>
            <w:tcW w:w="188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　</w:t>
            </w:r>
            <w:r>
              <w:rPr>
                <w:rFonts w:hint="eastAsia" w:ascii="宋体" w:hAnsi="宋体" w:eastAsia="宋体" w:cs="宋体"/>
                <w:color w:val="000000"/>
                <w:kern w:val="0"/>
                <w:sz w:val="20"/>
                <w:szCs w:val="20"/>
                <w:lang w:eastAsia="zh-CN"/>
              </w:rPr>
              <w:t>489</w:t>
            </w:r>
          </w:p>
        </w:tc>
        <w:tc>
          <w:tcPr>
            <w:tcW w:w="12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　</w:t>
            </w:r>
            <w:r>
              <w:rPr>
                <w:rFonts w:hint="eastAsia" w:ascii="宋体" w:hAnsi="宋体" w:eastAsia="宋体" w:cs="宋体"/>
                <w:color w:val="000000"/>
                <w:kern w:val="0"/>
                <w:sz w:val="20"/>
                <w:szCs w:val="20"/>
                <w:lang w:eastAsia="zh-CN"/>
              </w:rPr>
              <w:t>-101</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宋体" w:hAnsi="宋体" w:eastAsia="宋体" w:cs="宋体"/>
                <w:kern w:val="0"/>
                <w:sz w:val="24"/>
                <w:szCs w:val="24"/>
                <w:lang w:val="en-US" w:eastAsia="zh-CN"/>
              </w:rPr>
            </w:pPr>
            <w:r>
              <w:rPr>
                <w:rFonts w:hint="eastAsia" w:ascii="宋体" w:hAnsi="宋体" w:eastAsia="宋体" w:cs="宋体"/>
                <w:color w:val="000000"/>
                <w:kern w:val="0"/>
                <w:sz w:val="20"/>
                <w:szCs w:val="20"/>
              </w:rPr>
              <w:t>　</w:t>
            </w:r>
            <w:r>
              <w:rPr>
                <w:rFonts w:hint="eastAsia" w:ascii="宋体" w:hAnsi="宋体" w:eastAsia="宋体" w:cs="宋体"/>
                <w:color w:val="000000"/>
                <w:kern w:val="0"/>
                <w:sz w:val="20"/>
                <w:szCs w:val="20"/>
                <w:lang w:val="en-US" w:eastAsia="zh-CN"/>
              </w:rPr>
              <w:t>388</w:t>
            </w:r>
          </w:p>
        </w:tc>
      </w:tr>
      <w:tr>
        <w:tblPrEx>
          <w:tblLayout w:type="fixed"/>
          <w:tblCellMar>
            <w:top w:w="0" w:type="dxa"/>
            <w:left w:w="0" w:type="dxa"/>
            <w:bottom w:w="0" w:type="dxa"/>
            <w:right w:w="0" w:type="dxa"/>
          </w:tblCellMar>
        </w:tblPrEx>
        <w:trPr>
          <w:trHeight w:val="409"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行政强制</w:t>
            </w:r>
          </w:p>
        </w:tc>
        <w:tc>
          <w:tcPr>
            <w:tcW w:w="188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　</w:t>
            </w:r>
            <w:r>
              <w:rPr>
                <w:rFonts w:hint="eastAsia" w:ascii="宋体" w:hAnsi="宋体" w:eastAsia="宋体" w:cs="宋体"/>
                <w:color w:val="000000"/>
                <w:kern w:val="0"/>
                <w:sz w:val="20"/>
                <w:szCs w:val="20"/>
                <w:lang w:eastAsia="zh-CN"/>
              </w:rPr>
              <w:t>0</w:t>
            </w:r>
          </w:p>
        </w:tc>
        <w:tc>
          <w:tcPr>
            <w:tcW w:w="12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　</w:t>
            </w:r>
            <w:r>
              <w:rPr>
                <w:rFonts w:hint="eastAsia" w:ascii="宋体" w:hAnsi="宋体" w:eastAsia="宋体" w:cs="宋体"/>
                <w:color w:val="000000"/>
                <w:kern w:val="0"/>
                <w:sz w:val="20"/>
                <w:szCs w:val="20"/>
                <w:lang w:eastAsia="zh-CN"/>
              </w:rPr>
              <w:t>0</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宋体" w:hAnsi="宋体" w:eastAsia="宋体" w:cs="宋体"/>
                <w:kern w:val="0"/>
                <w:sz w:val="24"/>
                <w:szCs w:val="24"/>
                <w:lang w:val="en-US" w:eastAsia="zh-CN"/>
              </w:rPr>
            </w:pPr>
            <w:r>
              <w:rPr>
                <w:rFonts w:hint="eastAsia" w:ascii="宋体" w:hAnsi="宋体" w:eastAsia="宋体" w:cs="宋体"/>
                <w:color w:val="000000"/>
                <w:kern w:val="0"/>
                <w:sz w:val="20"/>
                <w:szCs w:val="20"/>
              </w:rPr>
              <w:t>　</w:t>
            </w:r>
            <w:r>
              <w:rPr>
                <w:rFonts w:hint="eastAsia" w:ascii="宋体" w:hAnsi="宋体" w:eastAsia="宋体" w:cs="宋体"/>
                <w:color w:val="000000"/>
                <w:kern w:val="0"/>
                <w:sz w:val="20"/>
                <w:szCs w:val="20"/>
                <w:lang w:val="en-US" w:eastAsia="zh-CN"/>
              </w:rPr>
              <w:t>0</w:t>
            </w:r>
          </w:p>
        </w:tc>
      </w:tr>
      <w:tr>
        <w:tblPrEx>
          <w:tblLayout w:type="fixed"/>
          <w:tblCellMar>
            <w:top w:w="0" w:type="dxa"/>
            <w:left w:w="0" w:type="dxa"/>
            <w:bottom w:w="0" w:type="dxa"/>
            <w:right w:w="0" w:type="dxa"/>
          </w:tblCellMar>
        </w:tblPrEx>
        <w:trPr>
          <w:trHeight w:val="474"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第二十条第（八）项</w:t>
            </w:r>
          </w:p>
        </w:tc>
      </w:tr>
      <w:tr>
        <w:tblPrEx>
          <w:tblLayout w:type="fixed"/>
          <w:tblCellMar>
            <w:top w:w="0" w:type="dxa"/>
            <w:left w:w="0" w:type="dxa"/>
            <w:bottom w:w="0" w:type="dxa"/>
            <w:right w:w="0" w:type="dxa"/>
          </w:tblCellMar>
        </w:tblPrEx>
        <w:trPr>
          <w:trHeight w:val="270"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188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上一年项目数量</w:t>
            </w:r>
          </w:p>
        </w:tc>
        <w:tc>
          <w:tcPr>
            <w:tcW w:w="3146" w:type="dxa"/>
            <w:gridSpan w:val="2"/>
            <w:tcBorders>
              <w:top w:val="single" w:color="auto" w:sz="8" w:space="0"/>
              <w:left w:val="nil"/>
              <w:bottom w:val="single" w:color="auto" w:sz="8" w:space="0"/>
              <w:right w:val="single" w:color="000000"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本年增/减</w:t>
            </w:r>
          </w:p>
        </w:tc>
      </w:tr>
      <w:tr>
        <w:tblPrEx>
          <w:tblLayout w:type="fixed"/>
          <w:tblCellMar>
            <w:top w:w="0" w:type="dxa"/>
            <w:left w:w="0" w:type="dxa"/>
            <w:bottom w:w="0" w:type="dxa"/>
            <w:right w:w="0" w:type="dxa"/>
          </w:tblCellMar>
        </w:tblPrEx>
        <w:trPr>
          <w:trHeight w:val="551"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行政事业性收费</w:t>
            </w:r>
          </w:p>
        </w:tc>
        <w:tc>
          <w:tcPr>
            <w:tcW w:w="188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cs="宋体"/>
                <w:kern w:val="0"/>
                <w:sz w:val="20"/>
                <w:szCs w:val="20"/>
              </w:rPr>
              <w:t>0</w:t>
            </w:r>
          </w:p>
        </w:tc>
        <w:tc>
          <w:tcPr>
            <w:tcW w:w="3146" w:type="dxa"/>
            <w:gridSpan w:val="2"/>
            <w:tcBorders>
              <w:top w:val="nil"/>
              <w:left w:val="nil"/>
              <w:bottom w:val="single" w:color="auto" w:sz="8" w:space="0"/>
              <w:right w:val="single" w:color="000000"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 1</w:t>
            </w:r>
          </w:p>
        </w:tc>
      </w:tr>
      <w:tr>
        <w:tblPrEx>
          <w:tblLayout w:type="fixed"/>
          <w:tblCellMar>
            <w:top w:w="0" w:type="dxa"/>
            <w:left w:w="0" w:type="dxa"/>
            <w:bottom w:w="0" w:type="dxa"/>
            <w:right w:w="0" w:type="dxa"/>
          </w:tblCellMar>
        </w:tblPrEx>
        <w:trPr>
          <w:trHeight w:val="476"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第二十条第（九）项</w:t>
            </w:r>
          </w:p>
        </w:tc>
      </w:tr>
      <w:tr>
        <w:tblPrEx>
          <w:tblLayout w:type="fixed"/>
          <w:tblCellMar>
            <w:top w:w="0" w:type="dxa"/>
            <w:left w:w="0" w:type="dxa"/>
            <w:bottom w:w="0" w:type="dxa"/>
            <w:right w:w="0" w:type="dxa"/>
          </w:tblCellMar>
        </w:tblPrEx>
        <w:trPr>
          <w:trHeight w:val="585"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188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采购项目数量</w:t>
            </w:r>
          </w:p>
        </w:tc>
        <w:tc>
          <w:tcPr>
            <w:tcW w:w="3146" w:type="dxa"/>
            <w:gridSpan w:val="2"/>
            <w:tcBorders>
              <w:top w:val="single" w:color="auto" w:sz="8" w:space="0"/>
              <w:left w:val="nil"/>
              <w:bottom w:val="single" w:color="auto" w:sz="8" w:space="0"/>
              <w:right w:val="single" w:color="000000"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采购总金额</w:t>
            </w:r>
          </w:p>
        </w:tc>
      </w:tr>
      <w:tr>
        <w:tblPrEx>
          <w:tblLayout w:type="fixed"/>
          <w:tblCellMar>
            <w:top w:w="0" w:type="dxa"/>
            <w:left w:w="0" w:type="dxa"/>
            <w:bottom w:w="0" w:type="dxa"/>
            <w:right w:w="0" w:type="dxa"/>
          </w:tblCellMar>
        </w:tblPrEx>
        <w:trPr>
          <w:trHeight w:val="539"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政府集中采购</w:t>
            </w:r>
          </w:p>
        </w:tc>
        <w:tc>
          <w:tcPr>
            <w:tcW w:w="188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numPr>
                <w:ilvl w:val="0"/>
                <w:numId w:val="0"/>
              </w:numPr>
              <w:ind w:leftChars="0"/>
              <w:jc w:val="center"/>
              <w:rPr>
                <w:rFonts w:ascii="宋体" w:hAnsi="宋体" w:eastAsia="宋体" w:cs="宋体"/>
                <w:kern w:val="0"/>
                <w:sz w:val="24"/>
                <w:szCs w:val="24"/>
              </w:rPr>
            </w:pPr>
            <w:r>
              <w:rPr>
                <w:rFonts w:hint="eastAsia" w:ascii="宋体" w:hAnsi="宋体" w:eastAsia="宋体" w:cs="宋体"/>
                <w:color w:val="000000"/>
                <w:kern w:val="0"/>
                <w:sz w:val="20"/>
                <w:szCs w:val="20"/>
              </w:rPr>
              <w:t>　</w:t>
            </w:r>
            <w:r>
              <w:rPr>
                <w:rFonts w:hint="eastAsia" w:ascii="宋体" w:hAnsi="宋体" w:eastAsia="宋体" w:cs="宋体"/>
                <w:color w:val="000000"/>
                <w:kern w:val="0"/>
                <w:sz w:val="20"/>
                <w:szCs w:val="20"/>
                <w:lang w:eastAsia="zh-CN"/>
              </w:rPr>
              <w:t>120</w:t>
            </w:r>
          </w:p>
        </w:tc>
        <w:tc>
          <w:tcPr>
            <w:tcW w:w="3146" w:type="dxa"/>
            <w:gridSpan w:val="2"/>
            <w:tcBorders>
              <w:top w:val="nil"/>
              <w:left w:val="nil"/>
              <w:bottom w:val="single" w:color="auto" w:sz="8" w:space="0"/>
              <w:right w:val="single" w:color="000000" w:sz="8" w:space="0"/>
            </w:tcBorders>
            <w:tcMar>
              <w:top w:w="0" w:type="dxa"/>
              <w:left w:w="108" w:type="dxa"/>
              <w:bottom w:w="0" w:type="dxa"/>
              <w:right w:w="108" w:type="dxa"/>
            </w:tcMar>
            <w:vAlign w:val="center"/>
          </w:tcPr>
          <w:p>
            <w:pPr>
              <w:widowControl/>
              <w:numPr>
                <w:ilvl w:val="0"/>
                <w:numId w:val="0"/>
              </w:numPr>
              <w:ind w:leftChars="0"/>
              <w:jc w:val="center"/>
              <w:rPr>
                <w:rFonts w:hint="eastAsia" w:ascii="宋体" w:hAnsi="宋体" w:eastAsia="宋体" w:cs="宋体"/>
                <w:kern w:val="0"/>
                <w:sz w:val="24"/>
                <w:szCs w:val="24"/>
                <w:lang w:val="en-US" w:eastAsia="zh-CN"/>
              </w:rPr>
            </w:pPr>
            <w:r>
              <w:rPr>
                <w:rFonts w:hint="eastAsia" w:ascii="宋体" w:hAnsi="宋体" w:eastAsia="宋体" w:cs="宋体"/>
                <w:color w:val="000000"/>
                <w:kern w:val="0"/>
                <w:sz w:val="20"/>
                <w:szCs w:val="20"/>
                <w:lang w:val="en-US" w:eastAsia="zh-CN"/>
              </w:rPr>
              <w:t>721028元</w:t>
            </w:r>
          </w:p>
        </w:tc>
      </w:tr>
    </w:tbl>
    <w:p>
      <w:pPr>
        <w:widowControl/>
        <w:shd w:val="clear" w:color="auto" w:fill="FFFFFF"/>
        <w:ind w:firstLine="480"/>
        <w:rPr>
          <w:rFonts w:ascii="宋体" w:hAnsi="宋体" w:eastAsia="宋体" w:cs="宋体"/>
          <w:color w:val="333333"/>
          <w:kern w:val="0"/>
          <w:szCs w:val="21"/>
        </w:rPr>
      </w:pPr>
    </w:p>
    <w:p>
      <w:pPr>
        <w:widowControl/>
        <w:shd w:val="clear" w:color="auto" w:fill="FFFFFF"/>
        <w:spacing w:after="240"/>
        <w:ind w:firstLine="480"/>
        <w:rPr>
          <w:rFonts w:ascii="黑体" w:hAnsi="黑体" w:eastAsia="黑体" w:cs="宋体"/>
          <w:b/>
          <w:bCs/>
          <w:color w:val="333333"/>
          <w:kern w:val="0"/>
          <w:sz w:val="32"/>
          <w:szCs w:val="32"/>
        </w:rPr>
      </w:pPr>
      <w:r>
        <w:rPr>
          <w:rFonts w:hint="eastAsia" w:ascii="黑体" w:hAnsi="黑体" w:eastAsia="黑体" w:cs="宋体"/>
          <w:b/>
          <w:bCs/>
          <w:color w:val="333333"/>
          <w:kern w:val="0"/>
          <w:sz w:val="32"/>
          <w:szCs w:val="32"/>
        </w:rPr>
        <w:t>三、收到和处理政府信息公开申请情况</w:t>
      </w:r>
    </w:p>
    <w:p>
      <w:pPr>
        <w:pStyle w:val="4"/>
        <w:spacing w:line="500" w:lineRule="exact"/>
        <w:ind w:firstLine="640" w:firstLineChars="200"/>
        <w:jc w:val="both"/>
        <w:rPr>
          <w:rFonts w:ascii="仿宋_GB2312" w:eastAsia="仿宋_GB2312"/>
          <w:color w:val="000000"/>
          <w:position w:val="6"/>
          <w:sz w:val="32"/>
          <w:szCs w:val="32"/>
          <w:lang w:val="zh-CN"/>
        </w:rPr>
      </w:pPr>
      <w:r>
        <w:rPr>
          <w:rFonts w:hint="eastAsia" w:ascii="仿宋" w:hAnsi="仿宋" w:eastAsia="仿宋" w:cs="仿宋"/>
          <w:sz w:val="32"/>
          <w:szCs w:val="32"/>
          <w:shd w:val="clear" w:color="auto" w:fill="FFFFFF"/>
        </w:rPr>
        <w:t>201</w:t>
      </w:r>
      <w:r>
        <w:rPr>
          <w:rFonts w:hint="eastAsia" w:ascii="仿宋" w:hAnsi="仿宋" w:eastAsia="仿宋" w:cs="仿宋"/>
          <w:sz w:val="32"/>
          <w:szCs w:val="32"/>
          <w:shd w:val="clear" w:color="auto" w:fill="FFFFFF"/>
          <w:lang w:eastAsia="zh-CN"/>
        </w:rPr>
        <w:t>9</w:t>
      </w:r>
      <w:r>
        <w:rPr>
          <w:rFonts w:hint="eastAsia" w:ascii="仿宋" w:hAnsi="仿宋" w:eastAsia="仿宋" w:cs="仿宋"/>
          <w:sz w:val="32"/>
          <w:szCs w:val="32"/>
          <w:shd w:val="clear" w:color="auto" w:fill="FFFFFF"/>
        </w:rPr>
        <w:t>年，</w:t>
      </w:r>
      <w:r>
        <w:rPr>
          <w:rFonts w:hint="eastAsia" w:ascii="仿宋" w:hAnsi="仿宋" w:eastAsia="仿宋" w:cs="仿宋"/>
          <w:sz w:val="32"/>
          <w:szCs w:val="32"/>
          <w:shd w:val="clear" w:color="auto" w:fill="FFFFFF"/>
          <w:lang w:eastAsia="zh-CN"/>
        </w:rPr>
        <w:t>国家税务总局</w:t>
      </w:r>
      <w:r>
        <w:rPr>
          <w:rFonts w:hint="eastAsia" w:ascii="仿宋" w:hAnsi="仿宋" w:eastAsia="仿宋" w:cs="仿宋"/>
          <w:sz w:val="32"/>
          <w:szCs w:val="32"/>
          <w:shd w:val="clear" w:color="auto" w:fill="FFFFFF"/>
          <w:lang w:val="en-US" w:eastAsia="zh-CN"/>
        </w:rPr>
        <w:t>洪湖市税务局</w:t>
      </w:r>
      <w:r>
        <w:rPr>
          <w:rFonts w:hint="eastAsia" w:ascii="仿宋" w:hAnsi="仿宋" w:eastAsia="仿宋" w:cs="仿宋"/>
          <w:sz w:val="32"/>
          <w:szCs w:val="32"/>
          <w:shd w:val="clear" w:color="auto" w:fill="FFFFFF"/>
        </w:rPr>
        <w:t>未收到政府信息</w:t>
      </w:r>
      <w:r>
        <w:rPr>
          <w:rFonts w:hint="eastAsia" w:ascii="仿宋" w:hAnsi="仿宋" w:eastAsia="仿宋" w:cs="仿宋"/>
          <w:sz w:val="32"/>
          <w:szCs w:val="32"/>
          <w:shd w:val="clear" w:color="auto" w:fill="FFFFFF"/>
          <w:lang w:eastAsia="zh-CN"/>
        </w:rPr>
        <w:t>公开申请</w:t>
      </w:r>
      <w:r>
        <w:rPr>
          <w:rFonts w:hint="eastAsia" w:ascii="仿宋" w:hAnsi="仿宋" w:eastAsia="仿宋" w:cs="仿宋"/>
          <w:sz w:val="32"/>
          <w:szCs w:val="32"/>
          <w:shd w:val="clear" w:color="auto" w:fill="FFFFFF"/>
        </w:rPr>
        <w:t>。</w:t>
      </w:r>
    </w:p>
    <w:tbl>
      <w:tblPr>
        <w:tblStyle w:val="5"/>
        <w:tblW w:w="9071" w:type="dxa"/>
        <w:jc w:val="center"/>
        <w:tblInd w:w="0" w:type="dxa"/>
        <w:tblLayout w:type="fixed"/>
        <w:tblCellMar>
          <w:top w:w="0" w:type="dxa"/>
          <w:left w:w="0" w:type="dxa"/>
          <w:bottom w:w="0" w:type="dxa"/>
          <w:right w:w="0" w:type="dxa"/>
        </w:tblCellMar>
      </w:tblPr>
      <w:tblGrid>
        <w:gridCol w:w="617"/>
        <w:gridCol w:w="854"/>
        <w:gridCol w:w="2086"/>
        <w:gridCol w:w="813"/>
        <w:gridCol w:w="755"/>
        <w:gridCol w:w="755"/>
        <w:gridCol w:w="813"/>
        <w:gridCol w:w="973"/>
        <w:gridCol w:w="711"/>
        <w:gridCol w:w="694"/>
      </w:tblGrid>
      <w:tr>
        <w:tblPrEx>
          <w:tblLayout w:type="fixed"/>
          <w:tblCellMar>
            <w:top w:w="0" w:type="dxa"/>
            <w:left w:w="0" w:type="dxa"/>
            <w:bottom w:w="0" w:type="dxa"/>
            <w:right w:w="0" w:type="dxa"/>
          </w:tblCellMar>
        </w:tblPrEx>
        <w:trPr>
          <w:jc w:val="center"/>
        </w:trPr>
        <w:tc>
          <w:tcPr>
            <w:tcW w:w="3557" w:type="dxa"/>
            <w:gridSpan w:val="3"/>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（本列数据的勾稽关系为：第一项加第二项之和，等于第三项加第四项之和）</w:t>
            </w:r>
          </w:p>
        </w:tc>
        <w:tc>
          <w:tcPr>
            <w:tcW w:w="5514" w:type="dxa"/>
            <w:gridSpan w:val="7"/>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申请人情况</w:t>
            </w:r>
          </w:p>
        </w:tc>
      </w:tr>
      <w:tr>
        <w:tblPrEx>
          <w:tblLayout w:type="fixed"/>
          <w:tblCellMar>
            <w:top w:w="0" w:type="dxa"/>
            <w:left w:w="0" w:type="dxa"/>
            <w:bottom w:w="0" w:type="dxa"/>
            <w:right w:w="0" w:type="dxa"/>
          </w:tblCellMar>
        </w:tblPrEx>
        <w:trPr>
          <w:jc w:val="center"/>
        </w:trPr>
        <w:tc>
          <w:tcPr>
            <w:tcW w:w="3557" w:type="dxa"/>
            <w:gridSpan w:val="3"/>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13"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自然人</w:t>
            </w:r>
          </w:p>
        </w:tc>
        <w:tc>
          <w:tcPr>
            <w:tcW w:w="4007"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法人或其他组织</w:t>
            </w:r>
          </w:p>
        </w:tc>
        <w:tc>
          <w:tcPr>
            <w:tcW w:w="69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总计</w:t>
            </w:r>
          </w:p>
        </w:tc>
      </w:tr>
      <w:tr>
        <w:tblPrEx>
          <w:tblLayout w:type="fixed"/>
          <w:tblCellMar>
            <w:top w:w="0" w:type="dxa"/>
            <w:left w:w="0" w:type="dxa"/>
            <w:bottom w:w="0" w:type="dxa"/>
            <w:right w:w="0" w:type="dxa"/>
          </w:tblCellMar>
        </w:tblPrEx>
        <w:trPr>
          <w:jc w:val="center"/>
        </w:trPr>
        <w:tc>
          <w:tcPr>
            <w:tcW w:w="3557" w:type="dxa"/>
            <w:gridSpan w:val="3"/>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13"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商业企业</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科研机构</w:t>
            </w:r>
          </w:p>
        </w:tc>
        <w:tc>
          <w:tcPr>
            <w:tcW w:w="813"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社会公益组织</w:t>
            </w:r>
          </w:p>
        </w:tc>
        <w:tc>
          <w:tcPr>
            <w:tcW w:w="973"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法律服务机构</w:t>
            </w:r>
          </w:p>
        </w:tc>
        <w:tc>
          <w:tcPr>
            <w:tcW w:w="711"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其他</w:t>
            </w:r>
          </w:p>
        </w:tc>
        <w:tc>
          <w:tcPr>
            <w:tcW w:w="694" w:type="dxa"/>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r>
      <w:tr>
        <w:tblPrEx>
          <w:tblLayout w:type="fixed"/>
          <w:tblCellMar>
            <w:top w:w="0" w:type="dxa"/>
            <w:left w:w="0" w:type="dxa"/>
            <w:bottom w:w="0" w:type="dxa"/>
            <w:right w:w="0" w:type="dxa"/>
          </w:tblCellMar>
        </w:tblPrEx>
        <w:trPr>
          <w:jc w:val="center"/>
        </w:trPr>
        <w:tc>
          <w:tcPr>
            <w:tcW w:w="3557"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一、本年新收政府信息公开申请数量</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r>
              <w:rPr>
                <w:rFonts w:hint="eastAsia" w:ascii="Calibri" w:hAnsi="Calibri" w:eastAsia="宋体" w:cs="宋体"/>
                <w:kern w:val="0"/>
                <w:sz w:val="20"/>
                <w:szCs w:val="20"/>
                <w:lang w:eastAsia="zh-CN"/>
              </w:rPr>
              <w:t>0</w:t>
            </w:r>
          </w:p>
        </w:tc>
      </w:tr>
      <w:tr>
        <w:tblPrEx>
          <w:tblLayout w:type="fixed"/>
          <w:tblCellMar>
            <w:top w:w="0" w:type="dxa"/>
            <w:left w:w="0" w:type="dxa"/>
            <w:bottom w:w="0" w:type="dxa"/>
            <w:right w:w="0" w:type="dxa"/>
          </w:tblCellMar>
        </w:tblPrEx>
        <w:trPr>
          <w:jc w:val="center"/>
        </w:trPr>
        <w:tc>
          <w:tcPr>
            <w:tcW w:w="3557"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二、上年结转政府信息公开申请数量</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r>
              <w:rPr>
                <w:rFonts w:hint="eastAsia" w:ascii="Calibri" w:hAnsi="Calibri" w:eastAsia="宋体" w:cs="宋体"/>
                <w:kern w:val="0"/>
                <w:sz w:val="20"/>
                <w:szCs w:val="20"/>
                <w:lang w:eastAsia="zh-CN"/>
              </w:rPr>
              <w:t>0</w:t>
            </w:r>
          </w:p>
        </w:tc>
      </w:tr>
      <w:tr>
        <w:tblPrEx>
          <w:tblLayout w:type="fixed"/>
          <w:tblCellMar>
            <w:top w:w="0" w:type="dxa"/>
            <w:left w:w="0" w:type="dxa"/>
            <w:bottom w:w="0" w:type="dxa"/>
            <w:right w:w="0" w:type="dxa"/>
          </w:tblCellMar>
        </w:tblPrEx>
        <w:trPr>
          <w:jc w:val="center"/>
        </w:trPr>
        <w:tc>
          <w:tcPr>
            <w:tcW w:w="617"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三、本年度办理结果</w:t>
            </w:r>
          </w:p>
        </w:tc>
        <w:tc>
          <w:tcPr>
            <w:tcW w:w="2940"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（一）予以公开</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69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r>
      <w:tr>
        <w:tblPrEx>
          <w:tblLayout w:type="fixed"/>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940"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（二）部分公开（区分处理的，只计这一情形，不计其他情形）</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r>
      <w:tr>
        <w:tblPrEx>
          <w:tblLayout w:type="fixed"/>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5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（三）不予公开</w:t>
            </w: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1.属于国家秘密</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69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r>
      <w:tr>
        <w:tblPrEx>
          <w:tblLayout w:type="fixed"/>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2.其他法律行政法规禁止公开</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r>
      <w:tr>
        <w:tblPrEx>
          <w:tblLayout w:type="fixed"/>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3.危及“三安全一稳定”</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r>
      <w:tr>
        <w:tblPrEx>
          <w:tblLayout w:type="fixed"/>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4.保护第三方合法权益</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r>
      <w:tr>
        <w:tblPrEx>
          <w:tblLayout w:type="fixed"/>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5.属于三类内部事务信息</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r>
      <w:tr>
        <w:tblPrEx>
          <w:tblLayout w:type="fixed"/>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6.属于四类过程性信息</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r>
      <w:tr>
        <w:tblPrEx>
          <w:tblLayout w:type="fixed"/>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7.属于行政执法案卷</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r>
      <w:tr>
        <w:tblPrEx>
          <w:tblLayout w:type="fixed"/>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8.属于行政查询事项</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r>
      <w:tr>
        <w:tblPrEx>
          <w:tblLayout w:type="fixed"/>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5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（四）无法提供</w:t>
            </w: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1.本机关不掌握相关政府信息</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r>
      <w:tr>
        <w:tblPrEx>
          <w:tblLayout w:type="fixed"/>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2.没有现成信息需要另行制作</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r>
      <w:tr>
        <w:tblPrEx>
          <w:tblLayout w:type="fixed"/>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3.补正后申请内容仍不明确</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r>
      <w:tr>
        <w:tblPrEx>
          <w:tblLayout w:type="fixed"/>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5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（五）不予处理</w:t>
            </w: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1.信访举报投诉类申请</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r>
      <w:tr>
        <w:tblPrEx>
          <w:tblLayout w:type="fixed"/>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2.重复申请</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r>
      <w:tr>
        <w:tblPrEx>
          <w:tblLayout w:type="fixed"/>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3.要求提供公开出版物</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r>
      <w:tr>
        <w:tblPrEx>
          <w:tblLayout w:type="fixed"/>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4.无正当理由大量反复申请</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r>
      <w:tr>
        <w:tblPrEx>
          <w:tblLayout w:type="fixed"/>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5.要求行政机关确认或重新出具已获取信息</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r>
      <w:tr>
        <w:tblPrEx>
          <w:tblLayout w:type="fixed"/>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940"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（六）其他处理</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r>
      <w:tr>
        <w:tblPrEx>
          <w:tblLayout w:type="fixed"/>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940"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（七）总计</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r>
      <w:tr>
        <w:tblPrEx>
          <w:tblLayout w:type="fixed"/>
          <w:tblCellMar>
            <w:top w:w="0" w:type="dxa"/>
            <w:left w:w="0" w:type="dxa"/>
            <w:bottom w:w="0" w:type="dxa"/>
            <w:right w:w="0" w:type="dxa"/>
          </w:tblCellMar>
        </w:tblPrEx>
        <w:trPr>
          <w:jc w:val="center"/>
        </w:trPr>
        <w:tc>
          <w:tcPr>
            <w:tcW w:w="3557"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四、结转下年度继续办理</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bl>
    <w:p>
      <w:pPr>
        <w:widowControl/>
        <w:shd w:val="clear" w:color="auto" w:fill="FFFFFF"/>
        <w:ind w:firstLine="480"/>
        <w:rPr>
          <w:rFonts w:ascii="宋体" w:hAnsi="宋体" w:eastAsia="宋体" w:cs="宋体"/>
          <w:color w:val="333333"/>
          <w:kern w:val="0"/>
          <w:szCs w:val="21"/>
        </w:rPr>
      </w:pPr>
    </w:p>
    <w:p>
      <w:pPr>
        <w:widowControl/>
        <w:shd w:val="clear" w:color="auto" w:fill="FFFFFF"/>
        <w:adjustRightInd w:val="0"/>
        <w:snapToGrid w:val="0"/>
        <w:spacing w:line="560" w:lineRule="exact"/>
        <w:ind w:firstLine="643" w:firstLineChars="200"/>
        <w:rPr>
          <w:rFonts w:ascii="黑体" w:hAnsi="黑体" w:eastAsia="黑体" w:cs="宋体"/>
          <w:color w:val="auto"/>
          <w:kern w:val="0"/>
          <w:sz w:val="32"/>
          <w:szCs w:val="32"/>
        </w:rPr>
      </w:pPr>
      <w:r>
        <w:rPr>
          <w:rFonts w:hint="eastAsia" w:ascii="黑体" w:hAnsi="黑体" w:eastAsia="黑体" w:cs="宋体"/>
          <w:b/>
          <w:bCs/>
          <w:color w:val="auto"/>
          <w:kern w:val="0"/>
          <w:sz w:val="32"/>
          <w:szCs w:val="32"/>
        </w:rPr>
        <w:t>四、政府信息公开行政复议、行政诉讼情况</w:t>
      </w:r>
    </w:p>
    <w:p>
      <w:pPr>
        <w:pStyle w:val="4"/>
        <w:adjustRightInd w:val="0"/>
        <w:snapToGrid w:val="0"/>
        <w:spacing w:before="0" w:beforeAutospacing="0" w:after="0" w:afterAutospacing="0" w:line="560" w:lineRule="exact"/>
        <w:ind w:firstLine="640" w:firstLineChars="200"/>
        <w:jc w:val="both"/>
        <w:rPr>
          <w:rFonts w:ascii="仿宋_GB2312" w:eastAsia="仿宋_GB2312"/>
          <w:color w:val="auto"/>
          <w:sz w:val="32"/>
          <w:szCs w:val="32"/>
        </w:rPr>
      </w:pPr>
      <w:r>
        <w:rPr>
          <w:rFonts w:hint="eastAsia" w:ascii="仿宋_GB2312" w:eastAsia="仿宋_GB2312"/>
          <w:color w:val="auto"/>
          <w:position w:val="6"/>
          <w:sz w:val="32"/>
          <w:szCs w:val="32"/>
          <w:lang w:val="zh-CN"/>
        </w:rPr>
        <w:t>2019年，国家税务总局洪湖市税务局没有收到因政府信息公开工作的行政复议和行政诉讼应诉。</w:t>
      </w:r>
    </w:p>
    <w:tbl>
      <w:tblPr>
        <w:tblStyle w:val="5"/>
        <w:tblW w:w="9071" w:type="dxa"/>
        <w:jc w:val="center"/>
        <w:tblInd w:w="0" w:type="dxa"/>
        <w:tblLayout w:type="fixed"/>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Layout w:type="fixed"/>
          <w:tblCellMar>
            <w:top w:w="0" w:type="dxa"/>
            <w:left w:w="0" w:type="dxa"/>
            <w:bottom w:w="0" w:type="dxa"/>
            <w:right w:w="0" w:type="dxa"/>
          </w:tblCellMar>
        </w:tblPrEx>
        <w:trPr>
          <w:jc w:val="center"/>
        </w:trPr>
        <w:tc>
          <w:tcPr>
            <w:tcW w:w="3074"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行政复议</w:t>
            </w:r>
          </w:p>
        </w:tc>
        <w:tc>
          <w:tcPr>
            <w:tcW w:w="5997" w:type="dxa"/>
            <w:gridSpan w:val="10"/>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行政诉讼</w:t>
            </w:r>
          </w:p>
        </w:tc>
      </w:tr>
      <w:tr>
        <w:tblPrEx>
          <w:tblLayout w:type="fixed"/>
          <w:tblCellMar>
            <w:top w:w="0" w:type="dxa"/>
            <w:left w:w="0" w:type="dxa"/>
            <w:bottom w:w="0" w:type="dxa"/>
            <w:right w:w="0" w:type="dxa"/>
          </w:tblCellMar>
        </w:tblPrEx>
        <w:trPr>
          <w:jc w:val="center"/>
        </w:trPr>
        <w:tc>
          <w:tcPr>
            <w:tcW w:w="604"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结果维持</w:t>
            </w:r>
          </w:p>
        </w:tc>
        <w:tc>
          <w:tcPr>
            <w:tcW w:w="60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结果纠正</w:t>
            </w:r>
          </w:p>
        </w:tc>
        <w:tc>
          <w:tcPr>
            <w:tcW w:w="60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其他结果</w:t>
            </w:r>
          </w:p>
        </w:tc>
        <w:tc>
          <w:tcPr>
            <w:tcW w:w="60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尚未审结</w:t>
            </w:r>
          </w:p>
        </w:tc>
        <w:tc>
          <w:tcPr>
            <w:tcW w:w="658"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总计</w:t>
            </w:r>
          </w:p>
        </w:tc>
        <w:tc>
          <w:tcPr>
            <w:tcW w:w="2970"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未经复议直接起诉</w:t>
            </w:r>
          </w:p>
        </w:tc>
        <w:tc>
          <w:tcPr>
            <w:tcW w:w="3027"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复议后起诉</w:t>
            </w:r>
          </w:p>
        </w:tc>
      </w:tr>
      <w:tr>
        <w:tblPrEx>
          <w:tblLayout w:type="fixed"/>
          <w:tblCellMar>
            <w:top w:w="0" w:type="dxa"/>
            <w:left w:w="0" w:type="dxa"/>
            <w:bottom w:w="0" w:type="dxa"/>
            <w:right w:w="0" w:type="dxa"/>
          </w:tblCellMar>
        </w:tblPrEx>
        <w:trPr>
          <w:jc w:val="center"/>
        </w:trPr>
        <w:tc>
          <w:tcPr>
            <w:tcW w:w="60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604"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604" w:type="dxa"/>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604" w:type="dxa"/>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658" w:type="dxa"/>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5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结果维持</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结果纠正</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其他结果</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尚未审结</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总计</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结果维持</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结果纠正</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其他结果</w:t>
            </w:r>
          </w:p>
        </w:tc>
        <w:tc>
          <w:tcPr>
            <w:tcW w:w="60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尚未审结</w:t>
            </w:r>
          </w:p>
        </w:tc>
        <w:tc>
          <w:tcPr>
            <w:tcW w:w="60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总计</w:t>
            </w:r>
          </w:p>
        </w:tc>
      </w:tr>
      <w:tr>
        <w:tblPrEx>
          <w:tblLayout w:type="fixed"/>
          <w:tblCellMar>
            <w:top w:w="0" w:type="dxa"/>
            <w:left w:w="0" w:type="dxa"/>
            <w:bottom w:w="0" w:type="dxa"/>
            <w:right w:w="0" w:type="dxa"/>
          </w:tblCellMar>
        </w:tblPrEx>
        <w:trPr>
          <w:jc w:val="center"/>
        </w:trPr>
        <w:tc>
          <w:tcPr>
            <w:tcW w:w="60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w:t>
            </w:r>
          </w:p>
        </w:tc>
        <w:tc>
          <w:tcPr>
            <w:tcW w:w="6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rFonts w:ascii="宋体" w:hAnsi="宋体" w:eastAsia="宋体" w:cs="宋体"/>
                <w:kern w:val="0"/>
                <w:sz w:val="24"/>
                <w:szCs w:val="24"/>
              </w:rPr>
            </w:pPr>
            <w:r>
              <w:rPr>
                <w:rFonts w:hint="eastAsia" w:ascii="宋体" w:hAnsi="宋体" w:eastAsia="宋体" w:cs="宋体"/>
                <w:kern w:val="0"/>
                <w:sz w:val="24"/>
                <w:szCs w:val="24"/>
              </w:rPr>
              <w:t>0</w:t>
            </w:r>
          </w:p>
        </w:tc>
        <w:tc>
          <w:tcPr>
            <w:tcW w:w="5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w:t>
            </w:r>
          </w:p>
        </w:tc>
        <w:tc>
          <w:tcPr>
            <w:tcW w:w="60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w:t>
            </w:r>
          </w:p>
        </w:tc>
        <w:tc>
          <w:tcPr>
            <w:tcW w:w="60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120" w:firstLineChars="50"/>
              <w:jc w:val="left"/>
              <w:rPr>
                <w:rFonts w:ascii="宋体" w:hAnsi="宋体" w:eastAsia="宋体" w:cs="宋体"/>
                <w:kern w:val="0"/>
                <w:sz w:val="24"/>
                <w:szCs w:val="24"/>
              </w:rPr>
            </w:pPr>
            <w:r>
              <w:rPr>
                <w:rFonts w:hint="eastAsia" w:ascii="宋体" w:hAnsi="宋体" w:eastAsia="宋体" w:cs="宋体"/>
                <w:kern w:val="0"/>
                <w:sz w:val="24"/>
                <w:szCs w:val="24"/>
              </w:rPr>
              <w:t>0</w:t>
            </w:r>
          </w:p>
        </w:tc>
      </w:tr>
    </w:tbl>
    <w:p>
      <w:pPr>
        <w:widowControl/>
        <w:shd w:val="clear" w:color="auto" w:fill="FFFFFF"/>
        <w:jc w:val="center"/>
        <w:rPr>
          <w:rFonts w:ascii="宋体" w:hAnsi="宋体" w:eastAsia="宋体" w:cs="宋体"/>
          <w:color w:val="333333"/>
          <w:kern w:val="0"/>
          <w:szCs w:val="21"/>
        </w:rPr>
      </w:pPr>
    </w:p>
    <w:p>
      <w:pPr>
        <w:keepNext w:val="0"/>
        <w:keepLines w:val="0"/>
        <w:pageBreakBefore w:val="0"/>
        <w:widowControl/>
        <w:shd w:val="clear" w:color="auto" w:fill="FFFFFF"/>
        <w:kinsoku/>
        <w:wordWrap/>
        <w:overflowPunct/>
        <w:topLinePunct w:val="0"/>
        <w:autoSpaceDE/>
        <w:autoSpaceDN/>
        <w:bidi w:val="0"/>
        <w:adjustRightInd w:val="0"/>
        <w:snapToGrid w:val="0"/>
        <w:spacing w:line="600" w:lineRule="exact"/>
        <w:ind w:firstLine="480"/>
        <w:jc w:val="both"/>
        <w:textAlignment w:val="auto"/>
        <w:rPr>
          <w:rFonts w:ascii="黑体" w:hAnsi="黑体" w:eastAsia="黑体" w:cs="宋体"/>
          <w:color w:val="auto"/>
          <w:kern w:val="0"/>
          <w:sz w:val="32"/>
          <w:szCs w:val="32"/>
        </w:rPr>
      </w:pPr>
      <w:r>
        <w:rPr>
          <w:rFonts w:hint="eastAsia" w:ascii="黑体" w:hAnsi="黑体" w:eastAsia="黑体" w:cs="宋体"/>
          <w:b/>
          <w:bCs/>
          <w:color w:val="auto"/>
          <w:kern w:val="0"/>
          <w:sz w:val="32"/>
          <w:szCs w:val="32"/>
        </w:rPr>
        <w:t>五、存在的主要问题及改进情况</w:t>
      </w:r>
    </w:p>
    <w:p>
      <w:pPr>
        <w:pStyle w:val="4"/>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firstLine="480" w:firstLineChars="200"/>
        <w:jc w:val="both"/>
        <w:textAlignment w:val="auto"/>
        <w:rPr>
          <w:rFonts w:eastAsia="仿宋"/>
          <w:color w:val="auto"/>
          <w:sz w:val="32"/>
        </w:rPr>
      </w:pPr>
      <w:r>
        <w:rPr>
          <w:rFonts w:hint="eastAsia" w:ascii="微软雅黑" w:hAnsi="微软雅黑" w:eastAsia="微软雅黑" w:cs="微软雅黑"/>
          <w:color w:val="auto"/>
          <w:szCs w:val="21"/>
        </w:rPr>
        <w:t xml:space="preserve"> </w:t>
      </w:r>
      <w:r>
        <w:rPr>
          <w:rFonts w:hint="eastAsia" w:ascii="仿宋" w:hAnsi="仿宋" w:eastAsia="仿宋" w:cs="仿宋"/>
          <w:color w:val="auto"/>
          <w:sz w:val="32"/>
          <w:szCs w:val="32"/>
          <w:shd w:val="clear" w:color="auto" w:fill="FAFAFA"/>
        </w:rPr>
        <w:t>201</w:t>
      </w:r>
      <w:r>
        <w:rPr>
          <w:rFonts w:hint="eastAsia" w:ascii="仿宋" w:hAnsi="仿宋" w:eastAsia="仿宋" w:cs="仿宋"/>
          <w:color w:val="auto"/>
          <w:sz w:val="32"/>
          <w:szCs w:val="32"/>
          <w:shd w:val="clear" w:color="auto" w:fill="FAFAFA"/>
          <w:lang w:eastAsia="zh-CN"/>
        </w:rPr>
        <w:t>9</w:t>
      </w:r>
      <w:r>
        <w:rPr>
          <w:rFonts w:hint="eastAsia" w:ascii="仿宋" w:hAnsi="仿宋" w:eastAsia="仿宋" w:cs="仿宋"/>
          <w:color w:val="auto"/>
          <w:sz w:val="32"/>
          <w:szCs w:val="32"/>
          <w:shd w:val="clear" w:color="auto" w:fill="FAFAFA"/>
        </w:rPr>
        <w:t>年，</w:t>
      </w:r>
      <w:r>
        <w:rPr>
          <w:rFonts w:hint="eastAsia" w:ascii="仿宋" w:hAnsi="仿宋" w:eastAsia="仿宋" w:cs="仿宋"/>
          <w:color w:val="auto"/>
          <w:sz w:val="32"/>
          <w:szCs w:val="32"/>
          <w:shd w:val="clear" w:color="auto" w:fill="FFFFFF"/>
        </w:rPr>
        <w:t>国家税务总局</w:t>
      </w:r>
      <w:r>
        <w:rPr>
          <w:rFonts w:hint="eastAsia" w:ascii="仿宋" w:hAnsi="仿宋" w:eastAsia="仿宋" w:cs="仿宋"/>
          <w:color w:val="auto"/>
          <w:sz w:val="32"/>
          <w:szCs w:val="32"/>
          <w:shd w:val="clear" w:color="auto" w:fill="FFFFFF"/>
          <w:lang w:val="en-US" w:eastAsia="zh-CN"/>
        </w:rPr>
        <w:t>洪湖市</w:t>
      </w:r>
      <w:r>
        <w:rPr>
          <w:rFonts w:hint="eastAsia" w:ascii="仿宋" w:hAnsi="仿宋" w:eastAsia="仿宋" w:cs="仿宋"/>
          <w:color w:val="auto"/>
          <w:sz w:val="32"/>
          <w:szCs w:val="32"/>
          <w:shd w:val="clear" w:color="auto" w:fill="FFFFFF"/>
        </w:rPr>
        <w:t>税务局</w:t>
      </w:r>
      <w:r>
        <w:rPr>
          <w:rFonts w:hint="eastAsia" w:ascii="仿宋" w:hAnsi="仿宋" w:eastAsia="仿宋" w:cs="仿宋"/>
          <w:color w:val="auto"/>
          <w:sz w:val="32"/>
          <w:szCs w:val="32"/>
          <w:shd w:val="clear" w:color="auto" w:fill="FAFAFA"/>
        </w:rPr>
        <w:t>在政府信息公开工作中取得了一定的成绩，但也还存在着诸多问题亟待解决。一是信息公开广度和深度还不够，渠道还不够多。二是政策解读针对性和有效性有待加强,解读内容结合实际不够。三是基层税务干部政务公开能力还需进一步提升。特别是一线税收管理员对政府信息公开认识不足。</w:t>
      </w:r>
      <w:r>
        <w:rPr>
          <w:rFonts w:hint="eastAsia" w:eastAsia="仿宋"/>
          <w:color w:val="auto"/>
          <w:sz w:val="32"/>
        </w:rPr>
        <w:t>20</w:t>
      </w:r>
      <w:r>
        <w:rPr>
          <w:rFonts w:hint="eastAsia" w:eastAsia="仿宋"/>
          <w:color w:val="auto"/>
          <w:sz w:val="32"/>
          <w:lang w:eastAsia="zh-CN"/>
        </w:rPr>
        <w:t>20</w:t>
      </w:r>
      <w:r>
        <w:rPr>
          <w:rFonts w:hint="eastAsia" w:eastAsia="仿宋"/>
          <w:color w:val="auto"/>
          <w:sz w:val="32"/>
        </w:rPr>
        <w:t>年，将重点做好以下工作：</w:t>
      </w:r>
    </w:p>
    <w:p>
      <w:pPr>
        <w:keepNext w:val="0"/>
        <w:keepLines w:val="0"/>
        <w:pageBreakBefore w:val="0"/>
        <w:kinsoku/>
        <w:wordWrap/>
        <w:overflowPunct/>
        <w:topLinePunct w:val="0"/>
        <w:autoSpaceDE/>
        <w:autoSpaceDN/>
        <w:bidi w:val="0"/>
        <w:adjustRightInd w:val="0"/>
        <w:snapToGrid w:val="0"/>
        <w:spacing w:line="600" w:lineRule="exact"/>
        <w:ind w:firstLine="640" w:firstLineChars="200"/>
        <w:jc w:val="both"/>
        <w:textAlignment w:val="auto"/>
        <w:rPr>
          <w:rFonts w:eastAsia="仿宋"/>
          <w:color w:val="auto"/>
          <w:sz w:val="32"/>
        </w:rPr>
      </w:pPr>
      <w:r>
        <w:rPr>
          <w:rFonts w:hint="eastAsia" w:eastAsia="仿宋"/>
          <w:color w:val="auto"/>
          <w:sz w:val="32"/>
        </w:rPr>
        <w:t>（一）进一步完善政府信息公开制度建设。按照省局和市局的要求，对原来的政府信息公开制度和办理流程进行全面修改完善。明确各部门政府信息公开职责，理顺政府信息公开办理流程，区分好主动公开和依申请公开事项，分别制定操作规范和流程图，切实提升工作质效。</w:t>
      </w:r>
    </w:p>
    <w:p>
      <w:pPr>
        <w:keepNext w:val="0"/>
        <w:keepLines w:val="0"/>
        <w:pageBreakBefore w:val="0"/>
        <w:kinsoku/>
        <w:wordWrap/>
        <w:overflowPunct/>
        <w:topLinePunct w:val="0"/>
        <w:autoSpaceDE/>
        <w:autoSpaceDN/>
        <w:bidi w:val="0"/>
        <w:adjustRightInd w:val="0"/>
        <w:snapToGrid w:val="0"/>
        <w:spacing w:line="600" w:lineRule="exact"/>
        <w:ind w:firstLine="640" w:firstLineChars="200"/>
        <w:jc w:val="both"/>
        <w:textAlignment w:val="auto"/>
        <w:rPr>
          <w:rFonts w:eastAsia="仿宋"/>
          <w:color w:val="auto"/>
          <w:sz w:val="32"/>
        </w:rPr>
      </w:pPr>
      <w:r>
        <w:rPr>
          <w:rFonts w:hint="eastAsia" w:eastAsia="仿宋"/>
          <w:color w:val="auto"/>
          <w:sz w:val="32"/>
        </w:rPr>
        <w:t>（二）持续加强主动公开力度。</w:t>
      </w:r>
      <w:r>
        <w:rPr>
          <w:rFonts w:eastAsia="仿宋"/>
          <w:color w:val="auto"/>
          <w:sz w:val="32"/>
        </w:rPr>
        <w:t>扎实做好重点领域政府信息公开工作，以政务公开工作的不断深化助力“放管服”改革。</w:t>
      </w:r>
      <w:r>
        <w:rPr>
          <w:rFonts w:hint="eastAsia" w:eastAsia="仿宋"/>
          <w:color w:val="auto"/>
          <w:sz w:val="32"/>
        </w:rPr>
        <w:t>对政策解读等内容及时予以公开，让政府信息公开工作为税收征管营造良好的环境，也持续性优化</w:t>
      </w:r>
      <w:r>
        <w:rPr>
          <w:rFonts w:hint="eastAsia" w:eastAsia="仿宋"/>
          <w:color w:val="auto"/>
          <w:sz w:val="32"/>
          <w:lang w:val="en-US" w:eastAsia="zh-CN"/>
        </w:rPr>
        <w:t>洪湖市</w:t>
      </w:r>
      <w:r>
        <w:rPr>
          <w:rFonts w:hint="eastAsia" w:eastAsia="仿宋"/>
          <w:color w:val="auto"/>
          <w:sz w:val="32"/>
        </w:rPr>
        <w:t>营商环境。</w:t>
      </w:r>
    </w:p>
    <w:p>
      <w:pPr>
        <w:keepNext w:val="0"/>
        <w:keepLines w:val="0"/>
        <w:pageBreakBefore w:val="0"/>
        <w:kinsoku/>
        <w:wordWrap/>
        <w:overflowPunct/>
        <w:topLinePunct w:val="0"/>
        <w:autoSpaceDE/>
        <w:autoSpaceDN/>
        <w:bidi w:val="0"/>
        <w:adjustRightInd w:val="0"/>
        <w:snapToGrid w:val="0"/>
        <w:spacing w:line="600" w:lineRule="exact"/>
        <w:ind w:firstLine="640" w:firstLineChars="200"/>
        <w:jc w:val="both"/>
        <w:textAlignment w:val="auto"/>
        <w:rPr>
          <w:rFonts w:eastAsia="仿宋"/>
          <w:color w:val="auto"/>
          <w:sz w:val="32"/>
        </w:rPr>
      </w:pPr>
      <w:r>
        <w:rPr>
          <w:rFonts w:hint="eastAsia" w:eastAsia="仿宋"/>
          <w:color w:val="auto"/>
          <w:sz w:val="32"/>
        </w:rPr>
        <w:t>（三）拓展政府信息公开渠道。在坚持纳税服务大厅主阵地的同时，积极通过移动互联网等渠道开展信息公开工作，使信息公开面更广泛更及时。</w:t>
      </w:r>
    </w:p>
    <w:p>
      <w:pPr>
        <w:keepNext w:val="0"/>
        <w:keepLines w:val="0"/>
        <w:pageBreakBefore w:val="0"/>
        <w:kinsoku/>
        <w:wordWrap/>
        <w:overflowPunct/>
        <w:topLinePunct w:val="0"/>
        <w:autoSpaceDE/>
        <w:autoSpaceDN/>
        <w:bidi w:val="0"/>
        <w:adjustRightInd w:val="0"/>
        <w:snapToGrid w:val="0"/>
        <w:spacing w:line="600" w:lineRule="exact"/>
        <w:ind w:firstLine="640" w:firstLineChars="200"/>
        <w:jc w:val="both"/>
        <w:textAlignment w:val="auto"/>
        <w:rPr>
          <w:rFonts w:eastAsia="仿宋"/>
          <w:color w:val="auto"/>
          <w:sz w:val="32"/>
        </w:rPr>
      </w:pPr>
      <w:r>
        <w:rPr>
          <w:rFonts w:hint="eastAsia" w:eastAsia="仿宋"/>
          <w:color w:val="auto"/>
          <w:sz w:val="32"/>
        </w:rPr>
        <w:t>（四）做好依法规依申请公开工作。明确依申请公开流程，着力解决</w:t>
      </w:r>
      <w:r>
        <w:rPr>
          <w:rFonts w:eastAsia="仿宋"/>
          <w:color w:val="auto"/>
          <w:sz w:val="32"/>
        </w:rPr>
        <w:t>申请受理、办理、答复各环节中的突出问题，</w:t>
      </w:r>
      <w:bookmarkStart w:id="0" w:name="_GoBack"/>
      <w:bookmarkEnd w:id="0"/>
      <w:r>
        <w:rPr>
          <w:rFonts w:hint="eastAsia" w:eastAsia="仿宋"/>
          <w:color w:val="auto"/>
          <w:sz w:val="32"/>
        </w:rPr>
        <w:t>不断</w:t>
      </w:r>
      <w:r>
        <w:rPr>
          <w:rFonts w:eastAsia="仿宋"/>
          <w:color w:val="auto"/>
          <w:sz w:val="32"/>
        </w:rPr>
        <w:t>提升依申请公开工作水平</w:t>
      </w:r>
      <w:r>
        <w:rPr>
          <w:rFonts w:hint="eastAsia" w:eastAsia="仿宋"/>
          <w:color w:val="auto"/>
          <w:sz w:val="32"/>
        </w:rPr>
        <w:t>，确保件件有回复。</w:t>
      </w:r>
    </w:p>
    <w:p>
      <w:pPr>
        <w:keepNext w:val="0"/>
        <w:keepLines w:val="0"/>
        <w:pageBreakBefore w:val="0"/>
        <w:kinsoku/>
        <w:wordWrap/>
        <w:overflowPunct/>
        <w:topLinePunct w:val="0"/>
        <w:autoSpaceDE/>
        <w:autoSpaceDN/>
        <w:bidi w:val="0"/>
        <w:adjustRightInd w:val="0"/>
        <w:snapToGrid w:val="0"/>
        <w:spacing w:line="600" w:lineRule="exact"/>
        <w:ind w:firstLine="640" w:firstLineChars="200"/>
        <w:jc w:val="both"/>
        <w:textAlignment w:val="auto"/>
        <w:rPr>
          <w:rFonts w:ascii="仿宋_GB2312" w:hAnsi="宋体" w:eastAsia="仿宋_GB2312" w:cs="宋体"/>
          <w:color w:val="auto"/>
          <w:sz w:val="32"/>
          <w:szCs w:val="32"/>
        </w:rPr>
      </w:pPr>
      <w:r>
        <w:rPr>
          <w:rFonts w:hint="eastAsia" w:eastAsia="仿宋"/>
          <w:color w:val="auto"/>
          <w:sz w:val="32"/>
        </w:rPr>
        <w:t>（五）</w:t>
      </w:r>
      <w:r>
        <w:rPr>
          <w:rFonts w:eastAsia="仿宋"/>
          <w:color w:val="auto"/>
          <w:sz w:val="32"/>
        </w:rPr>
        <w:t>严格政务公开工作督导检查，推进全</w:t>
      </w:r>
      <w:r>
        <w:rPr>
          <w:rFonts w:hint="eastAsia" w:eastAsia="仿宋"/>
          <w:color w:val="auto"/>
          <w:sz w:val="32"/>
          <w:lang w:val="en-US" w:eastAsia="zh-CN"/>
        </w:rPr>
        <w:t>市</w:t>
      </w:r>
      <w:r>
        <w:rPr>
          <w:rFonts w:hint="eastAsia" w:eastAsia="仿宋"/>
          <w:color w:val="auto"/>
          <w:sz w:val="32"/>
        </w:rPr>
        <w:t>系统政府信息</w:t>
      </w:r>
      <w:r>
        <w:rPr>
          <w:rFonts w:eastAsia="仿宋"/>
          <w:color w:val="auto"/>
          <w:sz w:val="32"/>
        </w:rPr>
        <w:t>公开考核和评估常态化。组织</w:t>
      </w:r>
      <w:r>
        <w:rPr>
          <w:rFonts w:hint="eastAsia" w:eastAsia="仿宋"/>
          <w:color w:val="auto"/>
          <w:sz w:val="32"/>
        </w:rPr>
        <w:t>各部门相关人员开展政府信息</w:t>
      </w:r>
      <w:r>
        <w:rPr>
          <w:rFonts w:eastAsia="仿宋"/>
          <w:color w:val="auto"/>
          <w:sz w:val="32"/>
        </w:rPr>
        <w:t>公开培训，不断提升工作质量和水平。</w:t>
      </w:r>
    </w:p>
    <w:p>
      <w:pPr>
        <w:keepNext w:val="0"/>
        <w:keepLines w:val="0"/>
        <w:pageBreakBefore w:val="0"/>
        <w:widowControl/>
        <w:shd w:val="clear" w:color="auto" w:fill="FFFFFF"/>
        <w:kinsoku/>
        <w:wordWrap/>
        <w:overflowPunct/>
        <w:topLinePunct w:val="0"/>
        <w:autoSpaceDE/>
        <w:autoSpaceDN/>
        <w:bidi w:val="0"/>
        <w:adjustRightInd w:val="0"/>
        <w:snapToGrid w:val="0"/>
        <w:spacing w:line="600" w:lineRule="exact"/>
        <w:ind w:firstLine="643" w:firstLineChars="200"/>
        <w:jc w:val="both"/>
        <w:textAlignment w:val="auto"/>
        <w:rPr>
          <w:rFonts w:ascii="黑体" w:hAnsi="黑体" w:eastAsia="黑体" w:cs="宋体"/>
          <w:color w:val="auto"/>
          <w:kern w:val="0"/>
          <w:sz w:val="32"/>
          <w:szCs w:val="32"/>
        </w:rPr>
      </w:pPr>
      <w:r>
        <w:rPr>
          <w:rFonts w:hint="eastAsia" w:ascii="黑体" w:hAnsi="黑体" w:eastAsia="黑体" w:cs="宋体"/>
          <w:b/>
          <w:bCs/>
          <w:color w:val="auto"/>
          <w:kern w:val="0"/>
          <w:sz w:val="32"/>
          <w:szCs w:val="32"/>
        </w:rPr>
        <w:t>六、其他需要报告的事项</w:t>
      </w:r>
    </w:p>
    <w:p>
      <w:pPr>
        <w:keepNext w:val="0"/>
        <w:keepLines w:val="0"/>
        <w:pageBreakBefore w:val="0"/>
        <w:kinsoku/>
        <w:wordWrap/>
        <w:overflowPunct/>
        <w:topLinePunct w:val="0"/>
        <w:autoSpaceDE/>
        <w:autoSpaceDN/>
        <w:bidi w:val="0"/>
        <w:adjustRightInd w:val="0"/>
        <w:snapToGrid w:val="0"/>
        <w:spacing w:line="600" w:lineRule="exact"/>
        <w:ind w:firstLine="640" w:firstLineChars="200"/>
        <w:jc w:val="both"/>
        <w:textAlignment w:val="auto"/>
        <w:rPr>
          <w:rFonts w:ascii="仿宋_GB2312" w:hAnsi="宋体" w:eastAsia="仿宋_GB2312" w:cs="宋体"/>
          <w:color w:val="auto"/>
          <w:sz w:val="32"/>
          <w:szCs w:val="32"/>
        </w:rPr>
      </w:pPr>
      <w:r>
        <w:rPr>
          <w:rFonts w:hint="eastAsia" w:ascii="仿宋_GB2312" w:hAnsi="宋体" w:eastAsia="仿宋_GB2312" w:cs="宋体"/>
          <w:color w:val="auto"/>
          <w:sz w:val="32"/>
          <w:szCs w:val="32"/>
        </w:rPr>
        <w:t>本年度国家税务总局荆州市税务局无其他需要报告的事项。</w:t>
      </w:r>
    </w:p>
    <w:p>
      <w:pPr>
        <w:spacing w:line="560" w:lineRule="exact"/>
        <w:ind w:firstLine="640" w:firstLineChars="200"/>
        <w:rPr>
          <w:rFonts w:ascii="仿宋_GB2312" w:hAnsi="宋体" w:eastAsia="仿宋_GB2312" w:cs="宋体"/>
          <w:color w:val="auto"/>
          <w:sz w:val="32"/>
          <w:szCs w:val="32"/>
        </w:rPr>
      </w:pPr>
    </w:p>
    <w:p>
      <w:pPr>
        <w:spacing w:line="560" w:lineRule="exact"/>
        <w:ind w:firstLine="640" w:firstLineChars="200"/>
        <w:rPr>
          <w:rFonts w:ascii="仿宋_GB2312" w:hAnsi="宋体" w:eastAsia="仿宋_GB2312" w:cs="宋体"/>
          <w:color w:val="auto"/>
          <w:sz w:val="32"/>
          <w:szCs w:val="32"/>
        </w:rPr>
      </w:pPr>
    </w:p>
    <w:p>
      <w:pPr>
        <w:spacing w:line="560" w:lineRule="exact"/>
        <w:ind w:firstLine="640" w:firstLineChars="200"/>
        <w:jc w:val="center"/>
        <w:rPr>
          <w:rFonts w:ascii="仿宋_GB2312" w:hAnsi="宋体" w:eastAsia="仿宋_GB2312" w:cs="宋体"/>
          <w:color w:val="auto"/>
          <w:sz w:val="32"/>
          <w:szCs w:val="32"/>
        </w:rPr>
      </w:pPr>
      <w:r>
        <w:rPr>
          <w:rFonts w:hint="eastAsia" w:ascii="仿宋_GB2312" w:hAnsi="宋体" w:eastAsia="仿宋_GB2312" w:cs="宋体"/>
          <w:color w:val="auto"/>
          <w:sz w:val="32"/>
          <w:szCs w:val="32"/>
        </w:rPr>
        <w:t xml:space="preserve">                   国家税务总局</w:t>
      </w:r>
      <w:r>
        <w:rPr>
          <w:rFonts w:hint="eastAsia" w:ascii="仿宋_GB2312" w:hAnsi="宋体" w:eastAsia="仿宋_GB2312" w:cs="宋体"/>
          <w:color w:val="auto"/>
          <w:sz w:val="32"/>
          <w:szCs w:val="32"/>
          <w:lang w:eastAsia="zh-CN"/>
        </w:rPr>
        <w:t>洪湖</w:t>
      </w:r>
      <w:r>
        <w:rPr>
          <w:rFonts w:hint="eastAsia" w:ascii="仿宋_GB2312" w:hAnsi="宋体" w:eastAsia="仿宋_GB2312" w:cs="宋体"/>
          <w:color w:val="auto"/>
          <w:sz w:val="32"/>
          <w:szCs w:val="32"/>
        </w:rPr>
        <w:t>市税务局</w:t>
      </w:r>
    </w:p>
    <w:p>
      <w:pPr>
        <w:spacing w:line="560" w:lineRule="exact"/>
        <w:ind w:firstLine="4960" w:firstLineChars="1550"/>
        <w:jc w:val="left"/>
        <w:rPr>
          <w:rFonts w:ascii="仿宋_GB2312" w:hAnsi="宋体" w:eastAsia="仿宋_GB2312" w:cs="宋体"/>
          <w:color w:val="auto"/>
          <w:sz w:val="32"/>
          <w:szCs w:val="32"/>
        </w:rPr>
      </w:pPr>
      <w:r>
        <w:rPr>
          <w:rFonts w:hint="eastAsia" w:ascii="仿宋_GB2312" w:hAnsi="宋体" w:eastAsia="仿宋_GB2312" w:cs="宋体"/>
          <w:color w:val="auto"/>
          <w:sz w:val="32"/>
          <w:szCs w:val="32"/>
        </w:rPr>
        <w:t xml:space="preserve">2020年1月20日 </w:t>
      </w:r>
    </w:p>
    <w:p>
      <w:pPr>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47620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Pages>
  <Words>404</Words>
  <Characters>2303</Characters>
  <Lines>19</Lines>
  <Paragraphs>5</Paragraphs>
  <TotalTime>1</TotalTime>
  <ScaleCrop>false</ScaleCrop>
  <LinksUpToDate>false</LinksUpToDate>
  <CharactersWithSpaces>2702</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2020-01-20T00:49:00Z</dcterms:created>
  <dc:creator>Administrator</dc:creator>
  <cp:lastModifiedBy>1</cp:lastModifiedBy>
  <cp:lastPrinted>2020-01-03T06:55:00Z</cp:lastPrinted>
  <dcterms:modified xsi:type="dcterms:W3CDTF">2020-03-06T01:01:40Z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