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hd w:val="clear" w:color="000000" w:fill="FFFFFF"/>
        <w:autoSpaceDE/>
        <w:autoSpaceDN/>
        <w:spacing w:before="0" w:after="0" w:line="240" w:lineRule="auto"/>
        <w:ind w:right="0" w:firstLine="0"/>
        <w:jc w:val="center"/>
        <w:rPr>
          <w:rFonts w:hint="default" w:ascii="宋体" w:hAnsi="宋体" w:eastAsia="宋体"/>
          <w:b/>
          <w:color w:val="333333"/>
          <w:position w:val="0"/>
          <w:sz w:val="44"/>
          <w:szCs w:val="44"/>
        </w:rPr>
      </w:pPr>
      <w:r>
        <w:rPr>
          <w:rFonts w:hint="default" w:ascii="宋体" w:hAnsi="宋体" w:eastAsia="宋体"/>
          <w:b/>
          <w:color w:val="333333"/>
          <w:position w:val="0"/>
          <w:sz w:val="44"/>
          <w:szCs w:val="44"/>
        </w:rPr>
        <w:t>国家税务总局荆州市</w:t>
      </w:r>
      <w:r>
        <w:rPr>
          <w:rFonts w:hint="eastAsia" w:ascii="宋体" w:hAnsi="宋体"/>
          <w:b/>
          <w:color w:val="333333"/>
          <w:position w:val="0"/>
          <w:sz w:val="44"/>
          <w:szCs w:val="44"/>
          <w:lang w:eastAsia="zh-CN"/>
        </w:rPr>
        <w:t>荆州区</w:t>
      </w:r>
      <w:r>
        <w:rPr>
          <w:rFonts w:hint="default" w:ascii="宋体" w:hAnsi="宋体" w:eastAsia="宋体"/>
          <w:b/>
          <w:color w:val="333333"/>
          <w:position w:val="0"/>
          <w:sz w:val="44"/>
          <w:szCs w:val="44"/>
        </w:rPr>
        <w:t>税务局</w:t>
      </w:r>
    </w:p>
    <w:p>
      <w:pPr>
        <w:numPr>
          <w:ilvl w:val="0"/>
          <w:numId w:val="0"/>
        </w:numPr>
        <w:shd w:val="clear" w:color="000000" w:fill="FFFFFF"/>
        <w:autoSpaceDE/>
        <w:autoSpaceDN/>
        <w:spacing w:before="0" w:after="0" w:line="240" w:lineRule="auto"/>
        <w:ind w:right="0" w:firstLine="0"/>
        <w:jc w:val="center"/>
        <w:rPr>
          <w:rFonts w:hint="default" w:ascii="宋体" w:hAnsi="宋体" w:eastAsia="宋体"/>
          <w:color w:val="333333"/>
          <w:position w:val="0"/>
          <w:sz w:val="44"/>
          <w:szCs w:val="44"/>
        </w:rPr>
      </w:pPr>
      <w:r>
        <w:rPr>
          <w:rFonts w:hint="default" w:ascii="宋体" w:hAnsi="宋体" w:eastAsia="宋体"/>
          <w:b/>
          <w:color w:val="333333"/>
          <w:position w:val="0"/>
          <w:sz w:val="44"/>
          <w:szCs w:val="44"/>
        </w:rPr>
        <w:t>2019年度政府信息公开工作年度报告</w:t>
      </w:r>
    </w:p>
    <w:p>
      <w:pPr>
        <w:numPr>
          <w:ilvl w:val="0"/>
          <w:numId w:val="0"/>
        </w:numPr>
        <w:shd w:val="clear" w:color="000000" w:fill="FFFFFF"/>
        <w:autoSpaceDE/>
        <w:autoSpaceDN/>
        <w:spacing w:before="0" w:after="0" w:line="240" w:lineRule="auto"/>
        <w:ind w:right="0" w:firstLine="480"/>
        <w:jc w:val="both"/>
        <w:rPr>
          <w:rFonts w:hint="default" w:ascii="宋体" w:hAnsi="宋体" w:eastAsia="宋体"/>
          <w:color w:val="333333"/>
          <w:position w:val="0"/>
          <w:sz w:val="21"/>
          <w:szCs w:val="21"/>
        </w:rPr>
      </w:pPr>
    </w:p>
    <w:p>
      <w:pPr>
        <w:keepNext w:val="0"/>
        <w:keepLines w:val="0"/>
        <w:pageBreakBefore w:val="0"/>
        <w:widowControl/>
        <w:numPr>
          <w:ilvl w:val="0"/>
          <w:numId w:val="0"/>
        </w:numPr>
        <w:shd w:val="clear" w:color="000000" w:fill="FFFFFF"/>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default" w:ascii="仿宋_GB2312" w:hAnsi="宋体" w:eastAsia="宋体"/>
          <w:color w:val="auto"/>
          <w:position w:val="0"/>
          <w:sz w:val="32"/>
          <w:szCs w:val="32"/>
        </w:rPr>
      </w:pPr>
      <w:r>
        <w:rPr>
          <w:rFonts w:hint="default" w:ascii="仿宋_GB2312" w:hAnsi="仿宋_GB2312" w:eastAsia="仿宋_GB2312"/>
          <w:color w:val="auto"/>
          <w:position w:val="0"/>
          <w:sz w:val="32"/>
          <w:szCs w:val="32"/>
        </w:rPr>
        <w:t>根据《中华人民共和国政府信息公开条例》，特向社会公布国家税务总局荆州</w:t>
      </w:r>
      <w:r>
        <w:rPr>
          <w:rFonts w:hint="eastAsia" w:ascii="仿宋_GB2312" w:hAnsi="仿宋_GB2312" w:eastAsia="仿宋_GB2312"/>
          <w:color w:val="auto"/>
          <w:position w:val="0"/>
          <w:sz w:val="32"/>
          <w:szCs w:val="32"/>
          <w:lang w:eastAsia="zh-CN"/>
        </w:rPr>
        <w:t>区</w:t>
      </w:r>
      <w:r>
        <w:rPr>
          <w:rFonts w:hint="default" w:ascii="仿宋_GB2312" w:hAnsi="仿宋_GB2312" w:eastAsia="仿宋_GB2312"/>
          <w:color w:val="auto"/>
          <w:position w:val="0"/>
          <w:sz w:val="32"/>
          <w:szCs w:val="32"/>
        </w:rPr>
        <w:t>税务局201</w:t>
      </w:r>
      <w:r>
        <w:rPr>
          <w:rFonts w:hint="default" w:ascii="仿宋_GB2312" w:hAnsi="宋体" w:eastAsia="宋体"/>
          <w:color w:val="auto"/>
          <w:position w:val="0"/>
          <w:sz w:val="32"/>
          <w:szCs w:val="32"/>
        </w:rPr>
        <w:t>9</w:t>
      </w:r>
      <w:r>
        <w:rPr>
          <w:rFonts w:hint="default" w:ascii="仿宋_GB2312" w:hAnsi="仿宋_GB2312" w:eastAsia="仿宋_GB2312"/>
          <w:color w:val="auto"/>
          <w:position w:val="0"/>
          <w:sz w:val="32"/>
          <w:szCs w:val="32"/>
        </w:rPr>
        <w:t>年度政府信息公开工作年度报告。如对本报告有疑问，请与国家税务总局荆州市</w:t>
      </w:r>
      <w:r>
        <w:rPr>
          <w:rFonts w:hint="eastAsia" w:ascii="仿宋_GB2312" w:hAnsi="仿宋_GB2312" w:eastAsia="仿宋_GB2312"/>
          <w:color w:val="auto"/>
          <w:position w:val="0"/>
          <w:sz w:val="32"/>
          <w:szCs w:val="32"/>
          <w:lang w:eastAsia="zh-CN"/>
        </w:rPr>
        <w:t>荆州区</w:t>
      </w:r>
      <w:r>
        <w:rPr>
          <w:rFonts w:hint="default" w:ascii="仿宋_GB2312" w:hAnsi="仿宋_GB2312" w:eastAsia="仿宋_GB2312"/>
          <w:color w:val="auto"/>
          <w:position w:val="0"/>
          <w:sz w:val="32"/>
          <w:szCs w:val="32"/>
        </w:rPr>
        <w:t>税务局联系。（地址：湖北省荆州市荆州区</w:t>
      </w:r>
      <w:r>
        <w:rPr>
          <w:rFonts w:hint="eastAsia" w:ascii="仿宋_GB2312" w:hAnsi="仿宋_GB2312" w:eastAsia="仿宋_GB2312"/>
          <w:color w:val="auto"/>
          <w:position w:val="0"/>
          <w:sz w:val="32"/>
          <w:szCs w:val="32"/>
          <w:lang w:eastAsia="zh-CN"/>
        </w:rPr>
        <w:t>荆中路</w:t>
      </w:r>
      <w:r>
        <w:rPr>
          <w:rFonts w:hint="eastAsia" w:ascii="仿宋_GB2312" w:hAnsi="仿宋_GB2312" w:eastAsia="仿宋_GB2312"/>
          <w:color w:val="auto"/>
          <w:position w:val="0"/>
          <w:sz w:val="32"/>
          <w:szCs w:val="32"/>
          <w:lang w:val="en-US" w:eastAsia="zh-CN"/>
        </w:rPr>
        <w:t>10</w:t>
      </w:r>
      <w:r>
        <w:rPr>
          <w:rFonts w:hint="default" w:ascii="仿宋_GB2312" w:hAnsi="仿宋_GB2312" w:eastAsia="仿宋_GB2312"/>
          <w:color w:val="auto"/>
          <w:position w:val="0"/>
          <w:sz w:val="32"/>
          <w:szCs w:val="32"/>
        </w:rPr>
        <w:t>号，邮编：434020，电话：0716-</w:t>
      </w:r>
      <w:r>
        <w:rPr>
          <w:rFonts w:hint="eastAsia" w:ascii="仿宋_GB2312" w:hAnsi="仿宋_GB2312" w:eastAsia="仿宋_GB2312"/>
          <w:color w:val="auto"/>
          <w:position w:val="0"/>
          <w:sz w:val="32"/>
          <w:szCs w:val="32"/>
          <w:lang w:val="en-US" w:eastAsia="zh-CN"/>
        </w:rPr>
        <w:t>4081609</w:t>
      </w:r>
      <w:r>
        <w:rPr>
          <w:rFonts w:hint="default" w:ascii="仿宋_GB2312" w:hAnsi="仿宋_GB2312" w:eastAsia="仿宋_GB2312"/>
          <w:color w:val="auto"/>
          <w:position w:val="0"/>
          <w:sz w:val="32"/>
          <w:szCs w:val="32"/>
        </w:rPr>
        <w:t>，传真0716-</w:t>
      </w:r>
      <w:r>
        <w:rPr>
          <w:rFonts w:hint="eastAsia" w:ascii="仿宋_GB2312" w:hAnsi="仿宋_GB2312" w:eastAsia="仿宋_GB2312"/>
          <w:color w:val="auto"/>
          <w:position w:val="0"/>
          <w:sz w:val="32"/>
          <w:szCs w:val="32"/>
          <w:lang w:val="en-US" w:eastAsia="zh-CN"/>
        </w:rPr>
        <w:t>4081608</w:t>
      </w:r>
      <w:r>
        <w:rPr>
          <w:rFonts w:hint="default" w:ascii="仿宋_GB2312" w:hAnsi="仿宋_GB2312" w:eastAsia="仿宋_GB2312"/>
          <w:color w:val="auto"/>
          <w:position w:val="0"/>
          <w:sz w:val="32"/>
          <w:szCs w:val="32"/>
        </w:rPr>
        <w:t>）</w:t>
      </w:r>
    </w:p>
    <w:p>
      <w:pPr>
        <w:keepNext w:val="0"/>
        <w:keepLines w:val="0"/>
        <w:pageBreakBefore w:val="0"/>
        <w:widowControl/>
        <w:numPr>
          <w:ilvl w:val="0"/>
          <w:numId w:val="0"/>
        </w:numPr>
        <w:shd w:val="clear" w:color="000000" w:fill="FFFFFF"/>
        <w:kinsoku/>
        <w:wordWrap/>
        <w:overflowPunct/>
        <w:topLinePunct w:val="0"/>
        <w:autoSpaceDE/>
        <w:autoSpaceDN/>
        <w:bidi w:val="0"/>
        <w:adjustRightInd w:val="0"/>
        <w:snapToGrid w:val="0"/>
        <w:spacing w:before="0" w:after="0" w:line="560" w:lineRule="exact"/>
        <w:ind w:right="0" w:firstLine="643" w:firstLineChars="200"/>
        <w:jc w:val="both"/>
        <w:textAlignment w:val="auto"/>
        <w:rPr>
          <w:rFonts w:hint="default" w:ascii="黑体" w:hAnsi="宋体" w:eastAsia="宋体"/>
          <w:color w:val="333333"/>
          <w:position w:val="0"/>
          <w:sz w:val="32"/>
          <w:szCs w:val="32"/>
        </w:rPr>
      </w:pPr>
      <w:r>
        <w:rPr>
          <w:rFonts w:hint="default" w:ascii="黑体" w:hAnsi="黑体" w:eastAsia="黑体"/>
          <w:b/>
          <w:color w:val="333333"/>
          <w:position w:val="0"/>
          <w:sz w:val="32"/>
          <w:szCs w:val="32"/>
        </w:rPr>
        <w:t>一、总体情况</w:t>
      </w:r>
    </w:p>
    <w:p>
      <w:pPr>
        <w:keepNext w:val="0"/>
        <w:keepLines w:val="0"/>
        <w:pageBreakBefore w:val="0"/>
        <w:widowControl/>
        <w:numPr>
          <w:ilvl w:val="0"/>
          <w:numId w:val="0"/>
        </w:numPr>
        <w:shd w:val="clear" w:color="000000" w:fill="FFFFFF"/>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default" w:ascii="仿宋_GB2312" w:hAnsi="宋体" w:eastAsia="宋体"/>
          <w:color w:val="auto"/>
          <w:position w:val="0"/>
          <w:sz w:val="32"/>
          <w:szCs w:val="32"/>
        </w:rPr>
      </w:pPr>
      <w:r>
        <w:rPr>
          <w:rFonts w:hint="default" w:ascii="仿宋_GB2312" w:hAnsi="仿宋_GB2312" w:eastAsia="仿宋_GB2312"/>
          <w:color w:val="auto"/>
          <w:position w:val="0"/>
          <w:sz w:val="32"/>
          <w:szCs w:val="32"/>
        </w:rPr>
        <w:t>2019年，国家税务总局荆州市</w:t>
      </w:r>
      <w:r>
        <w:rPr>
          <w:rFonts w:hint="eastAsia" w:ascii="仿宋_GB2312" w:hAnsi="仿宋_GB2312" w:eastAsia="仿宋_GB2312"/>
          <w:color w:val="auto"/>
          <w:position w:val="0"/>
          <w:sz w:val="32"/>
          <w:szCs w:val="32"/>
          <w:lang w:eastAsia="zh-CN"/>
        </w:rPr>
        <w:t>荆州区</w:t>
      </w:r>
      <w:r>
        <w:rPr>
          <w:rFonts w:hint="default" w:ascii="仿宋_GB2312" w:hAnsi="仿宋_GB2312" w:eastAsia="仿宋_GB2312"/>
          <w:color w:val="auto"/>
          <w:position w:val="0"/>
          <w:sz w:val="32"/>
          <w:szCs w:val="32"/>
        </w:rPr>
        <w:t>税务局认真贯彻落实《中华人民共和国政府信息公开条例》、《国家税务总局关于印发全面推进政务公开实施办法的通知》和总局、省局、市政府的有关要求，坚持以公开为常态、不公开为例外，全面推进决策、执行、管理、服务、结果全过程公开，严格信息公开审查，全面规范政策解读，积极回应社会关切，加强公开平台建设，保障了公众知情权、参与权和监督权，增强了税务部门公信力和执行力。</w:t>
      </w:r>
    </w:p>
    <w:p>
      <w:pPr>
        <w:keepNext w:val="0"/>
        <w:keepLines w:val="0"/>
        <w:pageBreakBefore w:val="0"/>
        <w:widowControl/>
        <w:kinsoku/>
        <w:wordWrap/>
        <w:overflowPunct/>
        <w:topLinePunct w:val="0"/>
        <w:bidi w:val="0"/>
        <w:adjustRightInd w:val="0"/>
        <w:snapToGrid w:val="0"/>
        <w:spacing w:line="560" w:lineRule="exact"/>
        <w:ind w:firstLine="640" w:firstLineChars="200"/>
        <w:jc w:val="both"/>
        <w:textAlignment w:val="auto"/>
        <w:rPr>
          <w:rFonts w:hint="eastAsia" w:ascii="仿宋" w:hAnsi="仿宋" w:eastAsia="仿宋"/>
          <w:sz w:val="32"/>
          <w:szCs w:val="32"/>
          <w:lang w:val="en-US" w:eastAsia="zh-CN"/>
        </w:rPr>
      </w:pPr>
      <w:r>
        <w:rPr>
          <w:rFonts w:hint="default" w:ascii="仿宋_GB2312" w:hAnsi="仿宋_GB2312" w:eastAsia="仿宋_GB2312"/>
          <w:color w:val="auto"/>
          <w:position w:val="0"/>
          <w:sz w:val="32"/>
          <w:szCs w:val="32"/>
        </w:rPr>
        <w:t>（一）加强信息公开渠道建设。</w:t>
      </w:r>
      <w:r>
        <w:rPr>
          <w:rFonts w:hint="eastAsia" w:ascii="仿宋" w:hAnsi="仿宋" w:eastAsia="仿宋"/>
          <w:sz w:val="32"/>
          <w:szCs w:val="32"/>
        </w:rPr>
        <w:t>成立以区局“一把手”任组长、分管局领导任副组长、有关职能单位为成员的政务公开工作领导小组及其办公室，加强统筹协调，明确职责分工，深化责任落实。</w:t>
      </w:r>
    </w:p>
    <w:p>
      <w:pPr>
        <w:keepNext w:val="0"/>
        <w:keepLines w:val="0"/>
        <w:pageBreakBefore w:val="0"/>
        <w:widowControl/>
        <w:numPr>
          <w:ilvl w:val="0"/>
          <w:numId w:val="0"/>
        </w:numPr>
        <w:shd w:val="clear" w:color="000000" w:fill="FFFFFF"/>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（二）做好信息公开日常工作。一是主动推送税收优惠政策。在门户网站</w:t>
      </w:r>
      <w:r>
        <w:rPr>
          <w:rFonts w:hint="eastAsia" w:ascii="仿宋_GB2312" w:hAnsi="仿宋_GB2312" w:eastAsia="仿宋_GB2312"/>
          <w:color w:val="auto"/>
          <w:position w:val="0"/>
          <w:sz w:val="32"/>
          <w:szCs w:val="32"/>
          <w:lang w:eastAsia="zh-CN"/>
        </w:rPr>
        <w:t>和</w:t>
      </w:r>
      <w:r>
        <w:rPr>
          <w:rFonts w:hint="default" w:ascii="仿宋_GB2312" w:hAnsi="仿宋_GB2312" w:eastAsia="仿宋_GB2312"/>
          <w:color w:val="auto"/>
          <w:position w:val="0"/>
          <w:sz w:val="32"/>
          <w:szCs w:val="32"/>
        </w:rPr>
        <w:t>新闻媒体积极宣传最新的税收政策落实情况，突出工作亮点，产生了较好的社会影响。二是加大税收规范性文件清理力度。开展税收规范性文件制发合法性审查，对文件制发程序和实体规定逐一进行了审核</w:t>
      </w:r>
      <w:r>
        <w:rPr>
          <w:rFonts w:hint="eastAsia" w:ascii="仿宋_GB2312" w:hAnsi="仿宋_GB2312" w:eastAsia="仿宋_GB2312"/>
          <w:color w:val="auto"/>
          <w:position w:val="0"/>
          <w:sz w:val="32"/>
          <w:szCs w:val="32"/>
          <w:lang w:val="en-US" w:eastAsia="zh-CN"/>
        </w:rPr>
        <w:t>,2019年，我局制定各类制定67个</w:t>
      </w:r>
      <w:r>
        <w:rPr>
          <w:rFonts w:hint="default" w:ascii="仿宋_GB2312" w:hAnsi="仿宋_GB2312" w:eastAsia="仿宋_GB2312"/>
          <w:color w:val="auto"/>
          <w:position w:val="0"/>
          <w:sz w:val="32"/>
          <w:szCs w:val="32"/>
        </w:rPr>
        <w:t>。</w:t>
      </w:r>
    </w:p>
    <w:p>
      <w:pPr>
        <w:keepNext w:val="0"/>
        <w:keepLines w:val="0"/>
        <w:pageBreakBefore w:val="0"/>
        <w:widowControl/>
        <w:numPr>
          <w:ilvl w:val="0"/>
          <w:numId w:val="0"/>
        </w:numPr>
        <w:shd w:val="clear" w:color="000000" w:fill="FFFFFF"/>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（三）提升信息公开工作质效。我局将信息公开、税法宣传、平台运维等有关信息公开工作纳入绩效考评，细化量化考核指标、定期开展巡检评价，不断提升信息公开工作规范化水平。</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before="0" w:after="0" w:line="560" w:lineRule="exact"/>
        <w:ind w:right="0" w:firstLine="640" w:firstLineChars="200"/>
        <w:jc w:val="both"/>
        <w:textAlignment w:val="auto"/>
        <w:rPr>
          <w:rFonts w:hint="default" w:ascii="仿宋_GB2312" w:hAnsi="仿宋_GB2312" w:eastAsia="仿宋_GB2312"/>
          <w:color w:val="auto"/>
          <w:position w:val="0"/>
          <w:sz w:val="32"/>
          <w:szCs w:val="32"/>
        </w:rPr>
      </w:pPr>
      <w:r>
        <w:rPr>
          <w:rFonts w:hint="eastAsia" w:ascii="黑体" w:hAnsi="黑体" w:eastAsia="黑体" w:cs="黑体"/>
          <w:color w:val="auto"/>
          <w:position w:val="0"/>
          <w:sz w:val="32"/>
          <w:szCs w:val="32"/>
        </w:rPr>
        <w:t>二、主动公开政府信息情况</w:t>
      </w:r>
    </w:p>
    <w:p>
      <w:pPr>
        <w:keepNext w:val="0"/>
        <w:keepLines w:val="0"/>
        <w:pageBreakBefore w:val="0"/>
        <w:widowControl/>
        <w:kinsoku/>
        <w:wordWrap/>
        <w:overflowPunct/>
        <w:topLinePunct w:val="0"/>
        <w:bidi w:val="0"/>
        <w:adjustRightInd w:val="0"/>
        <w:snapToGrid w:val="0"/>
        <w:spacing w:line="560" w:lineRule="exact"/>
        <w:ind w:firstLine="640" w:firstLineChars="200"/>
        <w:jc w:val="both"/>
        <w:textAlignment w:val="auto"/>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rPr>
        <w:t>2019年，我局主动公开政府信息</w:t>
      </w:r>
      <w:r>
        <w:rPr>
          <w:rFonts w:hint="eastAsia" w:ascii="仿宋_GB2312" w:hAnsi="宋体" w:eastAsia="仿宋_GB2312" w:cs="宋体"/>
          <w:color w:val="auto"/>
          <w:sz w:val="32"/>
          <w:szCs w:val="32"/>
          <w:lang w:val="en-US" w:eastAsia="zh-CN"/>
        </w:rPr>
        <w:t>40</w:t>
      </w:r>
      <w:r>
        <w:rPr>
          <w:rFonts w:hint="eastAsia" w:ascii="仿宋_GB2312" w:hAnsi="宋体" w:eastAsia="仿宋_GB2312" w:cs="宋体"/>
          <w:color w:val="auto"/>
          <w:sz w:val="32"/>
          <w:szCs w:val="32"/>
        </w:rPr>
        <w:t>条。其中，</w:t>
      </w:r>
      <w:r>
        <w:rPr>
          <w:rFonts w:hint="eastAsia" w:ascii="仿宋_GB2312" w:hAnsi="宋体" w:eastAsia="仿宋_GB2312" w:cs="宋体"/>
          <w:color w:val="auto"/>
          <w:sz w:val="32"/>
          <w:szCs w:val="32"/>
          <w:lang w:eastAsia="zh-CN"/>
        </w:rPr>
        <w:t>在纳税服务厅</w:t>
      </w:r>
      <w:r>
        <w:rPr>
          <w:rFonts w:hint="eastAsia" w:ascii="仿宋_GB2312" w:hAnsi="宋体" w:eastAsia="仿宋_GB2312" w:cs="宋体"/>
          <w:color w:val="auto"/>
          <w:sz w:val="32"/>
          <w:szCs w:val="32"/>
        </w:rPr>
        <w:t>完成相关</w:t>
      </w:r>
      <w:r>
        <w:rPr>
          <w:rFonts w:hint="eastAsia" w:ascii="仿宋_GB2312" w:hAnsi="宋体" w:eastAsia="仿宋_GB2312" w:cs="宋体"/>
          <w:color w:val="auto"/>
          <w:sz w:val="32"/>
          <w:szCs w:val="32"/>
          <w:lang w:eastAsia="zh-CN"/>
        </w:rPr>
        <w:t>税收政策</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eastAsia="zh-CN"/>
        </w:rPr>
        <w:t>欠税公告</w:t>
      </w:r>
      <w:r>
        <w:rPr>
          <w:rFonts w:hint="eastAsia" w:ascii="仿宋_GB2312" w:hAnsi="宋体" w:eastAsia="仿宋_GB2312" w:cs="宋体"/>
          <w:color w:val="auto"/>
          <w:sz w:val="32"/>
          <w:szCs w:val="32"/>
        </w:rPr>
        <w:t>等相关信息公开</w:t>
      </w:r>
      <w:r>
        <w:rPr>
          <w:rFonts w:hint="eastAsia" w:ascii="仿宋_GB2312" w:hAnsi="宋体" w:eastAsia="仿宋_GB2312" w:cs="宋体"/>
          <w:color w:val="auto"/>
          <w:sz w:val="32"/>
          <w:szCs w:val="32"/>
          <w:lang w:val="en-US" w:eastAsia="zh-CN"/>
        </w:rPr>
        <w:t>35</w:t>
      </w:r>
      <w:r>
        <w:rPr>
          <w:rFonts w:hint="eastAsia" w:ascii="仿宋_GB2312" w:hAnsi="宋体" w:eastAsia="仿宋_GB2312" w:cs="宋体"/>
          <w:color w:val="auto"/>
          <w:sz w:val="32"/>
          <w:szCs w:val="32"/>
        </w:rPr>
        <w:t>条；依托国家税务总局荆州市</w:t>
      </w:r>
      <w:r>
        <w:rPr>
          <w:rFonts w:hint="eastAsia" w:ascii="仿宋_GB2312" w:hAnsi="宋体" w:eastAsia="仿宋_GB2312" w:cs="宋体"/>
          <w:color w:val="auto"/>
          <w:sz w:val="32"/>
          <w:szCs w:val="32"/>
          <w:lang w:eastAsia="zh-CN"/>
        </w:rPr>
        <w:t>荆州区</w:t>
      </w:r>
      <w:r>
        <w:rPr>
          <w:rFonts w:hint="eastAsia" w:ascii="仿宋_GB2312" w:hAnsi="宋体" w:eastAsia="仿宋_GB2312" w:cs="宋体"/>
          <w:color w:val="auto"/>
          <w:sz w:val="32"/>
          <w:szCs w:val="32"/>
        </w:rPr>
        <w:t>税务局子站公开信息</w:t>
      </w:r>
      <w:r>
        <w:rPr>
          <w:rFonts w:hint="eastAsia" w:ascii="仿宋_GB2312" w:hAnsi="宋体" w:eastAsia="仿宋_GB2312" w:cs="宋体"/>
          <w:color w:val="auto"/>
          <w:sz w:val="32"/>
          <w:szCs w:val="32"/>
          <w:lang w:val="en-US" w:eastAsia="zh-CN"/>
        </w:rPr>
        <w:t>5</w:t>
      </w:r>
      <w:r>
        <w:rPr>
          <w:rFonts w:hint="eastAsia" w:ascii="仿宋_GB2312" w:hAnsi="宋体" w:eastAsia="仿宋_GB2312" w:cs="宋体"/>
          <w:color w:val="auto"/>
          <w:sz w:val="32"/>
          <w:szCs w:val="32"/>
        </w:rPr>
        <w:t>条</w:t>
      </w:r>
      <w:r>
        <w:rPr>
          <w:rFonts w:hint="eastAsia" w:ascii="仿宋_GB2312" w:hAnsi="宋体" w:eastAsia="仿宋_GB2312" w:cs="宋体"/>
          <w:color w:val="auto"/>
          <w:sz w:val="32"/>
          <w:szCs w:val="32"/>
          <w:lang w:eastAsia="zh-CN"/>
        </w:rPr>
        <w:t>。</w:t>
      </w:r>
    </w:p>
    <w:tbl>
      <w:tblPr>
        <w:tblStyle w:val="2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000000" w:fill="C6D9F1"/>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本年新</w:t>
            </w:r>
            <w:r>
              <w:rPr>
                <w:rFonts w:hint="default" w:ascii="宋体" w:hAnsi="宋体" w:eastAsia="宋体"/>
                <w:color w:val="000000"/>
                <w:position w:val="0"/>
                <w:sz w:val="20"/>
                <w:szCs w:val="20"/>
              </w:rPr>
              <w:br w:type="textWrapping"/>
            </w:r>
            <w:r>
              <w:rPr>
                <w:rFonts w:hint="default" w:ascii="宋体" w:hAnsi="宋体" w:eastAsia="宋体"/>
                <w:color w:val="auto"/>
                <w:positio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本年新</w:t>
            </w:r>
            <w:r>
              <w:rPr>
                <w:rFonts w:hint="default" w:ascii="宋体" w:hAnsi="宋体" w:eastAsia="宋体"/>
                <w:color w:val="000000"/>
                <w:position w:val="0"/>
                <w:sz w:val="20"/>
                <w:szCs w:val="20"/>
              </w:rPr>
              <w:br w:type="textWrapping"/>
            </w:r>
            <w:r>
              <w:rPr>
                <w:rFonts w:hint="default" w:ascii="宋体" w:hAnsi="宋体" w:eastAsia="宋体"/>
                <w:color w:val="auto"/>
                <w:position w:val="0"/>
                <w:sz w:val="20"/>
                <w:szCs w:val="20"/>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000000"/>
                <w:position w:val="0"/>
                <w:sz w:val="20"/>
                <w:szCs w:val="20"/>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000000"/>
                <w:position w:val="0"/>
                <w:sz w:val="20"/>
                <w:szCs w:val="20"/>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000000" w:fill="C6D9F1"/>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000000"/>
                <w:position w:val="0"/>
                <w:sz w:val="20"/>
                <w:szCs w:val="20"/>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000000"/>
                <w:position w:val="0"/>
                <w:sz w:val="20"/>
                <w:szCs w:val="20"/>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000000" w:fill="C6D9F1"/>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000000"/>
                <w:position w:val="0"/>
                <w:sz w:val="20"/>
                <w:szCs w:val="20"/>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125</w:t>
            </w:r>
          </w:p>
        </w:tc>
        <w:tc>
          <w:tcPr>
            <w:tcW w:w="126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111</w:t>
            </w:r>
          </w:p>
        </w:tc>
        <w:tc>
          <w:tcPr>
            <w:tcW w:w="188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236</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000000"/>
                <w:position w:val="0"/>
                <w:sz w:val="20"/>
                <w:szCs w:val="20"/>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000000"/>
                <w:position w:val="0"/>
                <w:sz w:val="20"/>
                <w:szCs w:val="20"/>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000000" w:fill="C6D9F1"/>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000000"/>
                <w:positio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000000"/>
                <w:position w:val="0"/>
                <w:sz w:val="20"/>
                <w:szCs w:val="20"/>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 1</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000000" w:fill="C6D9F1"/>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000000"/>
                <w:position w:val="0"/>
                <w:sz w:val="20"/>
                <w:szCs w:val="20"/>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000000"/>
                <w:position w:val="0"/>
                <w:sz w:val="20"/>
                <w:szCs w:val="20"/>
                <w:lang w:val="en-US" w:eastAsia="zh-CN"/>
              </w:rPr>
            </w:pPr>
            <w:r>
              <w:rPr>
                <w:rFonts w:hint="eastAsia" w:ascii="宋体" w:hAnsi="宋体"/>
                <w:color w:val="000000"/>
                <w:position w:val="0"/>
                <w:sz w:val="20"/>
                <w:szCs w:val="20"/>
                <w:lang w:val="en-US" w:eastAsia="zh-CN"/>
              </w:rPr>
              <w:t>95</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000000"/>
                <w:position w:val="0"/>
                <w:sz w:val="20"/>
                <w:szCs w:val="20"/>
                <w:lang w:val="en-US" w:eastAsia="zh-CN"/>
              </w:rPr>
            </w:pPr>
            <w:r>
              <w:rPr>
                <w:rFonts w:hint="eastAsia" w:ascii="宋体" w:hAnsi="宋体"/>
                <w:color w:val="000000"/>
                <w:position w:val="0"/>
                <w:sz w:val="20"/>
                <w:szCs w:val="20"/>
                <w:lang w:val="en-US" w:eastAsia="zh-CN"/>
              </w:rPr>
              <w:t>352796元</w:t>
            </w:r>
          </w:p>
        </w:tc>
      </w:tr>
    </w:tbl>
    <w:p>
      <w:pPr>
        <w:numPr>
          <w:ilvl w:val="0"/>
          <w:numId w:val="0"/>
        </w:numPr>
        <w:shd w:val="clear" w:color="000000" w:fill="FFFFFF"/>
        <w:autoSpaceDE/>
        <w:autoSpaceDN/>
        <w:spacing w:before="0" w:after="0" w:line="240" w:lineRule="auto"/>
        <w:ind w:right="0" w:firstLine="480"/>
        <w:jc w:val="both"/>
        <w:rPr>
          <w:rFonts w:hint="default" w:ascii="宋体" w:hAnsi="宋体" w:eastAsia="宋体"/>
          <w:color w:val="333333"/>
          <w:position w:val="0"/>
          <w:sz w:val="21"/>
          <w:szCs w:val="21"/>
        </w:rPr>
      </w:pPr>
    </w:p>
    <w:p>
      <w:pPr>
        <w:keepNext w:val="0"/>
        <w:keepLines w:val="0"/>
        <w:pageBreakBefore w:val="0"/>
        <w:widowControl/>
        <w:numPr>
          <w:ilvl w:val="0"/>
          <w:numId w:val="0"/>
        </w:numPr>
        <w:shd w:val="clear" w:color="000000" w:fill="FFFFFF"/>
        <w:kinsoku/>
        <w:wordWrap/>
        <w:overflowPunct/>
        <w:topLinePunct w:val="0"/>
        <w:autoSpaceDE/>
        <w:autoSpaceDN/>
        <w:bidi w:val="0"/>
        <w:adjustRightInd w:val="0"/>
        <w:snapToGrid w:val="0"/>
        <w:spacing w:before="0" w:after="240" w:line="560" w:lineRule="exact"/>
        <w:ind w:right="0" w:firstLine="643" w:firstLineChars="200"/>
        <w:jc w:val="both"/>
        <w:textAlignment w:val="auto"/>
        <w:rPr>
          <w:rFonts w:hint="default" w:ascii="黑体" w:hAnsi="宋体" w:eastAsia="宋体"/>
          <w:b/>
          <w:color w:val="333333"/>
          <w:position w:val="0"/>
          <w:sz w:val="32"/>
          <w:szCs w:val="32"/>
        </w:rPr>
      </w:pPr>
      <w:r>
        <w:rPr>
          <w:rFonts w:hint="default" w:ascii="黑体" w:hAnsi="黑体" w:eastAsia="黑体"/>
          <w:b/>
          <w:color w:val="333333"/>
          <w:position w:val="0"/>
          <w:sz w:val="32"/>
          <w:szCs w:val="32"/>
        </w:rPr>
        <w:t>三、收到和处理政府信息公开申请情况</w:t>
      </w:r>
    </w:p>
    <w:p>
      <w:pPr>
        <w:pStyle w:val="23"/>
        <w:keepNext w:val="0"/>
        <w:keepLines w:val="0"/>
        <w:pageBreakBefore w:val="0"/>
        <w:widowControl/>
        <w:numPr>
          <w:ilvl w:val="0"/>
          <w:numId w:val="0"/>
        </w:numPr>
        <w:kinsoku/>
        <w:wordWrap/>
        <w:overflowPunct/>
        <w:topLinePunct w:val="0"/>
        <w:autoSpaceDE/>
        <w:autoSpaceDN/>
        <w:bidi w:val="0"/>
        <w:adjustRightInd w:val="0"/>
        <w:snapToGrid w:val="0"/>
        <w:spacing w:before="280" w:beforeAutospacing="1" w:after="280" w:afterAutospacing="1" w:line="560" w:lineRule="exact"/>
        <w:ind w:right="0" w:firstLine="640" w:firstLineChars="200"/>
        <w:jc w:val="both"/>
        <w:textAlignment w:val="auto"/>
        <w:rPr>
          <w:rFonts w:hint="default" w:ascii="仿宋_GB2312" w:hAnsi="仿宋_GB2312" w:eastAsia="仿宋_GB2312"/>
          <w:color w:val="000000"/>
          <w:position w:val="6"/>
          <w:sz w:val="32"/>
          <w:szCs w:val="32"/>
        </w:rPr>
      </w:pPr>
      <w:r>
        <w:rPr>
          <w:rFonts w:hint="default" w:ascii="仿宋_GB2312" w:hAnsi="仿宋_GB2312" w:eastAsia="仿宋_GB2312"/>
          <w:color w:val="auto"/>
          <w:position w:val="0"/>
          <w:sz w:val="32"/>
          <w:szCs w:val="32"/>
        </w:rPr>
        <w:t>2019年，共受理信息公开申请</w:t>
      </w:r>
      <w:r>
        <w:rPr>
          <w:rFonts w:hint="eastAsia" w:ascii="仿宋_GB2312" w:hAnsi="仿宋_GB2312" w:eastAsia="仿宋_GB2312"/>
          <w:color w:val="000000" w:themeColor="text1"/>
          <w:position w:val="0"/>
          <w:sz w:val="32"/>
          <w:szCs w:val="32"/>
          <w:lang w:val="en-US" w:eastAsia="zh-CN"/>
          <w14:textFill>
            <w14:solidFill>
              <w14:schemeClr w14:val="tx1"/>
            </w14:solidFill>
          </w14:textFill>
        </w:rPr>
        <w:t>0</w:t>
      </w:r>
      <w:r>
        <w:rPr>
          <w:rFonts w:hint="default" w:ascii="仿宋_GB2312" w:hAnsi="仿宋_GB2312" w:eastAsia="仿宋_GB2312"/>
          <w:color w:val="000000" w:themeColor="text1"/>
          <w:position w:val="0"/>
          <w:sz w:val="32"/>
          <w:szCs w:val="32"/>
          <w14:textFill>
            <w14:solidFill>
              <w14:schemeClr w14:val="tx1"/>
            </w14:solidFill>
          </w14:textFill>
        </w:rPr>
        <w:t>件</w:t>
      </w:r>
      <w:r>
        <w:rPr>
          <w:rFonts w:hint="default" w:ascii="仿宋_GB2312" w:hAnsi="仿宋_GB2312" w:eastAsia="仿宋_GB2312"/>
          <w:color w:val="auto"/>
          <w:position w:val="0"/>
          <w:sz w:val="32"/>
          <w:szCs w:val="32"/>
        </w:rPr>
        <w:t>，所有申请均按相关规定办理回复，按时办结率为100%。2019年，本机关未向政府信息公开申请人收取费用。</w:t>
      </w:r>
    </w:p>
    <w:tbl>
      <w:tblPr>
        <w:tblStyle w:val="25"/>
        <w:tblW w:w="9071" w:type="dxa"/>
        <w:jc w:val="center"/>
        <w:tblInd w:w="0" w:type="dxa"/>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Layout w:type="fixed"/>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申请人情况</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总计</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813" w:type="dxa"/>
            <w:vMerge w:val="continue"/>
            <w:tcBorders>
              <w:top w:val="nil"/>
              <w:left w:val="nil"/>
              <w:bottom w:val="single" w:color="auto" w:sz="8" w:space="0"/>
              <w:right w:val="single" w:color="auto" w:sz="8" w:space="0"/>
            </w:tcBorders>
            <w:vAlign w:val="center"/>
          </w:tcP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auto"/>
                <w:position w:val="0"/>
                <w:sz w:val="20"/>
                <w:szCs w:val="20"/>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eastAsia" w:hAnsi="宋体"/>
                <w:color w:val="auto"/>
                <w:position w:val="0"/>
                <w:sz w:val="20"/>
                <w:szCs w:val="20"/>
                <w:lang w:val="en-US" w:eastAsia="zh-CN"/>
              </w:rPr>
              <w:t xml:space="preserve">  0</w:t>
            </w: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default" w:ascii="Calibri" w:hAnsi="宋体" w:eastAsia="宋体"/>
                <w:color w:val="auto"/>
                <w:position w:val="0"/>
                <w:sz w:val="20"/>
                <w:szCs w:val="20"/>
              </w:rPr>
              <w:t> </w:t>
            </w:r>
            <w:r>
              <w:rPr>
                <w:rFonts w:hint="eastAsia" w:hAnsi="宋体"/>
                <w:color w:val="auto"/>
                <w:positio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hAnsi="宋体"/>
                <w:color w:val="auto"/>
                <w:positio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default" w:ascii="Calibri" w:hAnsi="宋体" w:eastAsia="宋体"/>
                <w:color w:val="auto"/>
                <w:position w:val="0"/>
                <w:sz w:val="20"/>
                <w:szCs w:val="20"/>
              </w:rPr>
              <w:t> </w:t>
            </w:r>
            <w:r>
              <w:rPr>
                <w:rFonts w:hint="eastAsia" w:hAnsi="宋体"/>
                <w:color w:val="auto"/>
                <w:positio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eastAsia" w:hAnsi="宋体"/>
                <w:color w:val="auto"/>
                <w:position w:val="0"/>
                <w:sz w:val="20"/>
                <w:szCs w:val="20"/>
                <w:lang w:val="en-US" w:eastAsia="zh-CN"/>
              </w:rPr>
              <w:t>0</w:t>
            </w: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eastAsia" w:hAnsi="宋体"/>
                <w:color w:val="auto"/>
                <w:position w:val="0"/>
                <w:sz w:val="20"/>
                <w:szCs w:val="20"/>
                <w:lang w:val="en-US" w:eastAsia="zh-CN"/>
              </w:rPr>
              <w:t>0</w:t>
            </w: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eastAsia" w:hAnsi="宋体"/>
                <w:color w:val="auto"/>
                <w:position w:val="0"/>
                <w:sz w:val="20"/>
                <w:szCs w:val="20"/>
                <w:lang w:val="en-US" w:eastAsia="zh-CN"/>
              </w:rPr>
              <w:t>0</w:t>
            </w: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auto"/>
                <w:position w:val="0"/>
                <w:sz w:val="20"/>
                <w:szCs w:val="20"/>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eastAsia" w:hAnsi="宋体"/>
                <w:color w:val="auto"/>
                <w:positio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default" w:ascii="Calibri" w:hAnsi="宋体" w:eastAsia="宋体"/>
                <w:color w:val="auto"/>
                <w:position w:val="0"/>
                <w:sz w:val="20"/>
                <w:szCs w:val="20"/>
              </w:rPr>
              <w:t> </w:t>
            </w:r>
            <w:r>
              <w:rPr>
                <w:rFonts w:hint="eastAsia" w:hAnsi="宋体"/>
                <w:color w:val="auto"/>
                <w:positio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eastAsia" w:hAnsi="宋体"/>
                <w:color w:val="auto"/>
                <w:position w:val="0"/>
                <w:sz w:val="20"/>
                <w:szCs w:val="20"/>
                <w:lang w:val="en-US" w:eastAsia="zh-CN"/>
              </w:rPr>
              <w:t xml:space="preserve">  0</w:t>
            </w: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default" w:ascii="Calibri" w:hAnsi="宋体" w:eastAsia="宋体"/>
                <w:color w:val="auto"/>
                <w:position w:val="0"/>
                <w:sz w:val="20"/>
                <w:szCs w:val="20"/>
              </w:rPr>
              <w:t> </w:t>
            </w:r>
            <w:r>
              <w:rPr>
                <w:rFonts w:hint="eastAsia" w:hAnsi="宋体"/>
                <w:color w:val="auto"/>
                <w:positio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200" w:firstLineChars="100"/>
              <w:jc w:val="both"/>
              <w:rPr>
                <w:rFonts w:hint="eastAsia" w:ascii="宋体" w:hAnsi="宋体" w:eastAsia="宋体"/>
                <w:color w:val="auto"/>
                <w:position w:val="0"/>
                <w:sz w:val="24"/>
                <w:szCs w:val="24"/>
                <w:lang w:val="en-US" w:eastAsia="zh-CN"/>
              </w:rPr>
            </w:pPr>
            <w:r>
              <w:rPr>
                <w:rFonts w:hint="eastAsia" w:hAnsi="宋体"/>
                <w:color w:val="auto"/>
                <w:positio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eastAsia" w:hAnsi="宋体"/>
                <w:color w:val="auto"/>
                <w:position w:val="0"/>
                <w:sz w:val="20"/>
                <w:szCs w:val="20"/>
                <w:lang w:val="en-US" w:eastAsia="zh-CN"/>
              </w:rPr>
              <w:t>0</w:t>
            </w: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200" w:firstLineChars="100"/>
              <w:jc w:val="both"/>
              <w:rPr>
                <w:rFonts w:hint="eastAsia" w:ascii="宋体" w:hAnsi="宋体" w:eastAsia="宋体"/>
                <w:color w:val="auto"/>
                <w:position w:val="0"/>
                <w:sz w:val="24"/>
                <w:szCs w:val="24"/>
                <w:lang w:val="en-US" w:eastAsia="zh-CN"/>
              </w:rPr>
            </w:pPr>
            <w:r>
              <w:rPr>
                <w:rFonts w:hint="eastAsia" w:hAnsi="宋体"/>
                <w:color w:val="auto"/>
                <w:positio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854" w:type="dxa"/>
            <w:vMerge w:val="continue"/>
            <w:tcBorders>
              <w:top w:val="nil"/>
              <w:left w:val="nil"/>
              <w:bottom w:val="single" w:color="auto" w:sz="8" w:space="0"/>
              <w:right w:val="single" w:color="auto" w:sz="8" w:space="0"/>
            </w:tcBorders>
            <w:vAlign w:val="center"/>
          </w:tcPr>
          <w:p/>
        </w:tc>
        <w:tc>
          <w:tcPr>
            <w:tcW w:w="208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楷体" w:hAnsi="楷体" w:eastAsia="楷体"/>
                <w:color w:val="auto"/>
                <w:position w:val="0"/>
                <w:sz w:val="20"/>
                <w:szCs w:val="20"/>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Calibri" w:hAnsi="宋体" w:eastAsia="宋体"/>
                <w:color w:val="auto"/>
                <w:position w:val="0"/>
                <w:sz w:val="20"/>
                <w:szCs w:val="20"/>
              </w:rPr>
              <w:t> </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default" w:ascii="宋体" w:hAnsi="宋体" w:eastAsia="宋体"/>
                <w:color w:val="auto"/>
                <w:position w:val="0"/>
                <w:sz w:val="24"/>
                <w:szCs w:val="24"/>
              </w:rPr>
            </w:pPr>
            <w:r>
              <w:rPr>
                <w:rFonts w:hint="default" w:ascii="宋体" w:hAnsi="宋体" w:eastAsia="宋体"/>
                <w:color w:val="auto"/>
                <w:position w:val="0"/>
                <w:sz w:val="20"/>
                <w:szCs w:val="20"/>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default" w:ascii="Calibri" w:hAnsi="宋体" w:eastAsia="宋体"/>
                <w:color w:val="auto"/>
                <w:position w:val="0"/>
                <w:sz w:val="20"/>
                <w:szCs w:val="20"/>
              </w:rPr>
              <w:t> </w:t>
            </w:r>
            <w:r>
              <w:rPr>
                <w:rFonts w:hint="eastAsia" w:hAnsi="宋体"/>
                <w:color w:val="auto"/>
                <w:positio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eastAsia" w:hAnsi="宋体"/>
                <w:color w:val="auto"/>
                <w:position w:val="0"/>
                <w:sz w:val="20"/>
                <w:szCs w:val="20"/>
                <w:lang w:val="en-US" w:eastAsia="zh-CN"/>
              </w:rPr>
              <w:t>0</w:t>
            </w:r>
            <w:r>
              <w:rPr>
                <w:rFonts w:hint="default" w:ascii="Calibri" w:hAnsi="宋体" w:eastAsia="宋体"/>
                <w:color w:val="auto"/>
                <w:positio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eastAsia" w:ascii="宋体" w:hAnsi="宋体" w:eastAsia="宋体"/>
                <w:color w:val="auto"/>
                <w:position w:val="0"/>
                <w:sz w:val="24"/>
                <w:szCs w:val="24"/>
                <w:lang w:val="en-US" w:eastAsia="zh-CN"/>
              </w:rPr>
            </w:pPr>
            <w:r>
              <w:rPr>
                <w:rFonts w:hint="default" w:ascii="Calibri" w:hAnsi="宋体" w:eastAsia="宋体"/>
                <w:color w:val="auto"/>
                <w:position w:val="0"/>
                <w:sz w:val="20"/>
                <w:szCs w:val="20"/>
              </w:rPr>
              <w:t> </w:t>
            </w:r>
            <w:r>
              <w:rPr>
                <w:rFonts w:hint="eastAsia" w:hAnsi="宋体"/>
                <w:color w:val="auto"/>
                <w:positio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eastAsia" w:hAnsi="宋体"/>
                <w:color w:val="auto"/>
                <w:position w:val="0"/>
                <w:sz w:val="20"/>
                <w:szCs w:val="20"/>
                <w:lang w:val="en-US" w:eastAsia="zh-CN"/>
              </w:rPr>
              <w:t>0</w:t>
            </w:r>
            <w:r>
              <w:rPr>
                <w:rFonts w:hint="default" w:ascii="Calibri" w:hAnsi="宋体" w:eastAsia="宋体"/>
                <w:color w:val="auto"/>
                <w:position w:val="0"/>
                <w:sz w:val="20"/>
                <w:szCs w:val="20"/>
              </w:rPr>
              <w:t> </w:t>
            </w:r>
          </w:p>
        </w:tc>
        <w:tc>
          <w:tcPr>
            <w:tcW w:w="973"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eastAsia" w:hAnsi="宋体"/>
                <w:color w:val="auto"/>
                <w:position w:val="0"/>
                <w:sz w:val="20"/>
                <w:szCs w:val="20"/>
                <w:lang w:val="en-US" w:eastAsia="zh-CN"/>
              </w:rPr>
              <w:t>0</w:t>
            </w:r>
            <w:r>
              <w:rPr>
                <w:rFonts w:hint="default" w:ascii="Calibri" w:hAnsi="宋体" w:eastAsia="宋体"/>
                <w:color w:val="auto"/>
                <w:position w:val="0"/>
                <w:sz w:val="20"/>
                <w:szCs w:val="20"/>
              </w:rPr>
              <w:t> </w:t>
            </w:r>
          </w:p>
        </w:tc>
        <w:tc>
          <w:tcPr>
            <w:tcW w:w="711"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eastAsia" w:hAnsi="宋体"/>
                <w:color w:val="auto"/>
                <w:position w:val="0"/>
                <w:sz w:val="20"/>
                <w:szCs w:val="20"/>
                <w:lang w:val="en-US" w:eastAsia="zh-CN"/>
              </w:rPr>
              <w:t>0</w:t>
            </w:r>
            <w:r>
              <w:rPr>
                <w:rFonts w:hint="default" w:ascii="Calibri" w:hAnsi="宋体" w:eastAsia="宋体"/>
                <w:color w:val="auto"/>
                <w:position w:val="0"/>
                <w:sz w:val="20"/>
                <w:szCs w:val="20"/>
              </w:rPr>
              <w:t> </w:t>
            </w:r>
          </w:p>
        </w:tc>
        <w:tc>
          <w:tcPr>
            <w:tcW w:w="69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left"/>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0</w:t>
            </w:r>
          </w:p>
        </w:tc>
      </w:tr>
    </w:tbl>
    <w:p>
      <w:pPr>
        <w:numPr>
          <w:ilvl w:val="0"/>
          <w:numId w:val="0"/>
        </w:numPr>
        <w:shd w:val="clear" w:color="000000" w:fill="FFFFFF"/>
        <w:autoSpaceDE/>
        <w:autoSpaceDN/>
        <w:spacing w:before="0" w:after="0" w:line="240" w:lineRule="auto"/>
        <w:ind w:right="0" w:firstLine="480"/>
        <w:jc w:val="both"/>
        <w:rPr>
          <w:rFonts w:hint="default" w:ascii="宋体" w:hAnsi="宋体" w:eastAsia="宋体"/>
          <w:color w:val="333333"/>
          <w:position w:val="0"/>
          <w:sz w:val="21"/>
          <w:szCs w:val="21"/>
        </w:rPr>
      </w:pPr>
    </w:p>
    <w:p>
      <w:pPr>
        <w:keepNext w:val="0"/>
        <w:keepLines w:val="0"/>
        <w:pageBreakBefore w:val="0"/>
        <w:widowControl/>
        <w:numPr>
          <w:ilvl w:val="0"/>
          <w:numId w:val="0"/>
        </w:numPr>
        <w:shd w:val="clear" w:color="000000" w:fill="FFFFFF"/>
        <w:kinsoku/>
        <w:wordWrap/>
        <w:overflowPunct/>
        <w:topLinePunct w:val="0"/>
        <w:autoSpaceDE/>
        <w:autoSpaceDN/>
        <w:bidi w:val="0"/>
        <w:adjustRightInd/>
        <w:snapToGrid w:val="0"/>
        <w:spacing w:before="0" w:after="0" w:line="560" w:lineRule="exact"/>
        <w:ind w:right="0" w:firstLine="640" w:firstLineChars="200"/>
        <w:jc w:val="both"/>
        <w:textAlignment w:val="auto"/>
        <w:rPr>
          <w:rFonts w:hint="default" w:ascii="黑体" w:hAnsi="宋体" w:eastAsia="宋体"/>
          <w:b w:val="0"/>
          <w:bCs/>
          <w:color w:val="333333"/>
          <w:position w:val="0"/>
          <w:sz w:val="32"/>
          <w:szCs w:val="32"/>
        </w:rPr>
      </w:pPr>
      <w:r>
        <w:rPr>
          <w:rFonts w:hint="default" w:ascii="黑体" w:hAnsi="黑体" w:eastAsia="黑体"/>
          <w:b w:val="0"/>
          <w:bCs/>
          <w:color w:val="333333"/>
          <w:position w:val="0"/>
          <w:sz w:val="32"/>
          <w:szCs w:val="32"/>
        </w:rPr>
        <w:t>四、政府信息公开行政复议、行政诉讼情况</w:t>
      </w:r>
    </w:p>
    <w:p>
      <w:pPr>
        <w:pStyle w:val="23"/>
        <w:keepNext w:val="0"/>
        <w:keepLines w:val="0"/>
        <w:pageBreakBefore w:val="0"/>
        <w:widowControl/>
        <w:numPr>
          <w:ilvl w:val="0"/>
          <w:numId w:val="0"/>
        </w:numPr>
        <w:kinsoku/>
        <w:wordWrap/>
        <w:overflowPunct/>
        <w:topLinePunct w:val="0"/>
        <w:autoSpaceDE/>
        <w:autoSpaceDN/>
        <w:bidi w:val="0"/>
        <w:adjustRightInd/>
        <w:snapToGrid w:val="0"/>
        <w:spacing w:before="0" w:after="0" w:line="560" w:lineRule="exact"/>
        <w:ind w:right="0" w:firstLine="640" w:firstLineChars="200"/>
        <w:jc w:val="both"/>
        <w:textAlignment w:val="auto"/>
        <w:rPr>
          <w:rFonts w:hint="default" w:ascii="仿宋_GB2312" w:hAnsi="仿宋_GB2312" w:eastAsia="仿宋_GB2312"/>
          <w:color w:val="auto"/>
          <w:position w:val="0"/>
          <w:sz w:val="32"/>
          <w:szCs w:val="32"/>
        </w:rPr>
      </w:pPr>
      <w:r>
        <w:rPr>
          <w:rFonts w:hint="default" w:ascii="仿宋_GB2312" w:hAnsi="仿宋_GB2312" w:eastAsia="仿宋_GB2312"/>
          <w:color w:val="000000"/>
          <w:position w:val="6"/>
          <w:sz w:val="32"/>
          <w:szCs w:val="32"/>
        </w:rPr>
        <w:t>2019年，国家税务总局荆州市税务局没有收到因政府信息公开工作的行政诉讼应诉。</w:t>
      </w:r>
    </w:p>
    <w:tbl>
      <w:tblPr>
        <w:tblStyle w:val="25"/>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tc>
        <w:tc>
          <w:tcPr>
            <w:tcW w:w="604" w:type="dxa"/>
            <w:vMerge w:val="continue"/>
            <w:tcBorders>
              <w:top w:val="nil"/>
              <w:left w:val="nil"/>
              <w:bottom w:val="single" w:color="auto" w:sz="8" w:space="0"/>
              <w:right w:val="single" w:color="auto" w:sz="8" w:space="0"/>
            </w:tcBorders>
            <w:vAlign w:val="center"/>
          </w:tcPr>
          <w:p/>
        </w:tc>
        <w:tc>
          <w:tcPr>
            <w:tcW w:w="604" w:type="dxa"/>
            <w:vMerge w:val="continue"/>
            <w:tcBorders>
              <w:top w:val="single" w:color="auto" w:sz="8" w:space="0"/>
              <w:left w:val="nil"/>
              <w:bottom w:val="single" w:color="auto" w:sz="8" w:space="0"/>
              <w:right w:val="single" w:color="auto" w:sz="8" w:space="0"/>
            </w:tcBorders>
            <w:vAlign w:val="center"/>
          </w:tcPr>
          <w:p/>
        </w:tc>
        <w:tc>
          <w:tcPr>
            <w:tcW w:w="604" w:type="dxa"/>
            <w:vMerge w:val="continue"/>
            <w:tcBorders>
              <w:top w:val="single" w:color="auto" w:sz="8" w:space="0"/>
              <w:left w:val="nil"/>
              <w:bottom w:val="single" w:color="auto" w:sz="8" w:space="0"/>
              <w:right w:val="single" w:color="auto" w:sz="8" w:space="0"/>
            </w:tcBorders>
            <w:vAlign w:val="center"/>
          </w:tcPr>
          <w:p/>
        </w:tc>
        <w:tc>
          <w:tcPr>
            <w:tcW w:w="658" w:type="dxa"/>
            <w:vMerge w:val="continue"/>
            <w:tcBorders>
              <w:top w:val="single" w:color="auto" w:sz="8" w:space="0"/>
              <w:left w:val="nil"/>
              <w:bottom w:val="single" w:color="auto" w:sz="8" w:space="0"/>
              <w:right w:val="single" w:color="auto" w:sz="8" w:space="0"/>
            </w:tcBorders>
            <w:vAlign w:val="center"/>
          </w:tcPr>
          <w:p/>
        </w:tc>
        <w:tc>
          <w:tcPr>
            <w:tcW w:w="550"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000000"/>
                <w:positio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60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60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604"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658"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both"/>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550"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0</w:t>
            </w:r>
          </w:p>
        </w:tc>
        <w:tc>
          <w:tcPr>
            <w:tcW w:w="60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0"/>
                <w:szCs w:val="20"/>
              </w:rPr>
              <w:t>0</w:t>
            </w:r>
          </w:p>
        </w:tc>
        <w:tc>
          <w:tcPr>
            <w:tcW w:w="60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60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60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60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60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605"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60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c>
          <w:tcPr>
            <w:tcW w:w="606" w:type="dxa"/>
            <w:tcBorders>
              <w:top w:val="nil"/>
              <w:left w:val="nil"/>
              <w:bottom w:val="single" w:color="auto" w:sz="8" w:space="0"/>
              <w:right w:val="single" w:color="auto" w:sz="8" w:space="0"/>
            </w:tcBorders>
            <w:tcMar>
              <w:left w:w="108" w:type="dxa"/>
              <w:right w:w="108" w:type="dxa"/>
            </w:tcMar>
            <w:vAlign w:val="center"/>
          </w:tcPr>
          <w:p>
            <w:pPr>
              <w:numPr>
                <w:ilvl w:val="0"/>
                <w:numId w:val="0"/>
              </w:numPr>
              <w:autoSpaceDE/>
              <w:autoSpaceDN/>
              <w:spacing w:before="0" w:after="0" w:line="240" w:lineRule="auto"/>
              <w:ind w:right="0" w:firstLine="120"/>
              <w:jc w:val="left"/>
              <w:rPr>
                <w:rFonts w:hint="default" w:ascii="宋体" w:hAnsi="宋体" w:eastAsia="宋体"/>
                <w:color w:val="auto"/>
                <w:position w:val="0"/>
                <w:sz w:val="24"/>
                <w:szCs w:val="24"/>
              </w:rPr>
            </w:pPr>
            <w:r>
              <w:rPr>
                <w:rFonts w:hint="default" w:ascii="宋体" w:hAnsi="宋体" w:eastAsia="宋体"/>
                <w:color w:val="auto"/>
                <w:position w:val="0"/>
                <w:sz w:val="24"/>
                <w:szCs w:val="24"/>
              </w:rPr>
              <w:t>0</w:t>
            </w:r>
          </w:p>
        </w:tc>
      </w:tr>
    </w:tbl>
    <w:p>
      <w:pPr>
        <w:numPr>
          <w:ilvl w:val="0"/>
          <w:numId w:val="0"/>
        </w:numPr>
        <w:shd w:val="clear" w:color="000000" w:fill="FFFFFF"/>
        <w:autoSpaceDE/>
        <w:autoSpaceDN/>
        <w:spacing w:before="0" w:after="0" w:line="240" w:lineRule="auto"/>
        <w:ind w:right="0" w:firstLine="0"/>
        <w:jc w:val="center"/>
        <w:rPr>
          <w:rFonts w:hint="default" w:ascii="宋体" w:hAnsi="宋体" w:eastAsia="宋体"/>
          <w:color w:val="333333"/>
          <w:position w:val="0"/>
          <w:sz w:val="21"/>
          <w:szCs w:val="21"/>
        </w:rPr>
      </w:pPr>
    </w:p>
    <w:p>
      <w:pPr>
        <w:keepNext w:val="0"/>
        <w:keepLines w:val="0"/>
        <w:pageBreakBefore w:val="0"/>
        <w:widowControl/>
        <w:numPr>
          <w:ilvl w:val="0"/>
          <w:numId w:val="0"/>
        </w:numPr>
        <w:shd w:val="clear" w:color="000000" w:fill="FFFFFF"/>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default" w:ascii="黑体" w:hAnsi="宋体" w:eastAsia="宋体"/>
          <w:color w:val="333333"/>
          <w:position w:val="0"/>
          <w:sz w:val="32"/>
          <w:szCs w:val="32"/>
        </w:rPr>
      </w:pPr>
      <w:r>
        <w:rPr>
          <w:rFonts w:hint="default" w:ascii="黑体" w:hAnsi="黑体" w:eastAsia="黑体"/>
          <w:color w:val="333333"/>
          <w:position w:val="0"/>
          <w:sz w:val="32"/>
          <w:szCs w:val="32"/>
        </w:rPr>
        <w:t>五、存在的主要问题及改进情况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default" w:ascii="仿宋_GB2312" w:hAnsi="宋体" w:eastAsia="宋体"/>
          <w:color w:val="auto"/>
          <w:position w:val="0"/>
          <w:sz w:val="32"/>
          <w:szCs w:val="32"/>
        </w:rPr>
      </w:pPr>
      <w:r>
        <w:rPr>
          <w:rFonts w:hint="default" w:ascii="仿宋_GB2312" w:hAnsi="仿宋_GB2312" w:eastAsia="仿宋_GB2312"/>
          <w:color w:val="auto"/>
          <w:position w:val="0"/>
          <w:sz w:val="32"/>
          <w:szCs w:val="32"/>
        </w:rPr>
        <w:t>2019年，国家税务总局荆州市税务局政府信息公开工作扎实推进，取得了一定的成效，但也存在主动公开信息的力度不够、部分政府信息公开工作人员业务素质需进一步增强等问题。2020年，我们将在以下几个方面继续推进政府信息公开工作。一是进一步增强公开效果。规范和梳理公开内容，重点公开社会公众普遍关心、涉及人民群众切身利益的有关税收信息，增强公开的及时性、准确性、权威性和有效性。二是进一步加强培训力度。不断提升工作能力和水平，推动政府信息公开工作整体水平的提高。三是进一步做好依申请公开工作。准确把握公开方式内容，提高工作质量和效率。</w:t>
      </w:r>
    </w:p>
    <w:p>
      <w:pPr>
        <w:keepNext w:val="0"/>
        <w:keepLines w:val="0"/>
        <w:pageBreakBefore w:val="0"/>
        <w:widowControl/>
        <w:numPr>
          <w:ilvl w:val="0"/>
          <w:numId w:val="0"/>
        </w:numPr>
        <w:shd w:val="clear" w:color="000000" w:fill="FFFFFF"/>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default" w:ascii="黑体" w:hAnsi="宋体" w:eastAsia="宋体"/>
          <w:b w:val="0"/>
          <w:bCs/>
          <w:color w:val="333333"/>
          <w:position w:val="0"/>
          <w:sz w:val="32"/>
          <w:szCs w:val="32"/>
        </w:rPr>
      </w:pPr>
      <w:r>
        <w:rPr>
          <w:rFonts w:hint="default" w:ascii="黑体" w:hAnsi="黑体" w:eastAsia="黑体"/>
          <w:b w:val="0"/>
          <w:bCs/>
          <w:color w:val="333333"/>
          <w:position w:val="0"/>
          <w:sz w:val="32"/>
          <w:szCs w:val="32"/>
        </w:rPr>
        <w:t>六、其他需要报告的事项</w:t>
      </w:r>
    </w:p>
    <w:p>
      <w:pPr>
        <w:keepNext w:val="0"/>
        <w:keepLines w:val="0"/>
        <w:pageBreakBefore w:val="0"/>
        <w:widowControl/>
        <w:numPr>
          <w:ilvl w:val="0"/>
          <w:numId w:val="0"/>
        </w:numPr>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default" w:ascii="仿宋_GB2312" w:hAnsi="宋体" w:eastAsia="宋体"/>
          <w:color w:val="auto"/>
          <w:position w:val="0"/>
          <w:sz w:val="32"/>
          <w:szCs w:val="32"/>
        </w:rPr>
      </w:pPr>
      <w:r>
        <w:rPr>
          <w:rFonts w:hint="default" w:ascii="仿宋_GB2312" w:hAnsi="仿宋_GB2312" w:eastAsia="仿宋_GB2312"/>
          <w:color w:val="auto"/>
          <w:position w:val="0"/>
          <w:sz w:val="32"/>
          <w:szCs w:val="32"/>
        </w:rPr>
        <w:t>本年度国家税务总局荆州市</w:t>
      </w:r>
      <w:r>
        <w:rPr>
          <w:rFonts w:hint="eastAsia" w:ascii="仿宋_GB2312" w:hAnsi="仿宋_GB2312" w:eastAsia="仿宋_GB2312"/>
          <w:color w:val="auto"/>
          <w:position w:val="0"/>
          <w:sz w:val="32"/>
          <w:szCs w:val="32"/>
          <w:lang w:eastAsia="zh-CN"/>
        </w:rPr>
        <w:t>荆州区</w:t>
      </w:r>
      <w:r>
        <w:rPr>
          <w:rFonts w:hint="default" w:ascii="仿宋_GB2312" w:hAnsi="仿宋_GB2312" w:eastAsia="仿宋_GB2312"/>
          <w:color w:val="auto"/>
          <w:position w:val="0"/>
          <w:sz w:val="32"/>
          <w:szCs w:val="32"/>
        </w:rPr>
        <w:t>税务局无其他需要报告的事项。</w:t>
      </w:r>
    </w:p>
    <w:p>
      <w:pPr>
        <w:numPr>
          <w:ilvl w:val="0"/>
          <w:numId w:val="0"/>
        </w:numPr>
        <w:autoSpaceDE/>
        <w:autoSpaceDN/>
        <w:spacing w:before="0" w:after="0" w:line="560" w:lineRule="exact"/>
        <w:ind w:right="0" w:firstLine="640"/>
        <w:jc w:val="both"/>
        <w:rPr>
          <w:rFonts w:hint="default" w:ascii="仿宋_GB2312" w:hAnsi="宋体" w:eastAsia="宋体"/>
          <w:color w:val="auto"/>
          <w:position w:val="0"/>
          <w:sz w:val="32"/>
          <w:szCs w:val="32"/>
        </w:rPr>
      </w:pPr>
    </w:p>
    <w:p>
      <w:pPr>
        <w:numPr>
          <w:ilvl w:val="0"/>
          <w:numId w:val="0"/>
        </w:numPr>
        <w:autoSpaceDE/>
        <w:autoSpaceDN/>
        <w:spacing w:before="0" w:after="0" w:line="560" w:lineRule="exact"/>
        <w:ind w:right="0" w:firstLine="640"/>
        <w:jc w:val="both"/>
        <w:rPr>
          <w:rFonts w:hint="default" w:ascii="仿宋_GB2312" w:hAnsi="宋体" w:eastAsia="宋体"/>
          <w:color w:val="auto"/>
          <w:position w:val="0"/>
          <w:sz w:val="32"/>
          <w:szCs w:val="32"/>
        </w:rPr>
      </w:pPr>
    </w:p>
    <w:p>
      <w:pPr>
        <w:numPr>
          <w:ilvl w:val="0"/>
          <w:numId w:val="0"/>
        </w:numPr>
        <w:autoSpaceDE/>
        <w:autoSpaceDN/>
        <w:spacing w:before="0" w:after="0" w:line="560" w:lineRule="exact"/>
        <w:ind w:right="0" w:firstLine="640"/>
        <w:jc w:val="center"/>
        <w:rPr>
          <w:rFonts w:hint="eastAsia" w:ascii="仿宋_GB2312" w:hAnsi="宋体" w:eastAsia="仿宋_GB2312"/>
          <w:color w:val="auto"/>
          <w:position w:val="0"/>
          <w:sz w:val="32"/>
          <w:szCs w:val="32"/>
          <w:lang w:val="en-US" w:eastAsia="zh-CN"/>
        </w:rPr>
      </w:pPr>
      <w:r>
        <w:rPr>
          <w:rFonts w:hint="default" w:ascii="仿宋_GB2312" w:hAnsi="仿宋_GB2312" w:eastAsia="仿宋_GB2312"/>
          <w:color w:val="auto"/>
          <w:position w:val="0"/>
          <w:sz w:val="32"/>
          <w:szCs w:val="32"/>
        </w:rPr>
        <w:t xml:space="preserve">                国家税务总局荆州市</w:t>
      </w:r>
      <w:r>
        <w:rPr>
          <w:rFonts w:hint="eastAsia" w:ascii="仿宋_GB2312" w:hAnsi="仿宋_GB2312" w:eastAsia="仿宋_GB2312"/>
          <w:color w:val="auto"/>
          <w:position w:val="0"/>
          <w:sz w:val="32"/>
          <w:szCs w:val="32"/>
          <w:lang w:eastAsia="zh-CN"/>
        </w:rPr>
        <w:t>荆州区</w:t>
      </w:r>
      <w:r>
        <w:rPr>
          <w:rFonts w:hint="default" w:ascii="仿宋_GB2312" w:hAnsi="仿宋_GB2312" w:eastAsia="仿宋_GB2312"/>
          <w:color w:val="auto"/>
          <w:position w:val="0"/>
          <w:sz w:val="32"/>
          <w:szCs w:val="32"/>
        </w:rPr>
        <w:t>税务局</w:t>
      </w:r>
      <w:r>
        <w:rPr>
          <w:rFonts w:hint="eastAsia" w:ascii="仿宋_GB2312" w:hAnsi="仿宋_GB2312" w:eastAsia="仿宋_GB2312"/>
          <w:color w:val="auto"/>
          <w:position w:val="0"/>
          <w:sz w:val="32"/>
          <w:szCs w:val="32"/>
          <w:lang w:val="en-US" w:eastAsia="zh-CN"/>
        </w:rPr>
        <w:t xml:space="preserve"> </w:t>
      </w:r>
      <w:bookmarkStart w:id="0" w:name="_GoBack"/>
      <w:bookmarkEnd w:id="0"/>
    </w:p>
    <w:p>
      <w:pPr>
        <w:numPr>
          <w:ilvl w:val="0"/>
          <w:numId w:val="0"/>
        </w:numPr>
        <w:autoSpaceDE/>
        <w:autoSpaceDN/>
        <w:spacing w:before="0" w:after="0" w:line="560" w:lineRule="exact"/>
        <w:ind w:right="0" w:firstLine="4960"/>
        <w:jc w:val="left"/>
        <w:rPr>
          <w:rFonts w:hint="default" w:ascii="仿宋_GB2312" w:hAnsi="宋体" w:eastAsia="宋体"/>
          <w:color w:val="auto"/>
          <w:position w:val="0"/>
          <w:sz w:val="32"/>
          <w:szCs w:val="32"/>
        </w:rPr>
      </w:pPr>
      <w:r>
        <w:rPr>
          <w:rFonts w:hint="default" w:ascii="仿宋_GB2312" w:hAnsi="仿宋_GB2312" w:eastAsia="仿宋_GB2312"/>
          <w:color w:val="auto"/>
          <w:position w:val="0"/>
          <w:sz w:val="32"/>
          <w:szCs w:val="32"/>
        </w:rPr>
        <w:t xml:space="preserve">2020年1月20日 </w:t>
      </w:r>
    </w:p>
    <w:p>
      <w:pPr>
        <w:numPr>
          <w:ilvl w:val="0"/>
          <w:numId w:val="0"/>
        </w:numPr>
        <w:autoSpaceDE/>
        <w:autoSpaceDN/>
        <w:spacing w:before="0" w:after="0" w:line="240" w:lineRule="auto"/>
        <w:ind w:left="0" w:firstLine="0"/>
        <w:jc w:val="both"/>
        <w:rPr>
          <w:rFonts w:hint="default" w:ascii="Calibri" w:hAnsi="宋体" w:eastAsia="宋体"/>
          <w:color w:val="auto"/>
          <w:position w:val="0"/>
          <w:sz w:val="21"/>
          <w:szCs w:val="21"/>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F0502020204030204"/>
    <w:charset w:val="00"/>
    <w:family w:val="auto"/>
    <w:pitch w:val="default"/>
    <w:sig w:usb0="00000000" w:usb1="00000000" w:usb2="00000000" w:usb3="00000000" w:csb0="FFFFFF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5"/>
  </w:compat>
  <w:rsids>
    <w:rsidRoot w:val="00000000"/>
    <w:rsid w:val="05E77EB6"/>
  </w:rsids>
  <m:mathPr>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3" w:semiHidden="0" w:name="header"/>
    <w:lsdException w:qFormat="1" w:uiPriority="155"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15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宋体" w:cstheme="minorBidi"/>
      <w:w w:val="100"/>
      <w:sz w:val="21"/>
      <w:szCs w:val="21"/>
      <w:shd w:val="clear"/>
    </w:rPr>
  </w:style>
  <w:style w:type="paragraph" w:styleId="2">
    <w:name w:val="heading 1"/>
    <w:next w:val="1"/>
    <w:qFormat/>
    <w:uiPriority w:val="7"/>
    <w:pPr>
      <w:widowControl/>
      <w:wordWrap/>
      <w:autoSpaceDE/>
      <w:autoSpaceDN/>
      <w:jc w:val="both"/>
    </w:pPr>
    <w:rPr>
      <w:rFonts w:ascii="Calibri" w:hAnsi="Calibri" w:eastAsia="宋体" w:cstheme="minorBidi"/>
      <w:w w:val="100"/>
      <w:sz w:val="28"/>
      <w:szCs w:val="28"/>
      <w:shd w:val="clear"/>
    </w:rPr>
  </w:style>
  <w:style w:type="paragraph" w:styleId="3">
    <w:name w:val="heading 2"/>
    <w:next w:val="1"/>
    <w:qFormat/>
    <w:uiPriority w:val="8"/>
    <w:pPr>
      <w:widowControl/>
      <w:wordWrap/>
      <w:autoSpaceDE/>
      <w:autoSpaceDN/>
      <w:jc w:val="both"/>
    </w:pPr>
    <w:rPr>
      <w:rFonts w:ascii="Calibri" w:hAnsi="Calibri" w:eastAsia="宋体"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Calibri" w:hAnsi="Calibri" w:eastAsia="宋体"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Calibri" w:hAnsi="Calibri" w:eastAsia="宋体"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Calibri" w:hAnsi="Calibri" w:eastAsia="宋体"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Calibri" w:hAnsi="Calibri" w:eastAsia="宋体"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Calibri" w:hAnsi="Calibri" w:eastAsia="宋体"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Calibri" w:hAnsi="Calibri" w:eastAsia="宋体"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Calibri" w:hAnsi="Calibri" w:eastAsia="宋体" w:cstheme="minorBidi"/>
      <w:w w:val="100"/>
      <w:sz w:val="21"/>
      <w:szCs w:val="21"/>
      <w:shd w:val="clear"/>
    </w:rPr>
  </w:style>
  <w:style w:type="character" w:default="1" w:styleId="26">
    <w:name w:val="Default Paragraph Font"/>
    <w:unhideWhenUsed/>
    <w:qFormat/>
    <w:uiPriority w:val="2"/>
  </w:style>
  <w:style w:type="table" w:default="1" w:styleId="25">
    <w:name w:val="Normal Table"/>
    <w:qFormat/>
    <w:uiPriority w:val="37"/>
    <w:tblPr>
      <w:tblLayout w:type="fixed"/>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Calibri" w:hAnsi="Calibri" w:eastAsia="宋体"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Calibri" w:hAnsi="Calibri" w:eastAsia="宋体"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Calibri" w:hAnsi="Calibri" w:eastAsia="宋体"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Calibri" w:hAnsi="Calibri" w:eastAsia="宋体" w:cstheme="minorBidi"/>
      <w:w w:val="100"/>
      <w:sz w:val="21"/>
      <w:szCs w:val="21"/>
      <w:shd w:val="clear"/>
    </w:rPr>
  </w:style>
  <w:style w:type="paragraph" w:styleId="15">
    <w:name w:val="footer"/>
    <w:basedOn w:val="1"/>
    <w:link w:val="40"/>
    <w:unhideWhenUsed/>
    <w:qFormat/>
    <w:uiPriority w:val="155"/>
    <w:pPr>
      <w:widowControl/>
      <w:tabs>
        <w:tab w:val="center" w:pos="4153"/>
        <w:tab w:val="right" w:pos="8306"/>
      </w:tabs>
      <w:wordWrap/>
      <w:autoSpaceDE/>
      <w:autoSpaceDN/>
    </w:pPr>
    <w:rPr>
      <w:w w:val="100"/>
      <w:sz w:val="18"/>
      <w:szCs w:val="18"/>
      <w:shd w:val="clear"/>
    </w:rPr>
  </w:style>
  <w:style w:type="paragraph" w:styleId="16">
    <w:name w:val="header"/>
    <w:basedOn w:val="1"/>
    <w:link w:val="39"/>
    <w:unhideWhenUsed/>
    <w:qFormat/>
    <w:uiPriority w:val="153"/>
    <w:pPr>
      <w:widowControl/>
      <w:tabs>
        <w:tab w:val="center" w:pos="4153"/>
        <w:tab w:val="right" w:pos="8306"/>
      </w:tabs>
      <w:wordWrap/>
      <w:autoSpaceDE/>
      <w:autoSpaceDN/>
      <w:jc w:val="center"/>
    </w:pPr>
    <w:rPr>
      <w:w w:val="100"/>
      <w:sz w:val="18"/>
      <w:szCs w:val="18"/>
      <w:shd w:val="clear"/>
    </w:rPr>
  </w:style>
  <w:style w:type="paragraph" w:styleId="17">
    <w:name w:val="toc 1"/>
    <w:next w:val="1"/>
    <w:unhideWhenUsed/>
    <w:qFormat/>
    <w:uiPriority w:val="28"/>
    <w:pPr>
      <w:widowControl/>
      <w:wordWrap/>
      <w:autoSpaceDE/>
      <w:autoSpaceDN/>
      <w:jc w:val="both"/>
    </w:pPr>
    <w:rPr>
      <w:rFonts w:ascii="Calibri" w:hAnsi="Calibri" w:eastAsia="宋体" w:cstheme="minorBidi"/>
      <w:w w:val="100"/>
      <w:sz w:val="21"/>
      <w:szCs w:val="21"/>
      <w:shd w:val="clear"/>
    </w:rPr>
  </w:style>
  <w:style w:type="paragraph" w:styleId="18">
    <w:name w:val="toc 4"/>
    <w:next w:val="1"/>
    <w:unhideWhenUsed/>
    <w:qFormat/>
    <w:uiPriority w:val="31"/>
    <w:pPr>
      <w:widowControl/>
      <w:wordWrap/>
      <w:autoSpaceDE/>
      <w:autoSpaceDN/>
      <w:ind w:left="1275" w:firstLine="0"/>
      <w:jc w:val="both"/>
    </w:pPr>
    <w:rPr>
      <w:rFonts w:ascii="Calibri" w:hAnsi="Calibri" w:eastAsia="宋体" w:cstheme="minorBidi"/>
      <w:w w:val="100"/>
      <w:sz w:val="21"/>
      <w:szCs w:val="21"/>
      <w:shd w:val="clear"/>
    </w:rPr>
  </w:style>
  <w:style w:type="paragraph" w:styleId="19">
    <w:name w:val="Subtitle"/>
    <w:qFormat/>
    <w:uiPriority w:val="16"/>
    <w:pPr>
      <w:widowControl/>
      <w:wordWrap/>
      <w:autoSpaceDE/>
      <w:autoSpaceDN/>
      <w:jc w:val="center"/>
    </w:pPr>
    <w:rPr>
      <w:rFonts w:ascii="Calibri" w:hAnsi="Calibri" w:eastAsia="宋体" w:cstheme="minorBidi"/>
      <w:w w:val="100"/>
      <w:sz w:val="24"/>
      <w:szCs w:val="24"/>
      <w:shd w:val="clear"/>
    </w:rPr>
  </w:style>
  <w:style w:type="paragraph" w:styleId="20">
    <w:name w:val="toc 6"/>
    <w:next w:val="1"/>
    <w:unhideWhenUsed/>
    <w:qFormat/>
    <w:uiPriority w:val="33"/>
    <w:pPr>
      <w:widowControl/>
      <w:wordWrap/>
      <w:autoSpaceDE/>
      <w:autoSpaceDN/>
      <w:ind w:left="2125" w:firstLine="0"/>
      <w:jc w:val="both"/>
    </w:pPr>
    <w:rPr>
      <w:rFonts w:ascii="Calibri" w:hAnsi="Calibri" w:eastAsia="宋体" w:cstheme="minorBidi"/>
      <w:w w:val="100"/>
      <w:sz w:val="21"/>
      <w:szCs w:val="21"/>
      <w:shd w:val="clear"/>
    </w:rPr>
  </w:style>
  <w:style w:type="paragraph" w:styleId="21">
    <w:name w:val="toc 2"/>
    <w:next w:val="1"/>
    <w:unhideWhenUsed/>
    <w:qFormat/>
    <w:uiPriority w:val="29"/>
    <w:pPr>
      <w:widowControl/>
      <w:wordWrap/>
      <w:autoSpaceDE/>
      <w:autoSpaceDN/>
      <w:ind w:left="425" w:firstLine="0"/>
      <w:jc w:val="both"/>
    </w:pPr>
    <w:rPr>
      <w:rFonts w:ascii="Calibri" w:hAnsi="Calibri" w:eastAsia="宋体" w:cstheme="minorBidi"/>
      <w:w w:val="100"/>
      <w:sz w:val="21"/>
      <w:szCs w:val="21"/>
      <w:shd w:val="clear"/>
    </w:rPr>
  </w:style>
  <w:style w:type="paragraph" w:styleId="22">
    <w:name w:val="toc 9"/>
    <w:next w:val="1"/>
    <w:unhideWhenUsed/>
    <w:qFormat/>
    <w:uiPriority w:val="36"/>
    <w:pPr>
      <w:widowControl/>
      <w:wordWrap/>
      <w:autoSpaceDE/>
      <w:autoSpaceDN/>
      <w:ind w:left="3400" w:firstLine="0"/>
      <w:jc w:val="both"/>
    </w:pPr>
    <w:rPr>
      <w:rFonts w:ascii="Calibri" w:hAnsi="Calibri" w:eastAsia="宋体" w:cstheme="minorBidi"/>
      <w:w w:val="100"/>
      <w:sz w:val="21"/>
      <w:szCs w:val="21"/>
      <w:shd w:val="clear"/>
    </w:rPr>
  </w:style>
  <w:style w:type="paragraph" w:styleId="23">
    <w:name w:val="Normal (Web)"/>
    <w:basedOn w:val="1"/>
    <w:unhideWhenUsed/>
    <w:qFormat/>
    <w:uiPriority w:val="152"/>
    <w:pPr>
      <w:widowControl/>
      <w:wordWrap/>
      <w:autoSpaceDE/>
      <w:autoSpaceDN/>
    </w:pPr>
    <w:rPr>
      <w:rFonts w:ascii="宋体" w:hAnsi="宋体" w:eastAsia="宋体"/>
      <w:w w:val="100"/>
      <w:sz w:val="24"/>
      <w:szCs w:val="24"/>
      <w:shd w:val="clear"/>
    </w:rPr>
  </w:style>
  <w:style w:type="paragraph" w:styleId="24">
    <w:name w:val="Title"/>
    <w:qFormat/>
    <w:uiPriority w:val="6"/>
    <w:pPr>
      <w:widowControl/>
      <w:wordWrap/>
      <w:autoSpaceDE/>
      <w:autoSpaceDN/>
      <w:jc w:val="center"/>
    </w:pPr>
    <w:rPr>
      <w:rFonts w:ascii="Calibri" w:hAnsi="Calibri" w:eastAsia="宋体" w:cstheme="minorBidi"/>
      <w:b/>
      <w:w w:val="100"/>
      <w:sz w:val="32"/>
      <w:szCs w:val="32"/>
      <w:shd w:val="clear"/>
    </w:rPr>
  </w:style>
  <w:style w:type="character" w:styleId="27">
    <w:name w:val="Strong"/>
    <w:qFormat/>
    <w:uiPriority w:val="20"/>
    <w:rPr>
      <w:b/>
      <w:w w:val="100"/>
      <w:sz w:val="21"/>
      <w:szCs w:val="21"/>
      <w:shd w:val="clear"/>
    </w:rPr>
  </w:style>
  <w:style w:type="character" w:styleId="28">
    <w:name w:val="Emphasis"/>
    <w:qFormat/>
    <w:uiPriority w:val="18"/>
    <w:rPr>
      <w:i/>
      <w:w w:val="100"/>
      <w:sz w:val="21"/>
      <w:szCs w:val="21"/>
      <w:shd w:val="clear"/>
    </w:rPr>
  </w:style>
  <w:style w:type="paragraph" w:customStyle="1" w:styleId="29">
    <w:name w:val="No Spacing"/>
    <w:qFormat/>
    <w:uiPriority w:val="5"/>
    <w:pPr>
      <w:widowControl/>
      <w:wordWrap/>
      <w:autoSpaceDE/>
      <w:autoSpaceDN/>
      <w:jc w:val="both"/>
    </w:pPr>
    <w:rPr>
      <w:rFonts w:ascii="Calibri" w:hAnsi="Calibri" w:eastAsia="宋体" w:cstheme="minorBidi"/>
      <w:w w:val="100"/>
      <w:sz w:val="21"/>
      <w:szCs w:val="21"/>
      <w:shd w:val="clear"/>
    </w:rPr>
  </w:style>
  <w:style w:type="character" w:customStyle="1" w:styleId="30">
    <w:name w:val="Subtle Emphasis"/>
    <w:qFormat/>
    <w:uiPriority w:val="17"/>
    <w:rPr>
      <w:i/>
      <w:color w:val="404040"/>
      <w:w w:val="100"/>
      <w:sz w:val="21"/>
      <w:szCs w:val="21"/>
      <w:shd w:val="clear"/>
    </w:rPr>
  </w:style>
  <w:style w:type="character" w:customStyle="1" w:styleId="31">
    <w:name w:val="Intense Emphasis"/>
    <w:qFormat/>
    <w:uiPriority w:val="19"/>
    <w:rPr>
      <w:i/>
      <w:color w:val="5B9BD5"/>
      <w:w w:val="100"/>
      <w:sz w:val="21"/>
      <w:szCs w:val="21"/>
      <w:shd w:val="clear"/>
    </w:rPr>
  </w:style>
  <w:style w:type="paragraph" w:customStyle="1" w:styleId="32">
    <w:name w:val="Quote"/>
    <w:qFormat/>
    <w:uiPriority w:val="21"/>
    <w:pPr>
      <w:widowControl/>
      <w:wordWrap/>
      <w:autoSpaceDE/>
      <w:autoSpaceDN/>
      <w:ind w:left="864" w:right="864" w:firstLine="0"/>
      <w:jc w:val="center"/>
    </w:pPr>
    <w:rPr>
      <w:rFonts w:ascii="Calibri" w:hAnsi="Calibri" w:eastAsia="宋体" w:cstheme="minorBidi"/>
      <w:i/>
      <w:color w:val="404040"/>
      <w:w w:val="100"/>
      <w:sz w:val="21"/>
      <w:szCs w:val="21"/>
      <w:shd w:val="clear"/>
    </w:rPr>
  </w:style>
  <w:style w:type="paragraph" w:customStyle="1" w:styleId="33">
    <w:name w:val="Intense Quote"/>
    <w:qFormat/>
    <w:uiPriority w:val="22"/>
    <w:pPr>
      <w:widowControl/>
      <w:wordWrap/>
      <w:autoSpaceDE/>
      <w:autoSpaceDN/>
      <w:ind w:left="950" w:right="950" w:firstLine="0"/>
      <w:jc w:val="center"/>
    </w:pPr>
    <w:rPr>
      <w:rFonts w:ascii="Calibri" w:hAnsi="Calibri" w:eastAsia="宋体" w:cstheme="minorBidi"/>
      <w:i/>
      <w:color w:val="5B9BD5"/>
      <w:w w:val="100"/>
      <w:sz w:val="21"/>
      <w:szCs w:val="21"/>
      <w:shd w:val="clear"/>
    </w:rPr>
  </w:style>
  <w:style w:type="character" w:customStyle="1" w:styleId="34">
    <w:name w:val="Subtle Reference"/>
    <w:qFormat/>
    <w:uiPriority w:val="23"/>
    <w:rPr>
      <w:smallCaps/>
      <w:color w:val="5A5A5A"/>
      <w:w w:val="100"/>
      <w:sz w:val="21"/>
      <w:szCs w:val="21"/>
      <w:shd w:val="clear"/>
    </w:rPr>
  </w:style>
  <w:style w:type="character" w:customStyle="1" w:styleId="35">
    <w:name w:val="Intense Reference"/>
    <w:qFormat/>
    <w:uiPriority w:val="24"/>
    <w:rPr>
      <w:b/>
      <w:smallCaps/>
      <w:color w:val="5B9BD5"/>
      <w:w w:val="100"/>
      <w:sz w:val="21"/>
      <w:szCs w:val="21"/>
      <w:shd w:val="clear"/>
    </w:rPr>
  </w:style>
  <w:style w:type="character" w:customStyle="1" w:styleId="36">
    <w:name w:val="Book Title"/>
    <w:qFormat/>
    <w:uiPriority w:val="25"/>
    <w:rPr>
      <w:b/>
      <w:i/>
      <w:w w:val="100"/>
      <w:sz w:val="21"/>
      <w:szCs w:val="21"/>
      <w:shd w:val="clear"/>
    </w:rPr>
  </w:style>
  <w:style w:type="paragraph" w:customStyle="1" w:styleId="37">
    <w:name w:val="List Paragraph"/>
    <w:qFormat/>
    <w:uiPriority w:val="26"/>
    <w:pPr>
      <w:widowControl/>
      <w:wordWrap/>
      <w:autoSpaceDE/>
      <w:autoSpaceDN/>
      <w:ind w:left="850" w:firstLine="0"/>
      <w:jc w:val="both"/>
    </w:pPr>
    <w:rPr>
      <w:rFonts w:ascii="Calibri" w:hAnsi="Calibri" w:eastAsia="宋体" w:cstheme="minorBidi"/>
      <w:w w:val="100"/>
      <w:sz w:val="21"/>
      <w:szCs w:val="21"/>
      <w:shd w:val="clear"/>
    </w:rPr>
  </w:style>
  <w:style w:type="paragraph" w:customStyle="1" w:styleId="38">
    <w:name w:val="TOC Heading"/>
    <w:unhideWhenUsed/>
    <w:qFormat/>
    <w:uiPriority w:val="27"/>
    <w:pPr>
      <w:widowControl/>
      <w:wordWrap/>
      <w:autoSpaceDE/>
      <w:autoSpaceDN/>
    </w:pPr>
    <w:rPr>
      <w:rFonts w:ascii="Calibri" w:hAnsi="Calibri" w:eastAsia="宋体" w:cstheme="minorBidi"/>
      <w:color w:val="2E74B5"/>
      <w:w w:val="100"/>
      <w:sz w:val="32"/>
      <w:szCs w:val="32"/>
      <w:shd w:val="clear"/>
    </w:rPr>
  </w:style>
  <w:style w:type="character" w:customStyle="1" w:styleId="39">
    <w:name w:val="页眉 Char"/>
    <w:basedOn w:val="26"/>
    <w:link w:val="16"/>
    <w:semiHidden/>
    <w:qFormat/>
    <w:uiPriority w:val="154"/>
    <w:rPr>
      <w:w w:val="100"/>
      <w:sz w:val="18"/>
      <w:szCs w:val="18"/>
      <w:shd w:val="clear"/>
    </w:rPr>
  </w:style>
  <w:style w:type="character" w:customStyle="1" w:styleId="40">
    <w:name w:val="页脚 Char"/>
    <w:basedOn w:val="26"/>
    <w:link w:val="15"/>
    <w:semiHidden/>
    <w:qFormat/>
    <w:uiPriority w:val="156"/>
    <w:rPr>
      <w:w w:val="100"/>
      <w:sz w:val="18"/>
      <w:szCs w:val="18"/>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6</Pages>
  <Words>404</Words>
  <Characters>2702</Characters>
  <Lines>19</Lines>
  <Paragraphs>5</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2020-01-21T19:20:00Z</dcterms:created>
  <dc:creator>Administrator</dc:creator>
  <cp:lastModifiedBy>1</cp:lastModifiedBy>
  <dcterms:modified xsi:type="dcterms:W3CDTF">2020-03-06T01:15:31Z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