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b/>
          <w:bCs/>
          <w:color w:val="000000"/>
          <w:kern w:val="0"/>
          <w:sz w:val="36"/>
          <w:szCs w:val="36"/>
          <w:lang w:val="en-US" w:eastAsia="zh-CN"/>
        </w:rPr>
      </w:pPr>
      <w:r>
        <w:rPr>
          <w:rFonts w:hint="eastAsia" w:ascii="方正小标宋简体" w:hAnsi="方正小标宋简体" w:eastAsia="方正小标宋简体" w:cs="方正小标宋简体"/>
          <w:b/>
          <w:bCs/>
          <w:color w:val="000000"/>
          <w:kern w:val="0"/>
          <w:sz w:val="36"/>
          <w:szCs w:val="36"/>
          <w:lang w:val="en-US" w:eastAsia="zh-CN"/>
        </w:rPr>
        <w:t>中共国家税务总局武汉市新洲区税务局委员会</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b/>
          <w:bCs/>
          <w:color w:val="000000"/>
          <w:kern w:val="0"/>
          <w:sz w:val="36"/>
          <w:szCs w:val="36"/>
        </w:rPr>
      </w:pPr>
      <w:r>
        <w:rPr>
          <w:rFonts w:hint="eastAsia" w:ascii="方正小标宋简体" w:hAnsi="方正小标宋简体" w:eastAsia="方正小标宋简体" w:cs="方正小标宋简体"/>
          <w:b/>
          <w:bCs/>
          <w:color w:val="000000"/>
          <w:kern w:val="0"/>
          <w:sz w:val="36"/>
          <w:szCs w:val="36"/>
          <w:lang w:val="en-US" w:eastAsia="zh-CN"/>
        </w:rPr>
        <w:t>关于2025年度法治政府建设情况的报告</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textAlignment w:val="auto"/>
        <w:rPr>
          <w:rFonts w:hint="eastAsia" w:ascii="仿宋" w:hAnsi="仿宋" w:eastAsia="仿宋" w:cs="仿宋"/>
          <w:b/>
          <w:bCs/>
          <w:sz w:val="32"/>
          <w:szCs w:val="32"/>
          <w:lang w:val="en-US" w:eastAsia="zh-CN"/>
        </w:rPr>
      </w:pP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eastAsia" w:ascii="Times New Roman" w:hAnsi="Times New Roman" w:eastAsia="仿宋" w:cs="仿宋"/>
          <w:sz w:val="32"/>
          <w:szCs w:val="32"/>
          <w:lang w:val="en-US" w:eastAsia="zh-Hans"/>
        </w:rPr>
      </w:pPr>
      <w:r>
        <w:rPr>
          <w:rFonts w:hint="eastAsia" w:ascii="Times New Roman" w:hAnsi="Times New Roman" w:eastAsia="仿宋" w:cs="仿宋"/>
          <w:sz w:val="32"/>
          <w:szCs w:val="32"/>
          <w:lang w:val="en-US" w:eastAsia="zh-CN"/>
        </w:rPr>
        <w:t>2025年，</w:t>
      </w:r>
      <w:r>
        <w:rPr>
          <w:rFonts w:hint="eastAsia" w:ascii="Times New Roman" w:hAnsi="Times New Roman" w:eastAsia="仿宋_GB2312" w:cs="仿宋_GB2312"/>
          <w:b w:val="0"/>
          <w:bCs w:val="0"/>
          <w:color w:val="auto"/>
          <w:spacing w:val="-6"/>
          <w:sz w:val="32"/>
          <w:szCs w:val="32"/>
          <w:lang w:val="en-US" w:eastAsia="zh-CN"/>
        </w:rPr>
        <w:t>新洲区税务局在市局党委和区委区政府</w:t>
      </w:r>
      <w:r>
        <w:rPr>
          <w:rFonts w:hint="eastAsia" w:ascii="Times New Roman" w:hAnsi="Times New Roman" w:eastAsia="仿宋_GB2312" w:cs="仿宋_GB2312"/>
          <w:kern w:val="2"/>
          <w:sz w:val="32"/>
          <w:szCs w:val="32"/>
        </w:rPr>
        <w:t>的坚强领导下，深入贯彻落实党的二十大和二十届</w:t>
      </w:r>
      <w:r>
        <w:rPr>
          <w:rFonts w:hint="eastAsia" w:ascii="Times New Roman" w:hAnsi="Times New Roman" w:eastAsia="仿宋_GB2312" w:cs="仿宋_GB2312"/>
          <w:kern w:val="2"/>
          <w:sz w:val="32"/>
          <w:szCs w:val="32"/>
          <w:lang w:val="en-US" w:eastAsia="zh-CN"/>
        </w:rPr>
        <w:t>历次</w:t>
      </w:r>
      <w:r>
        <w:rPr>
          <w:rFonts w:hint="eastAsia" w:ascii="Times New Roman" w:hAnsi="Times New Roman" w:eastAsia="仿宋_GB2312" w:cs="仿宋_GB2312"/>
          <w:kern w:val="2"/>
          <w:sz w:val="32"/>
          <w:szCs w:val="32"/>
        </w:rPr>
        <w:t>全会精神，紧紧围绕税收现代化目标，以法治税务建设为主线，扎实推进</w:t>
      </w:r>
      <w:r>
        <w:rPr>
          <w:rFonts w:hint="eastAsia" w:ascii="Times New Roman" w:hAnsi="Times New Roman" w:eastAsia="仿宋_GB2312" w:cs="仿宋_GB2312"/>
          <w:kern w:val="2"/>
          <w:sz w:val="32"/>
          <w:szCs w:val="32"/>
          <w:lang w:eastAsia="zh-CN"/>
        </w:rPr>
        <w:t>法治建设各项</w:t>
      </w:r>
      <w:r>
        <w:rPr>
          <w:rFonts w:hint="eastAsia" w:ascii="Times New Roman" w:hAnsi="Times New Roman" w:eastAsia="仿宋_GB2312" w:cs="仿宋_GB2312"/>
          <w:kern w:val="2"/>
          <w:sz w:val="32"/>
          <w:szCs w:val="32"/>
        </w:rPr>
        <w:t>工作，为区域税收治理提供了坚实的法治保障</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lang w:val="en-US" w:eastAsia="zh-Hans"/>
        </w:rPr>
        <w:t>现将新洲区税务局</w:t>
      </w:r>
      <w:r>
        <w:rPr>
          <w:rFonts w:hint="eastAsia" w:ascii="Times New Roman" w:hAnsi="Times New Roman" w:eastAsia="仿宋" w:cs="仿宋"/>
          <w:sz w:val="32"/>
          <w:szCs w:val="32"/>
          <w:lang w:val="en-US" w:eastAsia="zh-CN"/>
        </w:rPr>
        <w:t>2025年度</w:t>
      </w:r>
      <w:r>
        <w:rPr>
          <w:rFonts w:hint="eastAsia" w:ascii="Times New Roman" w:hAnsi="Times New Roman" w:eastAsia="仿宋" w:cs="仿宋"/>
          <w:sz w:val="32"/>
          <w:szCs w:val="32"/>
          <w:lang w:val="en-US" w:eastAsia="zh-Hans"/>
        </w:rPr>
        <w:t>法治政府建设情况</w:t>
      </w:r>
      <w:r>
        <w:rPr>
          <w:rFonts w:hint="eastAsia" w:ascii="Times New Roman" w:hAnsi="Times New Roman" w:eastAsia="仿宋" w:cs="仿宋"/>
          <w:sz w:val="32"/>
          <w:szCs w:val="32"/>
          <w:lang w:val="en-US" w:eastAsia="zh-CN"/>
        </w:rPr>
        <w:t>报告</w:t>
      </w:r>
      <w:r>
        <w:rPr>
          <w:rFonts w:hint="eastAsia" w:ascii="Times New Roman" w:hAnsi="Times New Roman" w:eastAsia="仿宋" w:cs="仿宋"/>
          <w:sz w:val="32"/>
          <w:szCs w:val="32"/>
          <w:lang w:val="en-US" w:eastAsia="zh-Hans"/>
        </w:rPr>
        <w:t>如下：</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eastAsia" w:ascii="Times New Roman" w:hAnsi="Times New Roman" w:eastAsia="黑体" w:cs="黑体"/>
          <w:b w:val="0"/>
          <w:bCs w:val="0"/>
          <w:color w:val="auto"/>
          <w:kern w:val="0"/>
          <w:sz w:val="32"/>
          <w:szCs w:val="32"/>
          <w:lang w:val="en-US" w:eastAsia="zh-CN"/>
        </w:rPr>
      </w:pPr>
      <w:r>
        <w:rPr>
          <w:rFonts w:hint="eastAsia" w:ascii="Times New Roman" w:hAnsi="Times New Roman" w:eastAsia="黑体" w:cs="黑体"/>
          <w:b w:val="0"/>
          <w:bCs w:val="0"/>
          <w:color w:val="auto"/>
          <w:kern w:val="0"/>
          <w:sz w:val="32"/>
          <w:szCs w:val="32"/>
          <w:lang w:val="en-US" w:eastAsia="zh-CN"/>
        </w:rPr>
        <w:t>一、2025年度法治政府建设推进情况</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楷体" w:cs="楷体"/>
          <w:b/>
          <w:bCs/>
          <w:sz w:val="32"/>
          <w:szCs w:val="32"/>
          <w:lang w:val="en-US" w:eastAsia="zh-CN"/>
        </w:rPr>
      </w:pPr>
      <w:r>
        <w:rPr>
          <w:rFonts w:hint="eastAsia" w:ascii="Times New Roman" w:hAnsi="Times New Roman" w:eastAsia="楷体" w:cs="楷体"/>
          <w:b/>
          <w:bCs/>
          <w:sz w:val="32"/>
          <w:szCs w:val="32"/>
          <w:lang w:val="en-US" w:eastAsia="zh-CN"/>
        </w:rPr>
        <w:t>（一）党政主要负责人履行推进法治建设第一责任人职责，加强法治政府建设的有关情况</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b/>
          <w:bCs/>
          <w:sz w:val="32"/>
          <w:szCs w:val="32"/>
          <w:lang w:val="en-US" w:eastAsia="zh-CN"/>
        </w:rPr>
        <w:t>1.深入学习贯彻习近平法治思想和习近平总书记关于法治建设的重要指示精神。</w:t>
      </w:r>
      <w:r>
        <w:rPr>
          <w:rFonts w:hint="eastAsia" w:ascii="Times New Roman" w:hAnsi="Times New Roman" w:eastAsia="仿宋" w:cs="仿宋"/>
          <w:sz w:val="32"/>
          <w:szCs w:val="32"/>
          <w:highlight w:val="none"/>
          <w:lang w:val="en-US" w:eastAsia="zh-CN"/>
        </w:rPr>
        <w:t>将全面贯彻落实习近平法治思想作为一项重要的政治任务来抓，牢牢抓住领导干部这个“关键少数”，推进领导干部带头遵法学法守法用法。</w:t>
      </w:r>
      <w:r>
        <w:rPr>
          <w:rFonts w:hint="eastAsia" w:ascii="Times New Roman" w:hAnsi="Times New Roman" w:eastAsia="仿宋" w:cs="仿宋"/>
          <w:sz w:val="32"/>
          <w:szCs w:val="32"/>
          <w:lang w:val="en-US" w:eastAsia="zh-CN"/>
        </w:rPr>
        <w:t>认真落实“第一议题”“第一</w:t>
      </w:r>
      <w:r>
        <w:rPr>
          <w:rFonts w:hint="eastAsia" w:ascii="Times New Roman" w:hAnsi="Times New Roman" w:eastAsia="仿宋" w:cs="仿宋"/>
          <w:sz w:val="32"/>
          <w:szCs w:val="32"/>
          <w:highlight w:val="none"/>
          <w:lang w:val="en-US" w:eastAsia="zh-CN"/>
        </w:rPr>
        <w:t>主题”“第一任务”“第一要事”的“四个第一”制度要求，2025年累计开展党委“第一议题”学习和党委理论学习中心组学习45次。组织全体干部深入学习党的二十届四中全会精神和习近平法治思想，让法治精神深入人心，切实增强贯彻落实中央法治建设重大决策部署的思想自觉和行动自觉。</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仿宋_GB2312" w:cs="仿宋"/>
          <w:sz w:val="32"/>
          <w:szCs w:val="32"/>
          <w:lang w:val="en-US" w:eastAsia="zh-CN"/>
        </w:rPr>
      </w:pPr>
      <w:r>
        <w:rPr>
          <w:rFonts w:hint="eastAsia" w:ascii="Times New Roman" w:hAnsi="Times New Roman" w:eastAsia="仿宋" w:cs="仿宋"/>
          <w:b/>
          <w:bCs/>
          <w:sz w:val="32"/>
          <w:szCs w:val="32"/>
          <w:lang w:val="en-US" w:eastAsia="zh-CN"/>
        </w:rPr>
        <w:t>2.贯彻落实党中央关于全面依法治国的重大决策部署和有关党内法规。</w:t>
      </w:r>
      <w:r>
        <w:rPr>
          <w:rFonts w:hint="eastAsia" w:ascii="Times New Roman" w:hAnsi="Times New Roman" w:eastAsia="仿宋" w:cs="仿宋"/>
          <w:sz w:val="32"/>
          <w:szCs w:val="32"/>
          <w:lang w:val="en-US" w:eastAsia="zh-CN"/>
        </w:rPr>
        <w:t>组织召开依法行政工作领导小组专题会议，完善依法行政各项制度建设。强化制度落实，以合法做事为原则，充分发挥依法行政领导小组作用。积极开展依法行政领导小组会前学法、中心组学法、局务会会前学法，共开展会前学法12次，认真开展“每月学法”活动，将最新法律法规和税收规范性文件作为重点学习内容，带动全局干部学法。开展</w:t>
      </w:r>
      <w:r>
        <w:rPr>
          <w:rFonts w:hint="eastAsia" w:ascii="Times New Roman" w:hAnsi="Times New Roman" w:eastAsia="仿宋_GB2312" w:cs="仿宋_GB2312"/>
          <w:b w:val="0"/>
          <w:bCs w:val="0"/>
          <w:color w:val="auto"/>
          <w:spacing w:val="-6"/>
          <w:sz w:val="32"/>
          <w:szCs w:val="32"/>
          <w:lang w:val="en-US" w:eastAsia="zh-CN"/>
        </w:rPr>
        <w:t>主要负责人讲授法治课活动，区局党委书记、局长陈军讲授专题法治课，为依法治税和税收现代化凝聚共识、明确路径。</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b/>
          <w:bCs/>
          <w:sz w:val="32"/>
          <w:szCs w:val="32"/>
          <w:lang w:val="en-US" w:eastAsia="zh-CN"/>
        </w:rPr>
        <w:t>3.对法治建设重要工作亲自部署、重大问题亲自过问、重点环节亲自协调、重要任务亲自督办</w:t>
      </w:r>
      <w:r>
        <w:rPr>
          <w:rFonts w:hint="eastAsia" w:ascii="Times New Roman" w:hAnsi="Times New Roman" w:eastAsia="仿宋" w:cs="仿宋"/>
          <w:sz w:val="32"/>
          <w:szCs w:val="32"/>
          <w:lang w:val="en-US" w:eastAsia="zh-CN"/>
        </w:rPr>
        <w:t>。区局党委会、局务会、局长办公会等始终坚持民主集中制原则，把依法科学民主决策当做“带好队、收好税”的头等大事来抓，对“三重一大”决策事项，充分征求听取班子成员的意见，不断规范行政议事程序，规范和监督行政决策行为。对税收法治建设重要工作亲自部署、重大问题亲自过问、重点环节亲自协调、重要任务亲自督办，把区局各项工作纳入法治化轨道，将普法工作与业务工作同部署、同检查、同落实。</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b/>
          <w:bCs/>
          <w:sz w:val="32"/>
          <w:szCs w:val="32"/>
          <w:lang w:val="en-US" w:eastAsia="zh-CN"/>
        </w:rPr>
        <w:t>4.党政主要负责人履行《推进法治建设第一责任人职责规定》明确的党政主要负责人职责。</w:t>
      </w:r>
      <w:r>
        <w:rPr>
          <w:rFonts w:hint="eastAsia" w:ascii="Times New Roman" w:hAnsi="Times New Roman" w:eastAsia="仿宋" w:cs="仿宋"/>
          <w:sz w:val="32"/>
          <w:szCs w:val="32"/>
          <w:lang w:val="en-US" w:eastAsia="zh-CN"/>
        </w:rPr>
        <w:t>把法治素养和依法履职情况纳入党委领导班子和领导干部考核评价的重要内容，将履行推进法治建设第一责任人职责情况列入领导班子和个人年度述职报告，作为报告的重要组成部分。充分发挥党委在推进区局法治建设中的领导核心作用，定期听取法治工作汇报，及时研究解决有关重大问题，研究确定年度税收法治建设工作目标、主要任务和具体举措，将法治建设纳入年度工作计划，完成年度法治绩效考核目标任务。</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楷体" w:cs="楷体"/>
          <w:b/>
          <w:bCs/>
          <w:sz w:val="32"/>
          <w:szCs w:val="32"/>
          <w:lang w:val="en-US" w:eastAsia="zh-CN"/>
        </w:rPr>
      </w:pPr>
      <w:r>
        <w:rPr>
          <w:rFonts w:hint="eastAsia" w:ascii="Times New Roman" w:hAnsi="Times New Roman" w:eastAsia="楷体" w:cs="楷体"/>
          <w:b/>
          <w:bCs/>
          <w:sz w:val="32"/>
          <w:szCs w:val="32"/>
          <w:lang w:val="en-US" w:eastAsia="zh-CN"/>
        </w:rPr>
        <w:t>（二）推进法治政府建设的主要举措和成效</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仿宋" w:cs="仿宋"/>
          <w:sz w:val="32"/>
          <w:szCs w:val="32"/>
          <w:highlight w:val="yellow"/>
        </w:rPr>
      </w:pPr>
      <w:r>
        <w:rPr>
          <w:rFonts w:hint="eastAsia" w:ascii="Times New Roman" w:hAnsi="Times New Roman" w:eastAsia="仿宋" w:cs="仿宋"/>
          <w:b/>
          <w:bCs/>
          <w:sz w:val="32"/>
          <w:szCs w:val="32"/>
          <w:lang w:val="en-US" w:eastAsia="zh-CN"/>
        </w:rPr>
        <w:t>1</w:t>
      </w:r>
      <w:r>
        <w:rPr>
          <w:rFonts w:hint="eastAsia" w:ascii="Times New Roman" w:hAnsi="Times New Roman" w:eastAsia="仿宋" w:cs="仿宋"/>
          <w:b/>
          <w:bCs/>
          <w:sz w:val="32"/>
          <w:szCs w:val="32"/>
          <w:highlight w:val="none"/>
          <w:lang w:val="en-US" w:eastAsia="zh-CN"/>
        </w:rPr>
        <w:t>.扛牢扛稳组织收入工作。</w:t>
      </w:r>
      <w:r>
        <w:rPr>
          <w:rFonts w:hint="eastAsia" w:ascii="Times New Roman" w:hAnsi="Times New Roman" w:eastAsia="仿宋_GB2312" w:cs="仿宋_GB2312"/>
          <w:color w:val="auto"/>
          <w:sz w:val="32"/>
          <w:szCs w:val="32"/>
          <w:lang w:val="en-US" w:eastAsia="zh-CN"/>
        </w:rPr>
        <w:t>依法依规征税收费，巩固存量税源，开拓增量税源，向政策执行要收入、向税收管理要收入、向风险防控要收入、向欠税清理要收入。</w:t>
      </w:r>
      <w:r>
        <w:rPr>
          <w:rFonts w:hint="eastAsia" w:ascii="Times New Roman" w:hAnsi="Times New Roman" w:eastAsia="仿宋_GB2312"/>
          <w:sz w:val="32"/>
          <w:szCs w:val="32"/>
          <w:highlight w:val="none"/>
          <w:lang w:eastAsia="zh-CN"/>
        </w:rPr>
        <w:t>科学制定清欠计划，</w:t>
      </w:r>
      <w:r>
        <w:rPr>
          <w:rFonts w:hint="eastAsia" w:ascii="Times New Roman" w:hAnsi="Times New Roman" w:eastAsia="仿宋_GB2312" w:cs="仿宋_GB2312"/>
          <w:color w:val="000000"/>
          <w:kern w:val="0"/>
          <w:sz w:val="32"/>
          <w:szCs w:val="32"/>
          <w:highlight w:val="none"/>
          <w:lang w:val="en-US" w:eastAsia="zh-CN" w:bidi="ar"/>
        </w:rPr>
        <w:t>规范欠税催缴、欠税公告、税收保全、税收强制程序，</w:t>
      </w:r>
      <w:r>
        <w:rPr>
          <w:rFonts w:hint="eastAsia" w:ascii="Times New Roman" w:hAnsi="Times New Roman" w:eastAsia="仿宋_GB2312"/>
          <w:sz w:val="32"/>
          <w:szCs w:val="32"/>
          <w:highlight w:val="none"/>
          <w:lang w:eastAsia="zh-CN"/>
        </w:rPr>
        <w:t>实行一事一议、一户一策、一户一档</w:t>
      </w:r>
      <w:r>
        <w:rPr>
          <w:rFonts w:hint="eastAsia" w:ascii="Times New Roman" w:hAnsi="Times New Roman" w:eastAsia="仿宋" w:cs="仿宋"/>
          <w:sz w:val="32"/>
          <w:szCs w:val="32"/>
          <w:highlight w:val="none"/>
        </w:rPr>
        <w:t>。</w:t>
      </w:r>
      <w:r>
        <w:rPr>
          <w:rFonts w:hint="eastAsia" w:ascii="Times New Roman" w:hAnsi="Times New Roman" w:eastAsia="仿宋_GB2312" w:cs="仿宋_GB2312"/>
          <w:color w:val="000000"/>
          <w:kern w:val="0"/>
          <w:sz w:val="32"/>
          <w:szCs w:val="32"/>
          <w:highlight w:val="none"/>
          <w:lang w:val="en-US" w:eastAsia="zh-CN" w:bidi="ar"/>
        </w:rPr>
        <w:t>持</w:t>
      </w:r>
      <w:r>
        <w:rPr>
          <w:rFonts w:hint="eastAsia" w:ascii="Times New Roman" w:hAnsi="Times New Roman" w:eastAsia="仿宋_GB2312" w:cs="仿宋_GB2312"/>
          <w:color w:val="000000"/>
          <w:kern w:val="0"/>
          <w:sz w:val="32"/>
          <w:szCs w:val="32"/>
          <w:lang w:val="en-US" w:eastAsia="zh-CN" w:bidi="ar"/>
        </w:rPr>
        <w:t>续加强建筑业“核转查”后企业所得税税负率异常偏低后续核查，加强对“双高”人群个人所得税监管与服务，开展涉农行业税收清理，应对加油站行业虚开成品油发票，</w:t>
      </w:r>
      <w:r>
        <w:rPr>
          <w:rFonts w:hint="eastAsia" w:ascii="Times New Roman" w:hAnsi="Times New Roman" w:eastAsia="仿宋_GB2312" w:cs="仿宋_GB2312"/>
          <w:b w:val="0"/>
          <w:bCs w:val="0"/>
          <w:color w:val="auto"/>
          <w:sz w:val="32"/>
          <w:szCs w:val="32"/>
          <w:lang w:val="en-US" w:eastAsia="zh-CN"/>
        </w:rPr>
        <w:t>主动对接服务“双柳长江大桥”等重大工程项目建设。</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b/>
          <w:bCs/>
          <w:sz w:val="32"/>
          <w:szCs w:val="32"/>
          <w:lang w:val="en-US" w:eastAsia="zh-CN"/>
        </w:rPr>
        <w:t>2.落实落细减税降费政策。</w:t>
      </w:r>
      <w:r>
        <w:rPr>
          <w:rFonts w:hint="default" w:ascii="Times New Roman" w:hAnsi="Times New Roman" w:eastAsia="仿宋_GB2312" w:cs="仿宋_GB2312"/>
          <w:b w:val="0"/>
          <w:bCs w:val="0"/>
          <w:color w:val="auto"/>
          <w:spacing w:val="-6"/>
          <w:sz w:val="32"/>
          <w:szCs w:val="32"/>
          <w:lang w:val="en-US" w:eastAsia="zh-CN"/>
        </w:rPr>
        <w:t>聚焦税费优惠政策精准落地，多举措推动政策红利直达快享，赋能经济高质量发展。健全保障机制，在原有基础上成立政策和收入联席会议制度，定期研讨落实难点、制定针对性措施，统筹推进政策适用管理。拓宽辅导渠道，线上开展专题直播3场，线下举办专场活动21场，同步发放新户开业第一课、中介执业第一课宣传册，实现“屏对屏”与“面对面”全覆盖。以实现政策找人为动力源，继续优化完善精准推送机制，今年以来，累计推送税费政策、服务提示提醒等各类信息共计289批次，首推成功率（按户）持续保持在100%。</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b/>
          <w:bCs/>
          <w:sz w:val="32"/>
          <w:szCs w:val="32"/>
          <w:lang w:val="en-US" w:eastAsia="zh-CN"/>
        </w:rPr>
        <w:t>3.建立健全制度管理体系。</w:t>
      </w:r>
      <w:r>
        <w:rPr>
          <w:rFonts w:hint="eastAsia" w:ascii="Times New Roman" w:hAnsi="Times New Roman" w:eastAsia="仿宋" w:cs="仿宋"/>
          <w:sz w:val="32"/>
          <w:szCs w:val="32"/>
          <w:lang w:val="zh-CN"/>
        </w:rPr>
        <w:t>强化“三项制度”等文件学习，认真开展疑点数据核查，定期组织开展“专项评估”。2025年，行政执法公示信</w:t>
      </w:r>
      <w:r>
        <w:rPr>
          <w:rFonts w:hint="eastAsia" w:ascii="Times New Roman" w:hAnsi="Times New Roman" w:eastAsia="仿宋" w:cs="仿宋"/>
          <w:sz w:val="32"/>
          <w:szCs w:val="32"/>
          <w:highlight w:val="none"/>
          <w:lang w:val="zh-CN"/>
        </w:rPr>
        <w:t>息平台已公示</w:t>
      </w:r>
      <w:r>
        <w:rPr>
          <w:rFonts w:hint="eastAsia" w:ascii="Times New Roman" w:hAnsi="Times New Roman" w:eastAsia="仿宋" w:cs="仿宋"/>
          <w:sz w:val="32"/>
          <w:szCs w:val="32"/>
          <w:highlight w:val="none"/>
          <w:lang w:val="en-US" w:eastAsia="zh-CN"/>
        </w:rPr>
        <w:t>9</w:t>
      </w:r>
      <w:r>
        <w:rPr>
          <w:rFonts w:hint="eastAsia" w:ascii="Times New Roman" w:hAnsi="Times New Roman" w:eastAsia="仿宋" w:cs="仿宋"/>
          <w:sz w:val="32"/>
          <w:szCs w:val="32"/>
          <w:highlight w:val="none"/>
          <w:lang w:val="zh-CN"/>
        </w:rPr>
        <w:t>类事项</w:t>
      </w:r>
      <w:r>
        <w:rPr>
          <w:rFonts w:hint="eastAsia" w:ascii="Times New Roman" w:hAnsi="Times New Roman" w:eastAsia="仿宋" w:cs="仿宋"/>
          <w:sz w:val="32"/>
          <w:szCs w:val="32"/>
          <w:highlight w:val="none"/>
          <w:lang w:val="en-US" w:eastAsia="zh-CN"/>
        </w:rPr>
        <w:t>538</w:t>
      </w:r>
      <w:r>
        <w:rPr>
          <w:rFonts w:hint="eastAsia" w:ascii="Times New Roman" w:hAnsi="Times New Roman" w:eastAsia="仿宋" w:cs="仿宋"/>
          <w:sz w:val="32"/>
          <w:szCs w:val="32"/>
          <w:highlight w:val="none"/>
          <w:lang w:val="zh-CN"/>
        </w:rPr>
        <w:t>条信息，</w:t>
      </w:r>
      <w:r>
        <w:rPr>
          <w:rFonts w:hint="eastAsia" w:ascii="Times New Roman" w:hAnsi="Times New Roman" w:eastAsia="仿宋" w:cs="仿宋"/>
          <w:sz w:val="32"/>
          <w:szCs w:val="32"/>
          <w:lang w:val="zh-CN"/>
        </w:rPr>
        <w:t>税务执法音像记录信息管理平台成功上传</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lang w:val="zh-CN"/>
        </w:rPr>
        <w:t>类事项</w:t>
      </w:r>
      <w:r>
        <w:rPr>
          <w:rFonts w:hint="eastAsia" w:ascii="Times New Roman" w:hAnsi="Times New Roman" w:eastAsia="仿宋" w:cs="仿宋"/>
          <w:sz w:val="32"/>
          <w:szCs w:val="32"/>
          <w:lang w:val="en-US" w:eastAsia="zh-CN"/>
        </w:rPr>
        <w:t>10</w:t>
      </w:r>
      <w:r>
        <w:rPr>
          <w:rFonts w:hint="eastAsia" w:ascii="Times New Roman" w:hAnsi="Times New Roman" w:eastAsia="仿宋" w:cs="仿宋"/>
          <w:sz w:val="32"/>
          <w:szCs w:val="32"/>
          <w:lang w:val="zh-CN"/>
        </w:rPr>
        <w:t>条信息。</w:t>
      </w:r>
      <w:r>
        <w:rPr>
          <w:rFonts w:hint="eastAsia" w:ascii="Times New Roman" w:hAnsi="Times New Roman" w:eastAsia="仿宋" w:cs="仿宋"/>
          <w:sz w:val="32"/>
          <w:szCs w:val="32"/>
        </w:rPr>
        <w:t>严格审慎</w:t>
      </w:r>
      <w:r>
        <w:rPr>
          <w:rFonts w:hint="eastAsia" w:ascii="Times New Roman" w:hAnsi="Times New Roman" w:eastAsia="仿宋" w:cs="仿宋"/>
          <w:sz w:val="32"/>
          <w:szCs w:val="32"/>
          <w:lang w:val="en-US" w:eastAsia="zh-CN"/>
        </w:rPr>
        <w:t>落实</w:t>
      </w:r>
      <w:r>
        <w:rPr>
          <w:rFonts w:hint="eastAsia" w:ascii="Times New Roman" w:hAnsi="Times New Roman" w:eastAsia="仿宋" w:cs="仿宋"/>
          <w:sz w:val="32"/>
          <w:szCs w:val="32"/>
        </w:rPr>
        <w:t>法制审核</w:t>
      </w:r>
      <w:r>
        <w:rPr>
          <w:rFonts w:hint="eastAsia" w:ascii="Times New Roman" w:hAnsi="Times New Roman" w:eastAsia="仿宋" w:cs="仿宋"/>
          <w:sz w:val="32"/>
          <w:szCs w:val="32"/>
          <w:lang w:val="en-US" w:eastAsia="zh-CN"/>
        </w:rPr>
        <w:t>制度，2025年</w:t>
      </w:r>
      <w:r>
        <w:rPr>
          <w:rFonts w:hint="eastAsia" w:ascii="Times New Roman" w:hAnsi="Times New Roman" w:eastAsia="仿宋" w:cs="仿宋"/>
          <w:sz w:val="32"/>
          <w:szCs w:val="32"/>
        </w:rPr>
        <w:t>，组织完成重大案件执</w:t>
      </w:r>
      <w:r>
        <w:rPr>
          <w:rFonts w:hint="eastAsia" w:ascii="Times New Roman" w:hAnsi="Times New Roman" w:eastAsia="仿宋" w:cs="仿宋"/>
          <w:sz w:val="32"/>
          <w:szCs w:val="32"/>
          <w:highlight w:val="none"/>
        </w:rPr>
        <w:t>法决定法制审核</w:t>
      </w:r>
      <w:r>
        <w:rPr>
          <w:rFonts w:hint="eastAsia" w:ascii="Times New Roman" w:hAnsi="Times New Roman" w:eastAsia="仿宋" w:cs="仿宋"/>
          <w:sz w:val="32"/>
          <w:szCs w:val="32"/>
          <w:highlight w:val="none"/>
          <w:lang w:val="en-US" w:eastAsia="zh-CN"/>
        </w:rPr>
        <w:t>5</w:t>
      </w:r>
      <w:r>
        <w:rPr>
          <w:rFonts w:hint="eastAsia" w:ascii="Times New Roman" w:hAnsi="Times New Roman" w:eastAsia="仿宋" w:cs="仿宋"/>
          <w:sz w:val="32"/>
          <w:szCs w:val="32"/>
          <w:highlight w:val="none"/>
        </w:rPr>
        <w:t>件，其中行政强制</w:t>
      </w:r>
      <w:r>
        <w:rPr>
          <w:rFonts w:hint="eastAsia" w:ascii="Times New Roman" w:hAnsi="Times New Roman" w:eastAsia="仿宋" w:cs="仿宋"/>
          <w:sz w:val="32"/>
          <w:szCs w:val="32"/>
          <w:highlight w:val="none"/>
          <w:lang w:val="en-US" w:eastAsia="zh-CN"/>
        </w:rPr>
        <w:t>1</w:t>
      </w:r>
      <w:r>
        <w:rPr>
          <w:rFonts w:hint="eastAsia" w:ascii="Times New Roman" w:hAnsi="Times New Roman" w:eastAsia="仿宋" w:cs="仿宋"/>
          <w:sz w:val="32"/>
          <w:szCs w:val="32"/>
          <w:highlight w:val="none"/>
        </w:rPr>
        <w:t>件，纳税评估</w:t>
      </w:r>
      <w:r>
        <w:rPr>
          <w:rFonts w:hint="eastAsia" w:ascii="Times New Roman" w:hAnsi="Times New Roman" w:eastAsia="仿宋" w:cs="仿宋"/>
          <w:sz w:val="32"/>
          <w:szCs w:val="32"/>
          <w:highlight w:val="none"/>
          <w:lang w:val="en-US" w:eastAsia="zh-CN"/>
        </w:rPr>
        <w:t>4</w:t>
      </w:r>
      <w:r>
        <w:rPr>
          <w:rFonts w:hint="eastAsia" w:ascii="Times New Roman" w:hAnsi="Times New Roman" w:eastAsia="仿宋" w:cs="仿宋"/>
          <w:sz w:val="32"/>
          <w:szCs w:val="32"/>
          <w:highlight w:val="none"/>
        </w:rPr>
        <w:t>件</w:t>
      </w:r>
      <w:r>
        <w:rPr>
          <w:rFonts w:hint="eastAsia" w:ascii="Times New Roman" w:hAnsi="Times New Roman" w:eastAsia="仿宋" w:cs="仿宋"/>
          <w:sz w:val="32"/>
          <w:szCs w:val="32"/>
          <w:highlight w:val="none"/>
          <w:lang w:eastAsia="zh-CN"/>
        </w:rPr>
        <w:t>。</w:t>
      </w:r>
      <w:r>
        <w:rPr>
          <w:rFonts w:hint="eastAsia" w:ascii="Times New Roman" w:hAnsi="Times New Roman" w:eastAsia="仿宋" w:cs="仿宋"/>
          <w:sz w:val="32"/>
          <w:szCs w:val="32"/>
          <w:lang w:val="zh-CN"/>
        </w:rPr>
        <w:t>落实税务证明事项告知承诺制，2025年共办理享受减、免征契税2902件。加强涉税规范文件管理，开展税</w:t>
      </w:r>
      <w:r>
        <w:rPr>
          <w:rFonts w:hint="eastAsia" w:ascii="Times New Roman" w:hAnsi="Times New Roman" w:eastAsia="仿宋" w:cs="仿宋"/>
          <w:sz w:val="32"/>
          <w:szCs w:val="32"/>
        </w:rPr>
        <w:t>务规范性文件集中清理工作并定期上报。认真落实《政府信息公开条例》</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推</w:t>
      </w:r>
      <w:r>
        <w:rPr>
          <w:rFonts w:hint="eastAsia" w:ascii="Times New Roman" w:hAnsi="Times New Roman" w:eastAsia="仿宋" w:cs="仿宋"/>
          <w:sz w:val="32"/>
          <w:szCs w:val="32"/>
          <w:lang w:val="zh-CN"/>
        </w:rPr>
        <w:t>进《中南区域税务行政处罚裁量基准》有效落实</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lang w:eastAsia="zh-CN"/>
        </w:rPr>
        <w:t>2025年</w:t>
      </w:r>
      <w:r>
        <w:rPr>
          <w:rFonts w:hint="eastAsia" w:ascii="Times New Roman" w:hAnsi="Times New Roman" w:eastAsia="仿宋" w:cs="仿宋"/>
          <w:sz w:val="32"/>
          <w:szCs w:val="32"/>
          <w:highlight w:val="none"/>
        </w:rPr>
        <w:t>出具</w:t>
      </w:r>
      <w:r>
        <w:rPr>
          <w:rFonts w:hint="eastAsia" w:ascii="Times New Roman" w:hAnsi="Times New Roman" w:eastAsia="仿宋" w:cs="仿宋"/>
          <w:sz w:val="32"/>
          <w:szCs w:val="32"/>
          <w:highlight w:val="none"/>
          <w:lang w:val="en-US" w:eastAsia="zh-CN"/>
        </w:rPr>
        <w:t>284</w:t>
      </w:r>
      <w:r>
        <w:rPr>
          <w:rFonts w:hint="eastAsia" w:ascii="Times New Roman" w:hAnsi="Times New Roman" w:eastAsia="仿宋" w:cs="仿宋"/>
          <w:sz w:val="32"/>
          <w:szCs w:val="32"/>
          <w:highlight w:val="none"/>
        </w:rPr>
        <w:t>户次不予处罚决定书和“首违不罚”宣教承诺</w:t>
      </w:r>
      <w:r>
        <w:rPr>
          <w:rFonts w:hint="eastAsia" w:ascii="Times New Roman" w:hAnsi="Times New Roman"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宋体"/>
          <w:bCs/>
          <w:color w:val="auto"/>
          <w:kern w:val="0"/>
          <w:sz w:val="32"/>
          <w:szCs w:val="32"/>
          <w:highlight w:val="none"/>
          <w:lang w:val="en-US" w:eastAsia="zh-CN"/>
        </w:rPr>
      </w:pPr>
      <w:r>
        <w:rPr>
          <w:rFonts w:hint="eastAsia" w:ascii="Times New Roman" w:hAnsi="Times New Roman" w:eastAsia="仿宋" w:cs="仿宋"/>
          <w:b/>
          <w:bCs/>
          <w:sz w:val="32"/>
          <w:szCs w:val="32"/>
          <w:lang w:val="en-US" w:eastAsia="zh-CN"/>
        </w:rPr>
        <w:t>4.稳步推进征管改革任务。</w:t>
      </w:r>
      <w:r>
        <w:rPr>
          <w:rFonts w:hint="eastAsia" w:ascii="Times New Roman" w:hAnsi="Times New Roman" w:eastAsia="仿宋_GB2312" w:cs="宋体"/>
          <w:bCs/>
          <w:color w:val="auto"/>
          <w:kern w:val="0"/>
          <w:sz w:val="32"/>
          <w:szCs w:val="32"/>
          <w:highlight w:val="none"/>
          <w:lang w:val="en-US" w:eastAsia="zh-CN"/>
        </w:rPr>
        <w:t>联动推进水资源税改革，拟定《新洲区关于健全水资源税协作机制》，试运行水资源税新上线系统“e费通”。依托电子税务局、金税三期系统，与财政、资建部门实时共享费源信息，完成划转以来273宗土地出让金台账电子化梳理，实现“一宗一档”动态管理。持续拓展“乐企”应用场景，在停车场等小额个人支付领域拓展“支付即开票”场景；聚焦“高效办成一件事”，在不动产交易、股权转让、社会保险费和非税收入征收等涉税涉费领域实现更广泛的业务协同和场景建设；建立疑点提示任务统筹机制，改进疑点任务多头、高频、量大、重复下发等管理问题，推动减频控量、减负增效。</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b/>
          <w:bCs/>
          <w:sz w:val="32"/>
          <w:szCs w:val="32"/>
          <w:lang w:val="en-US" w:eastAsia="zh-CN"/>
        </w:rPr>
        <w:t>5.深入推行“说理式”执法。</w:t>
      </w:r>
      <w:r>
        <w:rPr>
          <w:rFonts w:hint="eastAsia" w:ascii="Times New Roman" w:hAnsi="Times New Roman" w:eastAsia="仿宋_GB2312" w:cs="仿宋_GB2312"/>
          <w:b w:val="0"/>
          <w:bCs w:val="0"/>
          <w:color w:val="auto"/>
          <w:spacing w:val="-6"/>
          <w:sz w:val="32"/>
          <w:szCs w:val="32"/>
          <w:lang w:val="en-US" w:eastAsia="zh-CN"/>
        </w:rPr>
        <w:t>一是规范执法流程与文书。制定说理式执法操作指引，把事理、法理、情理融入执法全程，在税务约谈、行政处罚等环节，通过书面文书、现场沟通向行政相对人说明执法依据、事实认定等，让其“听得懂、想得通”。试运行“说理易”执法文书平台，覆盖逾期申报、应开未开发票等多类文书，2025年区局共出具说理式执法文</w:t>
      </w:r>
      <w:r>
        <w:rPr>
          <w:rFonts w:hint="eastAsia" w:ascii="Times New Roman" w:hAnsi="Times New Roman" w:eastAsia="仿宋_GB2312" w:cs="仿宋_GB2312"/>
          <w:b w:val="0"/>
          <w:bCs w:val="0"/>
          <w:color w:val="auto"/>
          <w:spacing w:val="-6"/>
          <w:sz w:val="32"/>
          <w:szCs w:val="32"/>
          <w:highlight w:val="none"/>
          <w:lang w:val="en-US" w:eastAsia="zh-CN"/>
        </w:rPr>
        <w:t>书2411份</w:t>
      </w:r>
      <w:r>
        <w:rPr>
          <w:rFonts w:hint="eastAsia" w:ascii="Times New Roman" w:hAnsi="Times New Roman" w:eastAsia="仿宋_GB2312" w:cs="仿宋_GB2312"/>
          <w:b w:val="0"/>
          <w:bCs w:val="0"/>
          <w:color w:val="auto"/>
          <w:spacing w:val="-6"/>
          <w:sz w:val="32"/>
          <w:szCs w:val="32"/>
          <w:lang w:val="en-US" w:eastAsia="zh-CN"/>
        </w:rPr>
        <w:t>。二是化解执法矛盾。依托说理式执法建立争议前置沟通机制，由公职律师和法治指导员联合解答纳税人异议，运用涉税争议咨询调解机制解读政策、疏导诉求，将矛盾化解在萌芽阶段，提升执法质效与纳税人满意度。</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b/>
          <w:bCs/>
          <w:sz w:val="32"/>
          <w:szCs w:val="32"/>
          <w:lang w:val="en-US" w:eastAsia="zh-CN"/>
        </w:rPr>
        <w:t>6.</w:t>
      </w:r>
      <w:r>
        <w:rPr>
          <w:rFonts w:hint="eastAsia" w:ascii="Times New Roman" w:hAnsi="Times New Roman" w:eastAsia="仿宋_GB2312" w:cs="仿宋_GB2312"/>
          <w:b/>
          <w:bCs/>
          <w:color w:val="auto"/>
          <w:spacing w:val="-6"/>
          <w:sz w:val="32"/>
          <w:szCs w:val="32"/>
          <w:lang w:val="en-US" w:eastAsia="zh-CN"/>
        </w:rPr>
        <w:t>行政复议化解争议</w:t>
      </w:r>
      <w:r>
        <w:rPr>
          <w:rFonts w:hint="eastAsia" w:ascii="Times New Roman" w:hAnsi="Times New Roman" w:eastAsia="仿宋" w:cs="仿宋"/>
          <w:b/>
          <w:bCs/>
          <w:sz w:val="32"/>
          <w:szCs w:val="32"/>
          <w:lang w:val="en-US" w:eastAsia="zh-CN"/>
        </w:rPr>
        <w:t>。</w:t>
      </w:r>
      <w:r>
        <w:rPr>
          <w:rFonts w:hint="eastAsia" w:ascii="Times New Roman" w:hAnsi="Times New Roman" w:eastAsia="仿宋_GB2312" w:cs="仿宋_GB2312"/>
          <w:b w:val="0"/>
          <w:bCs w:val="0"/>
          <w:color w:val="auto"/>
          <w:spacing w:val="-6"/>
          <w:sz w:val="32"/>
          <w:szCs w:val="32"/>
          <w:lang w:val="en-US" w:eastAsia="zh-CN"/>
        </w:rPr>
        <w:t>秉持“以事实为依据，以法律为准绳”的原则，扎实推进行政复议工作。2025年完成应</w:t>
      </w:r>
      <w:r>
        <w:rPr>
          <w:rFonts w:hint="eastAsia" w:ascii="Times New Roman" w:hAnsi="Times New Roman" w:eastAsia="仿宋_GB2312" w:cs="仿宋_GB2312"/>
          <w:b w:val="0"/>
          <w:bCs w:val="0"/>
          <w:color w:val="auto"/>
          <w:spacing w:val="-6"/>
          <w:sz w:val="32"/>
          <w:szCs w:val="32"/>
          <w:highlight w:val="none"/>
          <w:lang w:val="en-US" w:eastAsia="zh-CN"/>
        </w:rPr>
        <w:t>对3件</w:t>
      </w:r>
      <w:r>
        <w:rPr>
          <w:rFonts w:hint="eastAsia" w:ascii="Times New Roman" w:hAnsi="Times New Roman" w:eastAsia="仿宋_GB2312" w:cs="仿宋_GB2312"/>
          <w:b w:val="0"/>
          <w:bCs w:val="0"/>
          <w:color w:val="auto"/>
          <w:spacing w:val="-6"/>
          <w:sz w:val="32"/>
          <w:szCs w:val="32"/>
          <w:lang w:val="en-US" w:eastAsia="zh-CN"/>
        </w:rPr>
        <w:t>行政复议案件。收到市局行政复议答复通知书后，及时组织相关单位研讨分析案情，收集整理证据资料，严格在规定期限内向市局上报《行政复议答复书》。工作中，充分发挥行政复议的沟通渠道作用，耐心沟通协调、精准释法说理，了解申请人诉求与意见，增进相互理解与信任。通过应对行政复议既切实维护了申请人的合法权益，又有效规范了税收执法行为，实现法律效果与社会效果的有机统一，为构建和谐征纳关系提供坚实保障</w:t>
      </w:r>
      <w:r>
        <w:rPr>
          <w:rFonts w:hint="eastAsia" w:ascii="Times New Roman" w:hAnsi="Times New Roman" w:eastAsia="仿宋" w:cs="仿宋"/>
          <w:sz w:val="32"/>
          <w:szCs w:val="32"/>
          <w:lang w:val="en-US" w:eastAsia="zh-CN"/>
        </w:rPr>
        <w:t>。</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b/>
          <w:bCs/>
          <w:sz w:val="32"/>
          <w:szCs w:val="32"/>
          <w:lang w:val="en-US" w:eastAsia="zh-CN"/>
        </w:rPr>
        <w:t>7.提升矛盾化解能力。</w:t>
      </w:r>
      <w:r>
        <w:rPr>
          <w:rFonts w:hint="eastAsia" w:ascii="Times New Roman" w:hAnsi="Times New Roman" w:eastAsia="仿宋" w:cs="仿宋"/>
          <w:sz w:val="32"/>
          <w:szCs w:val="32"/>
          <w:lang w:eastAsia="zh-CN"/>
        </w:rPr>
        <w:t>坚持和发展新时代“枫桥经验”，着力开展</w:t>
      </w:r>
      <w:r>
        <w:rPr>
          <w:rFonts w:hint="eastAsia" w:ascii="Times New Roman" w:hAnsi="Times New Roman" w:eastAsia="仿宋" w:cs="仿宋"/>
          <w:sz w:val="32"/>
          <w:szCs w:val="32"/>
        </w:rPr>
        <w:t>税费矛盾争议“源头解”试点项目，制定《国家税务总局武汉市新洲区税务局税费诉求矛盾争议“源头解”创建方案》，探索形成“新枫解议”工作法</w:t>
      </w:r>
      <w:r>
        <w:rPr>
          <w:rFonts w:hint="eastAsia" w:ascii="Times New Roman" w:hAnsi="Times New Roman" w:eastAsia="仿宋" w:cs="仿宋"/>
          <w:sz w:val="32"/>
          <w:szCs w:val="32"/>
          <w:lang w:eastAsia="zh-CN"/>
        </w:rPr>
        <w:t>。加强公职律师的培养和使用，合理调配公职律师担任法治指导员。妥善解决涉税争议，保护纳税人合法权益，构建和谐征纳关系，坚持执法与服务并重，法理与情理同在，充分考虑纳税人的实际情况和难点问题，从根本上化解矛盾争议。</w:t>
      </w:r>
    </w:p>
    <w:p>
      <w:pPr>
        <w:keepNext w:val="0"/>
        <w:keepLines w:val="0"/>
        <w:pageBreakBefore w:val="0"/>
        <w:widowControl/>
        <w:kinsoku/>
        <w:wordWrap/>
        <w:overflowPunct w:val="0"/>
        <w:topLinePunct w:val="0"/>
        <w:autoSpaceDE w:val="0"/>
        <w:autoSpaceDN w:val="0"/>
        <w:bidi w:val="0"/>
        <w:adjustRightInd w:val="0"/>
        <w:snapToGrid/>
        <w:spacing w:after="0" w:line="560" w:lineRule="exact"/>
        <w:ind w:firstLine="643" w:firstLineChars="200"/>
        <w:jc w:val="both"/>
        <w:textAlignment w:val="baseline"/>
        <w:rPr>
          <w:rFonts w:hint="eastAsia" w:ascii="Times New Roman" w:hAnsi="Times New Roman" w:eastAsia="楷体_GB2312" w:cs="楷体_GB2312"/>
          <w:b/>
          <w:bCs/>
          <w:color w:val="auto"/>
          <w:kern w:val="2"/>
          <w:sz w:val="32"/>
          <w:szCs w:val="32"/>
          <w:lang w:val="en-US" w:eastAsia="zh-CN"/>
        </w:rPr>
      </w:pPr>
      <w:r>
        <w:rPr>
          <w:rFonts w:hint="eastAsia" w:ascii="Times New Roman" w:hAnsi="Times New Roman" w:eastAsia="仿宋" w:cs="仿宋"/>
          <w:b/>
          <w:bCs/>
          <w:sz w:val="32"/>
          <w:szCs w:val="32"/>
          <w:lang w:val="en-US" w:eastAsia="zh-CN"/>
        </w:rPr>
        <w:t>8.</w:t>
      </w:r>
      <w:r>
        <w:rPr>
          <w:rFonts w:hint="eastAsia" w:ascii="Times New Roman" w:hAnsi="Times New Roman" w:eastAsia="仿宋" w:cs="仿宋"/>
          <w:b/>
          <w:bCs/>
          <w:sz w:val="32"/>
          <w:szCs w:val="32"/>
        </w:rPr>
        <w:t>做精做深便民办税举措</w:t>
      </w:r>
      <w:r>
        <w:rPr>
          <w:rFonts w:hint="eastAsia" w:ascii="Times New Roman" w:hAnsi="Times New Roman" w:eastAsia="仿宋" w:cs="仿宋"/>
          <w:b/>
          <w:bCs/>
          <w:sz w:val="32"/>
          <w:szCs w:val="32"/>
          <w:lang w:val="en-US" w:eastAsia="zh-CN"/>
        </w:rPr>
        <w:t>。</w:t>
      </w:r>
      <w:r>
        <w:rPr>
          <w:rFonts w:hint="eastAsia" w:ascii="Times New Roman" w:hAnsi="Times New Roman" w:eastAsia="仿宋_GB2312" w:cs="仿宋_GB2312"/>
          <w:b w:val="0"/>
          <w:bCs w:val="0"/>
          <w:color w:val="auto"/>
          <w:spacing w:val="-6"/>
          <w:sz w:val="32"/>
          <w:szCs w:val="32"/>
          <w:lang w:val="en-US" w:eastAsia="zh-CN"/>
        </w:rPr>
        <w:t>以税收宣传月为有力抓手，联合多部门多载体构建宣传矩阵，组建税费政策宣讲团队，解答涉税疑点难点问题，前置风险提醒，强化依法纳税意识，引导企业合规经营，助力区域经济高质量发展。参与拍摄《有宝家庭：有您的减税“红包” 请注意领取》宣传微视频，并在湖北综合卫视、长江云新闻平台播放。积极构建“云帮办”税费服务网格体系，全面推行“云端在线办、一次就办好”的智慧服务新模式，完善“税务—社保—医保”跨部门联席工作机制，持续优化社保经办和缴费业务“一厅联办”。</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b/>
          <w:bCs/>
          <w:sz w:val="32"/>
          <w:szCs w:val="32"/>
          <w:lang w:val="en-US" w:eastAsia="zh-CN"/>
        </w:rPr>
        <w:t>9.</w:t>
      </w:r>
      <w:r>
        <w:rPr>
          <w:rFonts w:hint="eastAsia" w:ascii="Times New Roman" w:hAnsi="Times New Roman" w:eastAsia="仿宋" w:cs="仿宋"/>
          <w:b/>
          <w:bCs/>
          <w:sz w:val="32"/>
          <w:szCs w:val="32"/>
          <w:lang w:val="zh-CN" w:eastAsia="zh-CN"/>
        </w:rPr>
        <w:t>完善行政执法队伍管理。</w:t>
      </w:r>
      <w:r>
        <w:rPr>
          <w:rFonts w:hint="eastAsia" w:ascii="Times New Roman" w:hAnsi="Times New Roman" w:eastAsia="仿宋_GB2312" w:cs="仿宋_GB2312"/>
          <w:b w:val="0"/>
          <w:bCs w:val="0"/>
          <w:color w:val="auto"/>
          <w:spacing w:val="-6"/>
          <w:sz w:val="32"/>
          <w:szCs w:val="32"/>
          <w:lang w:val="zh-CN" w:eastAsia="zh-CN"/>
        </w:rPr>
        <w:t>严格落实行政执法人员持证上岗和资格管理要求，继续加强税务执法资格管理，优化税务人员执法资格考试培训教育工作。一是全面依法行政领导小组进一步加强对执法考试工作的组织领导，领导小组相关成员单位强化责任担当，各负其责、各尽其责。二是强化考生所在单位的主体责任，做到岗责明晰，配合密切，齐抓共管。三是层层传导压力，层层落实责任，</w:t>
      </w:r>
      <w:r>
        <w:rPr>
          <w:rFonts w:hint="eastAsia" w:ascii="Times New Roman" w:hAnsi="Times New Roman" w:eastAsia="仿宋" w:cs="仿宋"/>
          <w:sz w:val="32"/>
          <w:szCs w:val="32"/>
          <w:lang w:val="zh-CN" w:eastAsia="zh-CN"/>
        </w:rPr>
        <w:t>在2025年税务执法资格考试中，区局参考率100%，通过率100%。</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 xml:space="preserve"> 二、2025年度推进法治政府建设存在的不足和原因</w:t>
      </w:r>
    </w:p>
    <w:p>
      <w:pPr>
        <w:keepNext w:val="0"/>
        <w:keepLines w:val="0"/>
        <w:pageBreakBefore w:val="0"/>
        <w:widowControl/>
        <w:kinsoku/>
        <w:wordWrap/>
        <w:overflowPunct w:val="0"/>
        <w:topLinePunct w:val="0"/>
        <w:autoSpaceDE w:val="0"/>
        <w:autoSpaceDN w:val="0"/>
        <w:bidi w:val="0"/>
        <w:adjustRightInd w:val="0"/>
        <w:snapToGrid/>
        <w:spacing w:after="0" w:line="560" w:lineRule="exact"/>
        <w:ind w:firstLine="640" w:firstLineChars="200"/>
        <w:jc w:val="both"/>
        <w:textAlignment w:val="baseline"/>
        <w:rPr>
          <w:rFonts w:hint="eastAsia" w:ascii="Times New Roman" w:hAnsi="Times New Roman" w:eastAsia="仿宋_GB2312" w:cs="仿宋_GB2312"/>
          <w:b w:val="0"/>
          <w:bCs w:val="0"/>
          <w:color w:val="auto"/>
          <w:spacing w:val="-6"/>
          <w:sz w:val="32"/>
          <w:szCs w:val="32"/>
          <w:lang w:val="zh-CN" w:eastAsia="zh-CN"/>
        </w:rPr>
      </w:pPr>
      <w:r>
        <w:rPr>
          <w:rFonts w:hint="eastAsia" w:ascii="Times New Roman" w:hAnsi="Times New Roman" w:eastAsia="仿宋" w:cs="仿宋"/>
          <w:sz w:val="32"/>
          <w:szCs w:val="32"/>
          <w:lang w:val="zh-CN"/>
        </w:rPr>
        <w:t>我局认真贯彻落实法治政府建设工作各项任务，在取得成绩的同时，我们也清醒地认识到还存在一些不足：</w:t>
      </w:r>
      <w:r>
        <w:rPr>
          <w:rFonts w:hint="eastAsia" w:ascii="Times New Roman" w:hAnsi="Times New Roman" w:eastAsia="仿宋_GB2312" w:cs="仿宋_GB2312"/>
          <w:b w:val="0"/>
          <w:bCs w:val="0"/>
          <w:color w:val="auto"/>
          <w:spacing w:val="-6"/>
          <w:sz w:val="32"/>
          <w:szCs w:val="32"/>
          <w:lang w:val="zh-CN" w:eastAsia="zh-CN"/>
        </w:rPr>
        <w:t>一</w:t>
      </w:r>
      <w:r>
        <w:rPr>
          <w:rFonts w:hint="eastAsia" w:ascii="Times New Roman" w:hAnsi="Times New Roman" w:eastAsia="仿宋_GB2312" w:cs="仿宋_GB2312"/>
          <w:b w:val="0"/>
          <w:bCs w:val="0"/>
          <w:color w:val="auto"/>
          <w:spacing w:val="-6"/>
          <w:sz w:val="32"/>
          <w:szCs w:val="32"/>
          <w:lang w:val="en-US" w:eastAsia="zh-CN"/>
        </w:rPr>
        <w:t>是</w:t>
      </w:r>
      <w:r>
        <w:rPr>
          <w:rFonts w:hint="eastAsia" w:ascii="Times New Roman" w:hAnsi="Times New Roman" w:eastAsia="仿宋_GB2312" w:cs="仿宋_GB2312"/>
          <w:b w:val="0"/>
          <w:bCs w:val="0"/>
          <w:color w:val="auto"/>
          <w:spacing w:val="-6"/>
          <w:sz w:val="32"/>
          <w:szCs w:val="32"/>
          <w:lang w:val="zh-CN" w:eastAsia="zh-CN"/>
        </w:rPr>
        <w:t>法治意识和风险防控意识有待进一步强化，运用法治思维分析和解决问题的自觉性还不够。</w:t>
      </w:r>
      <w:r>
        <w:rPr>
          <w:rFonts w:hint="eastAsia" w:ascii="Times New Roman" w:hAnsi="Times New Roman" w:eastAsia="仿宋_GB2312" w:cs="仿宋_GB2312"/>
          <w:b w:val="0"/>
          <w:bCs w:val="0"/>
          <w:color w:val="auto"/>
          <w:spacing w:val="-6"/>
          <w:sz w:val="32"/>
          <w:szCs w:val="32"/>
          <w:lang w:val="en-US" w:eastAsia="zh-CN"/>
        </w:rPr>
        <w:t>二是</w:t>
      </w:r>
      <w:r>
        <w:rPr>
          <w:rFonts w:hint="eastAsia" w:ascii="Times New Roman" w:hAnsi="Times New Roman" w:eastAsia="仿宋_GB2312" w:cs="仿宋_GB2312"/>
          <w:b w:val="0"/>
          <w:bCs w:val="0"/>
          <w:color w:val="auto"/>
          <w:spacing w:val="-6"/>
          <w:sz w:val="32"/>
          <w:szCs w:val="32"/>
          <w:lang w:val="zh-CN" w:eastAsia="zh-CN"/>
        </w:rPr>
        <w:t>法治专业人才储备有待进一步增强，具备丰富案件处理经验的骨干力量不多，导致在应对复杂涉税法律事务时专业支撑不足。</w:t>
      </w:r>
    </w:p>
    <w:p>
      <w:pPr>
        <w:keepNext w:val="0"/>
        <w:keepLines w:val="0"/>
        <w:pageBreakBefore w:val="0"/>
        <w:widowControl/>
        <w:kinsoku/>
        <w:wordWrap/>
        <w:overflowPunct w:val="0"/>
        <w:topLinePunct w:val="0"/>
        <w:autoSpaceDE w:val="0"/>
        <w:autoSpaceDN w:val="0"/>
        <w:bidi w:val="0"/>
        <w:adjustRightInd w:val="0"/>
        <w:snapToGrid/>
        <w:spacing w:after="0" w:line="560" w:lineRule="exact"/>
        <w:ind w:firstLine="640" w:firstLineChars="200"/>
        <w:jc w:val="both"/>
        <w:textAlignment w:val="baseline"/>
        <w:rPr>
          <w:rFonts w:hint="eastAsia" w:ascii="Times New Roman" w:hAnsi="Times New Roman" w:eastAsia="仿宋_GB2312" w:cs="仿宋_GB2312"/>
          <w:b w:val="0"/>
          <w:bCs w:val="0"/>
          <w:color w:val="auto"/>
          <w:spacing w:val="-6"/>
          <w:sz w:val="32"/>
          <w:szCs w:val="32"/>
          <w:lang w:val="zh-CN" w:eastAsia="zh-CN"/>
        </w:rPr>
      </w:pPr>
      <w:r>
        <w:rPr>
          <w:rFonts w:hint="eastAsia" w:ascii="Times New Roman" w:hAnsi="Times New Roman" w:eastAsia="仿宋" w:cs="仿宋"/>
          <w:sz w:val="32"/>
          <w:szCs w:val="32"/>
          <w:lang w:val="zh-CN"/>
        </w:rPr>
        <w:t>针对以上问题，区局将在以下方面做出努力:</w:t>
      </w:r>
      <w:r>
        <w:rPr>
          <w:rFonts w:hint="eastAsia" w:ascii="Times New Roman" w:hAnsi="Times New Roman" w:eastAsia="仿宋_GB2312" w:cs="仿宋_GB2312"/>
          <w:b w:val="0"/>
          <w:bCs w:val="0"/>
          <w:color w:val="auto"/>
          <w:spacing w:val="-6"/>
          <w:sz w:val="32"/>
          <w:szCs w:val="32"/>
          <w:lang w:val="zh-CN" w:eastAsia="zh-CN"/>
        </w:rPr>
        <w:t>一是聚焦能力提升，强化专业培训。围绕税务行政复议、行政诉讼实务要点，结合日常税收征管执法风险暴露问题与执法重难点，定制专项培训方案，系统提升人员法律素养与实务操作能力，筑牢执法风险防控根基。二是深化人才培育，构建多元解纷格局。大力加强法治人才梯队建设，依托岗位练兵、师徒结对等机制，提升案件办理质效。充分发挥“公职律师”专业优势和法治指导员传帮带作用，综合运用政策解读、协商调解等方式，将矛盾化解在前端，推动税收法治建设提质增效。</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三、2026年度推进法治政府建设工作安排</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Times New Roman" w:hAnsi="Times New Roman" w:eastAsia="仿宋_GB2312" w:cs="仿宋_GB2312"/>
          <w:kern w:val="2"/>
          <w:sz w:val="32"/>
          <w:szCs w:val="32"/>
        </w:rPr>
      </w:pPr>
      <w:r>
        <w:rPr>
          <w:rFonts w:hint="eastAsia" w:ascii="Times New Roman" w:hAnsi="Times New Roman" w:eastAsia="楷体_GB2312" w:cs="楷体_GB2312"/>
          <w:b/>
          <w:bCs/>
          <w:color w:val="auto"/>
          <w:sz w:val="32"/>
          <w:szCs w:val="32"/>
          <w:highlight w:val="none"/>
          <w:lang w:val="en-US" w:eastAsia="zh-CN"/>
        </w:rPr>
        <w:t>（一）</w:t>
      </w:r>
      <w:r>
        <w:rPr>
          <w:rFonts w:hint="eastAsia" w:ascii="Times New Roman" w:hAnsi="Times New Roman" w:eastAsia="楷体_GB2312" w:cs="楷体_GB2312"/>
          <w:b/>
          <w:bCs/>
          <w:color w:val="auto"/>
          <w:sz w:val="32"/>
          <w:szCs w:val="32"/>
          <w:lang w:val="en-US" w:eastAsia="zh-CN"/>
        </w:rPr>
        <w:t>进一步建强政治机关。一是</w:t>
      </w:r>
      <w:r>
        <w:rPr>
          <w:rFonts w:hint="eastAsia" w:ascii="Times New Roman" w:hAnsi="Times New Roman" w:eastAsia="仿宋_GB2312" w:cs="仿宋_GB2312"/>
          <w:b w:val="0"/>
          <w:bCs w:val="0"/>
          <w:color w:val="auto"/>
          <w:kern w:val="2"/>
          <w:sz w:val="32"/>
          <w:szCs w:val="40"/>
          <w:lang w:val="en-US" w:eastAsia="zh-CN" w:bidi="ar-SA"/>
        </w:rPr>
        <w:t>对标对表提升政治站位，</w:t>
      </w:r>
      <w:r>
        <w:rPr>
          <w:rFonts w:hint="eastAsia" w:ascii="Times New Roman" w:hAnsi="Times New Roman" w:eastAsia="仿宋_GB2312" w:cs="仿宋_GB2312"/>
          <w:color w:val="auto"/>
          <w:kern w:val="2"/>
          <w:sz w:val="32"/>
          <w:szCs w:val="40"/>
          <w:lang w:val="en-US" w:eastAsia="zh-CN" w:bidi="ar-SA"/>
        </w:rPr>
        <w:t>深入学习贯彻习近平新时代中国特色社会主义思想，加强政治机关建设。</w:t>
      </w:r>
      <w:r>
        <w:rPr>
          <w:rFonts w:hint="eastAsia" w:ascii="Times New Roman" w:hAnsi="Times New Roman" w:eastAsia="仿宋_GB2312" w:cs="仿宋_GB2312"/>
          <w:b/>
          <w:bCs/>
          <w:color w:val="auto"/>
          <w:kern w:val="2"/>
          <w:sz w:val="32"/>
          <w:szCs w:val="40"/>
          <w:lang w:val="en-US" w:eastAsia="zh-CN" w:bidi="ar-SA"/>
        </w:rPr>
        <w:t>二是</w:t>
      </w:r>
      <w:r>
        <w:rPr>
          <w:rFonts w:hint="eastAsia" w:ascii="Times New Roman" w:hAnsi="Times New Roman" w:eastAsia="仿宋_GB2312" w:cs="仿宋_GB2312"/>
          <w:b w:val="0"/>
          <w:bCs w:val="0"/>
          <w:color w:val="auto"/>
          <w:kern w:val="2"/>
          <w:sz w:val="32"/>
          <w:szCs w:val="40"/>
          <w:lang w:val="en-US" w:eastAsia="zh-CN" w:bidi="ar-SA"/>
        </w:rPr>
        <w:t>压实责任层层传导压力，</w:t>
      </w:r>
      <w:r>
        <w:rPr>
          <w:rFonts w:hint="eastAsia" w:ascii="Times New Roman" w:hAnsi="Times New Roman" w:eastAsia="仿宋_GB2312" w:cs="仿宋_GB2312"/>
          <w:color w:val="auto"/>
          <w:kern w:val="2"/>
          <w:sz w:val="32"/>
          <w:szCs w:val="40"/>
          <w:lang w:val="en-US" w:eastAsia="zh-CN" w:bidi="ar-SA"/>
        </w:rPr>
        <w:t>进一步发挥党委主体责任，压实“一把手”第一责任人职责、班子成员“一岗双责”、机关党委专门责任、机关纪委监督责任，推动全面从严治党向纵深推进。</w:t>
      </w:r>
      <w:r>
        <w:rPr>
          <w:rFonts w:hint="eastAsia" w:ascii="Times New Roman" w:hAnsi="Times New Roman" w:eastAsia="仿宋_GB2312" w:cs="仿宋_GB2312"/>
          <w:b/>
          <w:bCs/>
          <w:color w:val="auto"/>
          <w:kern w:val="2"/>
          <w:sz w:val="32"/>
          <w:szCs w:val="40"/>
          <w:lang w:val="en-US" w:eastAsia="zh-CN" w:bidi="ar-SA"/>
        </w:rPr>
        <w:t>三是</w:t>
      </w:r>
      <w:r>
        <w:rPr>
          <w:rFonts w:hint="eastAsia" w:ascii="Times New Roman" w:hAnsi="Times New Roman" w:eastAsia="仿宋_GB2312" w:cs="仿宋_GB2312"/>
          <w:b w:val="0"/>
          <w:bCs w:val="0"/>
          <w:color w:val="auto"/>
          <w:kern w:val="2"/>
          <w:sz w:val="32"/>
          <w:szCs w:val="40"/>
          <w:lang w:val="en-US" w:eastAsia="zh-CN" w:bidi="ar-SA"/>
        </w:rPr>
        <w:t>加强理论武装实践淬炼，</w:t>
      </w:r>
      <w:r>
        <w:rPr>
          <w:rFonts w:hint="eastAsia" w:ascii="Times New Roman" w:hAnsi="Times New Roman" w:eastAsia="仿宋_GB2312" w:cs="仿宋_GB2312"/>
          <w:color w:val="auto"/>
          <w:kern w:val="2"/>
          <w:sz w:val="32"/>
          <w:szCs w:val="40"/>
          <w:lang w:val="en-US" w:eastAsia="zh-CN" w:bidi="ar-SA"/>
        </w:rPr>
        <w:t>常态化开展对党忠诚教育、革命传统教育，提升基层党组织“两功能、一作用”，坚持不懈把基层党组织锻造成强基的坚强堡垒。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楷体_GB2312" w:cs="楷体_GB2312"/>
          <w:b/>
          <w:bCs/>
          <w:color w:val="auto"/>
          <w:sz w:val="32"/>
          <w:szCs w:val="32"/>
          <w:highlight w:val="none"/>
          <w:lang w:val="en-US" w:eastAsia="zh-CN"/>
        </w:rPr>
        <w:t>（二）</w:t>
      </w:r>
      <w:r>
        <w:rPr>
          <w:rFonts w:hint="eastAsia" w:ascii="Times New Roman" w:hAnsi="Times New Roman" w:eastAsia="楷体_GB2312" w:cs="楷体_GB2312"/>
          <w:b/>
          <w:bCs/>
          <w:color w:val="auto"/>
          <w:sz w:val="32"/>
          <w:szCs w:val="32"/>
          <w:lang w:val="en-US" w:eastAsia="zh-CN"/>
        </w:rPr>
        <w:t>进一步扛牢主责主业。</w:t>
      </w:r>
      <w:r>
        <w:rPr>
          <w:rFonts w:hint="eastAsia" w:ascii="Times New Roman" w:hAnsi="Times New Roman" w:eastAsia="仿宋_GB2312" w:cs="仿宋_GB2312"/>
          <w:b/>
          <w:bCs/>
          <w:color w:val="auto"/>
          <w:kern w:val="2"/>
          <w:sz w:val="32"/>
          <w:szCs w:val="40"/>
          <w:lang w:val="en-US" w:eastAsia="zh-CN" w:bidi="ar-SA"/>
        </w:rPr>
        <w:t>一是</w:t>
      </w:r>
      <w:r>
        <w:rPr>
          <w:rFonts w:hint="eastAsia" w:ascii="Times New Roman" w:hAnsi="Times New Roman" w:eastAsia="仿宋_GB2312" w:cs="仿宋_GB2312"/>
          <w:b w:val="0"/>
          <w:bCs w:val="0"/>
          <w:color w:val="auto"/>
          <w:kern w:val="2"/>
          <w:sz w:val="32"/>
          <w:szCs w:val="40"/>
          <w:lang w:val="en-US" w:eastAsia="zh-CN" w:bidi="ar-SA"/>
        </w:rPr>
        <w:t>压实组织收入政治责任，</w:t>
      </w:r>
      <w:r>
        <w:rPr>
          <w:rFonts w:hint="eastAsia" w:ascii="Times New Roman" w:hAnsi="Times New Roman" w:eastAsia="仿宋_GB2312" w:cs="仿宋_GB2312"/>
          <w:color w:val="auto"/>
          <w:kern w:val="2"/>
          <w:sz w:val="32"/>
          <w:szCs w:val="40"/>
          <w:lang w:val="en-US" w:eastAsia="zh-CN" w:bidi="ar-SA"/>
        </w:rPr>
        <w:t>严格组织收入工作纪律，强化组织收入责任共担机制，切实做到把该收的依法收上来，不该收的坚决不收。</w:t>
      </w:r>
      <w:r>
        <w:rPr>
          <w:rFonts w:hint="eastAsia" w:ascii="Times New Roman" w:hAnsi="Times New Roman" w:eastAsia="仿宋_GB2312" w:cs="仿宋_GB2312"/>
          <w:b/>
          <w:bCs/>
          <w:color w:val="auto"/>
          <w:kern w:val="2"/>
          <w:sz w:val="32"/>
          <w:szCs w:val="40"/>
          <w:lang w:val="en-US" w:eastAsia="zh-CN" w:bidi="ar-SA"/>
        </w:rPr>
        <w:t>二是</w:t>
      </w:r>
      <w:r>
        <w:rPr>
          <w:rFonts w:hint="eastAsia" w:ascii="Times New Roman" w:hAnsi="Times New Roman" w:eastAsia="仿宋_GB2312" w:cs="仿宋_GB2312"/>
          <w:color w:val="auto"/>
          <w:kern w:val="2"/>
          <w:sz w:val="32"/>
          <w:szCs w:val="32"/>
          <w:lang w:val="en-US" w:eastAsia="zh-CN" w:bidi="ar-SA"/>
        </w:rPr>
        <w:t>落实“税费皆重、税费协同、税费一体”，加强跨费种数据共享与联动管理，打造全链条高效能税费收入治理体系。</w:t>
      </w:r>
      <w:r>
        <w:rPr>
          <w:rFonts w:hint="eastAsia" w:ascii="Times New Roman" w:hAnsi="Times New Roman" w:eastAsia="仿宋_GB2312" w:cs="仿宋_GB2312"/>
          <w:b/>
          <w:bCs/>
          <w:color w:val="auto"/>
          <w:kern w:val="2"/>
          <w:sz w:val="32"/>
          <w:szCs w:val="32"/>
          <w:lang w:val="en-US" w:eastAsia="zh-CN" w:bidi="ar-SA"/>
        </w:rPr>
        <w:t>三是</w:t>
      </w:r>
      <w:r>
        <w:rPr>
          <w:rFonts w:hint="eastAsia" w:ascii="Times New Roman" w:hAnsi="Times New Roman" w:eastAsia="仿宋_GB2312" w:cs="仿宋_GB2312"/>
          <w:b w:val="0"/>
          <w:bCs w:val="0"/>
          <w:color w:val="auto"/>
          <w:kern w:val="2"/>
          <w:sz w:val="32"/>
          <w:szCs w:val="32"/>
          <w:lang w:val="en-US" w:eastAsia="zh-CN" w:bidi="ar-SA"/>
        </w:rPr>
        <w:t>精准落实税费优惠政策，</w:t>
      </w:r>
      <w:r>
        <w:rPr>
          <w:rFonts w:hint="eastAsia" w:ascii="Times New Roman" w:hAnsi="Times New Roman" w:eastAsia="仿宋_GB2312" w:cs="仿宋_GB2312"/>
          <w:color w:val="auto"/>
          <w:kern w:val="2"/>
          <w:sz w:val="32"/>
          <w:szCs w:val="32"/>
          <w:lang w:val="en-US" w:eastAsia="zh-CN" w:bidi="ar-SA"/>
        </w:rPr>
        <w:t>深化“政策找人”，重点落实好科技创新、绿色转型、先进制造业发展等领域的税惠政策，确保政策红利精准规范“释放”。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楷体_GB2312" w:cs="楷体_GB2312"/>
          <w:b/>
          <w:bCs/>
          <w:color w:val="auto"/>
          <w:sz w:val="32"/>
          <w:szCs w:val="32"/>
          <w:highlight w:val="none"/>
          <w:lang w:val="en-US" w:eastAsia="zh-CN"/>
        </w:rPr>
        <w:t>（三）</w:t>
      </w:r>
      <w:r>
        <w:rPr>
          <w:rFonts w:hint="eastAsia" w:ascii="Times New Roman" w:hAnsi="Times New Roman" w:eastAsia="楷体_GB2312" w:cs="楷体_GB2312"/>
          <w:b/>
          <w:bCs/>
          <w:color w:val="auto"/>
          <w:sz w:val="32"/>
          <w:szCs w:val="32"/>
          <w:lang w:val="en-US" w:eastAsia="zh-CN"/>
        </w:rPr>
        <w:t>进一步助力区域发展。</w:t>
      </w:r>
      <w:r>
        <w:rPr>
          <w:rFonts w:hint="eastAsia" w:ascii="Times New Roman" w:hAnsi="Times New Roman" w:eastAsia="仿宋_GB2312" w:cs="仿宋_GB2312"/>
          <w:b/>
          <w:bCs/>
          <w:color w:val="auto"/>
          <w:kern w:val="2"/>
          <w:sz w:val="32"/>
          <w:szCs w:val="32"/>
          <w:highlight w:val="none"/>
          <w:lang w:val="en-US" w:eastAsia="zh-CN" w:bidi="ar-SA"/>
        </w:rPr>
        <w:t>一是</w:t>
      </w:r>
      <w:r>
        <w:rPr>
          <w:rFonts w:hint="eastAsia" w:ascii="Times New Roman" w:hAnsi="Times New Roman" w:eastAsia="仿宋_GB2312" w:cs="仿宋_GB2312"/>
          <w:b w:val="0"/>
          <w:bCs w:val="0"/>
          <w:color w:val="auto"/>
          <w:kern w:val="2"/>
          <w:sz w:val="32"/>
          <w:szCs w:val="32"/>
          <w:highlight w:val="none"/>
          <w:lang w:val="en-US" w:eastAsia="zh-CN" w:bidi="ar-SA"/>
        </w:rPr>
        <w:t>提升税费服务质效，围绕“高效办成一件事”，拓展“一事联办”“一网通办”“跨区域通办”范围</w:t>
      </w:r>
      <w:r>
        <w:rPr>
          <w:rFonts w:hint="eastAsia" w:ascii="Times New Roman" w:hAnsi="Times New Roman" w:eastAsia="仿宋_GB2312" w:cs="仿宋_GB2312"/>
          <w:b w:val="0"/>
          <w:bCs w:val="0"/>
          <w:color w:val="auto"/>
          <w:kern w:val="2"/>
          <w:sz w:val="32"/>
          <w:szCs w:val="32"/>
          <w:highlight w:val="none"/>
          <w:lang w:val="zh-CN" w:eastAsia="zh-CN" w:bidi="ar-SA"/>
        </w:rPr>
        <w:t>。</w:t>
      </w:r>
      <w:r>
        <w:rPr>
          <w:rFonts w:hint="eastAsia" w:ascii="Times New Roman" w:hAnsi="Times New Roman" w:eastAsia="仿宋_GB2312" w:cs="仿宋_GB2312"/>
          <w:b/>
          <w:bCs/>
          <w:color w:val="auto"/>
          <w:kern w:val="2"/>
          <w:sz w:val="32"/>
          <w:szCs w:val="32"/>
          <w:highlight w:val="none"/>
          <w:lang w:val="en-US" w:eastAsia="zh-CN" w:bidi="ar-SA"/>
        </w:rPr>
        <w:t>二是</w:t>
      </w:r>
      <w:r>
        <w:rPr>
          <w:rFonts w:hint="eastAsia" w:ascii="Times New Roman" w:hAnsi="Times New Roman" w:eastAsia="仿宋_GB2312" w:cs="仿宋_GB2312"/>
          <w:b w:val="0"/>
          <w:bCs w:val="0"/>
          <w:color w:val="auto"/>
          <w:kern w:val="2"/>
          <w:sz w:val="32"/>
          <w:szCs w:val="32"/>
          <w:highlight w:val="none"/>
          <w:lang w:val="en-US" w:eastAsia="zh-CN" w:bidi="ar-SA"/>
        </w:rPr>
        <w:t>严格规范依法行政，持续推进说理式执法、辅导式执法，落实落细《纳税缴费信用管理办法》新政，加强合规性引导，打造法治公平营商环境。</w:t>
      </w:r>
      <w:r>
        <w:rPr>
          <w:rFonts w:hint="eastAsia" w:ascii="Times New Roman" w:hAnsi="Times New Roman" w:eastAsia="仿宋_GB2312" w:cs="仿宋_GB2312"/>
          <w:b/>
          <w:bCs/>
          <w:color w:val="auto"/>
          <w:kern w:val="2"/>
          <w:sz w:val="32"/>
          <w:szCs w:val="32"/>
          <w:highlight w:val="none"/>
          <w:lang w:val="en-US" w:eastAsia="zh-CN" w:bidi="ar-SA"/>
        </w:rPr>
        <w:t>三是</w:t>
      </w:r>
      <w:r>
        <w:rPr>
          <w:rFonts w:hint="eastAsia" w:ascii="Times New Roman" w:hAnsi="Times New Roman" w:eastAsia="仿宋_GB2312" w:cs="仿宋_GB2312"/>
          <w:b w:val="0"/>
          <w:bCs w:val="0"/>
          <w:color w:val="auto"/>
          <w:kern w:val="2"/>
          <w:sz w:val="32"/>
          <w:szCs w:val="32"/>
          <w:highlight w:val="none"/>
          <w:lang w:val="en-US" w:eastAsia="zh-CN" w:bidi="ar-SA"/>
        </w:rPr>
        <w:t>融入区域发展大局，锚定区委“三大战略任务、一优先、一突破”任务，积极搭建智能制造、商业航天等专业化税收管理服务团队，实施科学化、精细化管理。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楷体_GB2312" w:cs="楷体_GB2312"/>
          <w:b/>
          <w:bCs/>
          <w:color w:val="auto"/>
          <w:sz w:val="32"/>
          <w:szCs w:val="32"/>
          <w:highlight w:val="none"/>
          <w:lang w:val="en-US" w:eastAsia="zh-CN"/>
        </w:rPr>
        <w:t>（四）</w:t>
      </w:r>
      <w:r>
        <w:rPr>
          <w:rFonts w:hint="eastAsia" w:ascii="Times New Roman" w:hAnsi="Times New Roman" w:eastAsia="楷体_GB2312" w:cs="楷体_GB2312"/>
          <w:b/>
          <w:bCs/>
          <w:color w:val="auto"/>
          <w:sz w:val="32"/>
          <w:szCs w:val="32"/>
          <w:lang w:val="en-US" w:eastAsia="zh-CN"/>
        </w:rPr>
        <w:t>进一步深化征管改革。</w:t>
      </w:r>
      <w:r>
        <w:rPr>
          <w:rFonts w:hint="eastAsia" w:ascii="Times New Roman" w:hAnsi="Times New Roman" w:eastAsia="仿宋_GB2312" w:cs="仿宋_GB2312"/>
          <w:b/>
          <w:bCs/>
          <w:color w:val="auto"/>
          <w:sz w:val="32"/>
          <w:szCs w:val="32"/>
          <w:lang w:eastAsia="zh-CN"/>
        </w:rPr>
        <w:t>一是</w:t>
      </w:r>
      <w:r>
        <w:rPr>
          <w:rFonts w:hint="eastAsia" w:ascii="Times New Roman" w:hAnsi="Times New Roman" w:eastAsia="仿宋_GB2312" w:cs="仿宋_GB2312"/>
          <w:color w:val="auto"/>
          <w:kern w:val="0"/>
          <w:sz w:val="32"/>
          <w:szCs w:val="32"/>
          <w:lang w:val="zh-CN" w:bidi="ar"/>
        </w:rPr>
        <w:t>积极构建全环节全流程申报辅导审核提醒机制，一体推进申报中、申报后的智能审核和风险核查，</w:t>
      </w:r>
      <w:r>
        <w:rPr>
          <w:rFonts w:hint="eastAsia" w:ascii="Times New Roman" w:hAnsi="Times New Roman" w:eastAsia="仿宋_GB2312" w:cs="Times New Roman"/>
          <w:b w:val="0"/>
          <w:bCs w:val="0"/>
          <w:color w:val="auto"/>
          <w:kern w:val="2"/>
          <w:sz w:val="32"/>
          <w:szCs w:val="32"/>
          <w:highlight w:val="none"/>
          <w:lang w:val="en-US" w:eastAsia="zh-CN"/>
        </w:rPr>
        <w:t>引导企业树牢依法纳税意识。</w:t>
      </w:r>
      <w:r>
        <w:rPr>
          <w:rFonts w:hint="eastAsia" w:ascii="Times New Roman" w:hAnsi="Times New Roman" w:eastAsia="仿宋_GB2312" w:cs="Times New Roman"/>
          <w:b/>
          <w:bCs/>
          <w:color w:val="auto"/>
          <w:kern w:val="2"/>
          <w:sz w:val="32"/>
          <w:szCs w:val="32"/>
          <w:highlight w:val="none"/>
          <w:lang w:val="en-US" w:eastAsia="zh-CN"/>
        </w:rPr>
        <w:t>二是</w:t>
      </w:r>
      <w:r>
        <w:rPr>
          <w:rFonts w:ascii="Times New Roman" w:hAnsi="Times New Roman" w:eastAsia="仿宋_GB2312" w:cs="仿宋_GB2312"/>
          <w:i w:val="0"/>
          <w:iCs w:val="0"/>
          <w:color w:val="auto"/>
          <w:sz w:val="31"/>
          <w:szCs w:val="31"/>
        </w:rPr>
        <w:t>围绕税费服务、税务监管、税务执法三大业务领域，</w:t>
      </w:r>
      <w:r>
        <w:rPr>
          <w:rFonts w:hint="eastAsia" w:ascii="Times New Roman" w:hAnsi="Times New Roman" w:eastAsia="仿宋_GB2312" w:cs="仿宋_GB2312"/>
          <w:color w:val="auto"/>
          <w:kern w:val="0"/>
          <w:sz w:val="32"/>
          <w:szCs w:val="32"/>
          <w:lang w:val="en-US" w:eastAsia="zh-CN"/>
        </w:rPr>
        <w:t>构建“全领域税费协同、全链条贯通协同、全方位监管协同”的征管新模式。</w:t>
      </w:r>
      <w:r>
        <w:rPr>
          <w:rFonts w:hint="eastAsia" w:ascii="Times New Roman" w:hAnsi="Times New Roman" w:eastAsia="仿宋_GB2312" w:cs="仿宋_GB2312"/>
          <w:b/>
          <w:bCs/>
          <w:color w:val="auto"/>
          <w:kern w:val="2"/>
          <w:sz w:val="32"/>
          <w:szCs w:val="32"/>
          <w:highlight w:val="none"/>
          <w:shd w:val="clear" w:color="auto" w:fill="auto"/>
          <w:lang w:val="en-US" w:eastAsia="zh-CN" w:bidi="ar-SA"/>
        </w:rPr>
        <w:t>三是</w:t>
      </w:r>
      <w:r>
        <w:rPr>
          <w:rFonts w:hint="eastAsia" w:ascii="Times New Roman" w:hAnsi="Times New Roman" w:eastAsia="仿宋_GB2312" w:cs="仿宋_GB2312"/>
          <w:b w:val="0"/>
          <w:bCs w:val="0"/>
          <w:color w:val="auto"/>
          <w:kern w:val="2"/>
          <w:sz w:val="32"/>
          <w:szCs w:val="32"/>
          <w:highlight w:val="none"/>
          <w:shd w:val="clear" w:color="auto" w:fill="auto"/>
          <w:lang w:val="en-US" w:eastAsia="zh-CN" w:bidi="ar-SA"/>
        </w:rPr>
        <w:t>落实重点项目负责制，</w:t>
      </w:r>
      <w:r>
        <w:rPr>
          <w:rFonts w:hint="eastAsia" w:ascii="Times New Roman" w:hAnsi="Times New Roman" w:eastAsia="仿宋_GB2312" w:cs="仿宋_GB2312"/>
          <w:color w:val="auto"/>
          <w:kern w:val="2"/>
          <w:sz w:val="32"/>
          <w:szCs w:val="32"/>
          <w:lang w:val="en-US" w:eastAsia="zh-CN" w:bidi="ar-SA"/>
        </w:rPr>
        <w:t>聚焦“四新”（新技术、新产业、新业态、新模式），特别是在商业航天、绿色船舶、智能算力产业发展上，用足用好税收政策，加强税收行业监管，助力企业可持续发展。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 w:cs="仿宋"/>
          <w:sz w:val="32"/>
          <w:szCs w:val="32"/>
          <w:lang w:val="en-US" w:eastAsia="zh-Hans"/>
        </w:rPr>
      </w:pPr>
      <w:r>
        <w:rPr>
          <w:rFonts w:hint="eastAsia" w:ascii="Times New Roman" w:hAnsi="Times New Roman" w:eastAsia="楷体_GB2312" w:cs="楷体_GB2312"/>
          <w:b/>
          <w:bCs/>
          <w:color w:val="auto"/>
          <w:sz w:val="32"/>
          <w:szCs w:val="32"/>
          <w:highlight w:val="none"/>
          <w:lang w:val="en-US" w:eastAsia="zh-CN"/>
        </w:rPr>
        <w:t>（五）</w:t>
      </w:r>
      <w:r>
        <w:rPr>
          <w:rFonts w:hint="eastAsia" w:ascii="Times New Roman" w:hAnsi="Times New Roman" w:eastAsia="楷体_GB2312" w:cs="楷体_GB2312"/>
          <w:b/>
          <w:bCs/>
          <w:color w:val="auto"/>
          <w:sz w:val="32"/>
          <w:szCs w:val="32"/>
          <w:lang w:val="en-US" w:eastAsia="zh-CN"/>
        </w:rPr>
        <w:t>进一步激励干事创业。</w:t>
      </w:r>
      <w:r>
        <w:rPr>
          <w:rFonts w:hint="eastAsia" w:ascii="Times New Roman" w:hAnsi="Times New Roman" w:eastAsia="仿宋_GB2312" w:cs="仿宋_GB2312"/>
          <w:b/>
          <w:bCs/>
          <w:color w:val="auto"/>
          <w:sz w:val="32"/>
          <w:szCs w:val="32"/>
          <w:lang w:eastAsia="zh-CN"/>
        </w:rPr>
        <w:t>一是</w:t>
      </w:r>
      <w:r>
        <w:rPr>
          <w:rFonts w:hint="eastAsia" w:ascii="Times New Roman" w:hAnsi="Times New Roman" w:eastAsia="仿宋_GB2312" w:cs="仿宋_GB2312"/>
          <w:b w:val="0"/>
          <w:bCs w:val="0"/>
          <w:color w:val="auto"/>
          <w:sz w:val="32"/>
          <w:szCs w:val="32"/>
          <w:lang w:eastAsia="zh-CN"/>
        </w:rPr>
        <w:t>着力提升干部综合素质，持续</w:t>
      </w:r>
      <w:r>
        <w:rPr>
          <w:rFonts w:hint="eastAsia" w:ascii="Times New Roman" w:hAnsi="Times New Roman" w:eastAsia="仿宋_GB2312" w:cs="仿宋_GB2312"/>
          <w:color w:val="auto"/>
          <w:sz w:val="32"/>
          <w:szCs w:val="32"/>
        </w:rPr>
        <w:t>擦亮“问津·新青年”夜校品牌，</w:t>
      </w:r>
      <w:r>
        <w:rPr>
          <w:rFonts w:hint="eastAsia" w:ascii="Times New Roman" w:hAnsi="Times New Roman" w:eastAsia="仿宋_GB2312"/>
          <w:color w:val="auto"/>
          <w:spacing w:val="-6"/>
          <w:sz w:val="32"/>
          <w:szCs w:val="32"/>
          <w:lang w:eastAsia="zh-CN"/>
        </w:rPr>
        <w:t>落实</w:t>
      </w:r>
      <w:r>
        <w:rPr>
          <w:rFonts w:hint="eastAsia" w:ascii="Times New Roman" w:hAnsi="Times New Roman" w:eastAsia="仿宋_GB2312"/>
          <w:color w:val="auto"/>
          <w:spacing w:val="-6"/>
          <w:sz w:val="32"/>
          <w:szCs w:val="32"/>
        </w:rPr>
        <w:t>“三级结对传帮带”成长模式</w:t>
      </w:r>
      <w:r>
        <w:rPr>
          <w:rFonts w:hint="eastAsia" w:ascii="Times New Roman" w:hAnsi="Times New Roman" w:eastAsia="仿宋_GB2312"/>
          <w:color w:val="auto"/>
          <w:spacing w:val="-6"/>
          <w:sz w:val="32"/>
          <w:szCs w:val="32"/>
          <w:lang w:eastAsia="zh-CN"/>
        </w:rPr>
        <w:t>，以“头雁引领”带动“群雁起飞”</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b/>
          <w:bCs/>
          <w:color w:val="auto"/>
          <w:sz w:val="32"/>
          <w:szCs w:val="32"/>
          <w:lang w:eastAsia="zh-CN"/>
        </w:rPr>
        <w:t>二是</w:t>
      </w:r>
      <w:r>
        <w:rPr>
          <w:rFonts w:hint="eastAsia" w:ascii="Times New Roman" w:hAnsi="Times New Roman" w:eastAsia="仿宋_GB2312" w:cs="仿宋_GB2312"/>
          <w:b w:val="0"/>
          <w:bCs w:val="0"/>
          <w:color w:val="auto"/>
          <w:sz w:val="32"/>
          <w:szCs w:val="32"/>
        </w:rPr>
        <w:t>构建干部队伍“长效保鲜”机制</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color w:val="auto"/>
          <w:sz w:val="32"/>
          <w:szCs w:val="32"/>
          <w:lang w:eastAsia="zh-CN"/>
        </w:rPr>
        <w:t>坚持能力上关注、精神上关爱、生活上关心，</w:t>
      </w:r>
      <w:r>
        <w:rPr>
          <w:rFonts w:hint="eastAsia" w:ascii="Times New Roman" w:hAnsi="Times New Roman" w:eastAsia="仿宋_GB2312" w:cs="仿宋_GB2312"/>
          <w:color w:val="auto"/>
          <w:sz w:val="32"/>
          <w:szCs w:val="32"/>
        </w:rPr>
        <w:t>拒绝“冰箱式”干部</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树牢</w:t>
      </w:r>
      <w:r>
        <w:rPr>
          <w:rFonts w:hint="eastAsia" w:ascii="Times New Roman" w:hAnsi="Times New Roman" w:eastAsia="仿宋_GB2312" w:cs="仿宋_GB2312"/>
          <w:color w:val="auto"/>
          <w:sz w:val="32"/>
          <w:szCs w:val="32"/>
          <w:lang w:eastAsia="zh-CN"/>
        </w:rPr>
        <w:t>重品行重实干重</w:t>
      </w:r>
      <w:r>
        <w:rPr>
          <w:rFonts w:hint="eastAsia" w:ascii="Times New Roman" w:hAnsi="Times New Roman" w:eastAsia="仿宋_GB2312" w:cs="仿宋_GB2312"/>
          <w:color w:val="auto"/>
          <w:sz w:val="32"/>
          <w:szCs w:val="32"/>
        </w:rPr>
        <w:t>实绩“风向标”</w:t>
      </w:r>
      <w:r>
        <w:rPr>
          <w:rFonts w:hint="eastAsia" w:ascii="Times New Roman" w:hAnsi="Times New Roman" w:eastAsia="仿宋_GB2312" w:cs="仿宋_GB2312"/>
          <w:color w:val="auto"/>
          <w:sz w:val="32"/>
          <w:szCs w:val="32"/>
          <w:lang w:eastAsia="zh-CN"/>
        </w:rPr>
        <w:t>，让担当者担当，为干事者撑腰。</w:t>
      </w:r>
      <w:r>
        <w:rPr>
          <w:rFonts w:hint="eastAsia" w:ascii="Times New Roman" w:hAnsi="Times New Roman" w:eastAsia="仿宋_GB2312" w:cs="仿宋_GB2312"/>
          <w:b/>
          <w:bCs/>
          <w:color w:val="auto"/>
          <w:sz w:val="32"/>
          <w:szCs w:val="32"/>
          <w:lang w:eastAsia="zh-CN"/>
        </w:rPr>
        <w:t>三是</w:t>
      </w:r>
      <w:r>
        <w:rPr>
          <w:rFonts w:hint="eastAsia" w:ascii="Times New Roman" w:hAnsi="Times New Roman" w:eastAsia="仿宋_GB2312" w:cs="仿宋_GB2312"/>
          <w:b w:val="0"/>
          <w:bCs w:val="0"/>
          <w:color w:val="auto"/>
          <w:sz w:val="32"/>
          <w:szCs w:val="32"/>
        </w:rPr>
        <w:t>坚持党性党风党纪一起抓</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color w:val="auto"/>
          <w:sz w:val="32"/>
          <w:szCs w:val="32"/>
        </w:rPr>
        <w:t>紧盯“八小时外”朋友圈、社交圈，</w:t>
      </w:r>
      <w:r>
        <w:rPr>
          <w:rFonts w:hint="eastAsia" w:ascii="Times New Roman" w:hAnsi="Times New Roman" w:eastAsia="仿宋_GB2312" w:cs="仿宋_GB2312"/>
          <w:color w:val="auto"/>
          <w:sz w:val="32"/>
          <w:szCs w:val="32"/>
          <w:lang w:eastAsia="zh-CN"/>
        </w:rPr>
        <w:t>落实“三个区分开来”，</w:t>
      </w:r>
      <w:r>
        <w:rPr>
          <w:rFonts w:hint="eastAsia" w:ascii="Times New Roman" w:hAnsi="Times New Roman" w:eastAsia="仿宋_GB2312" w:cs="仿宋_GB2312"/>
          <w:color w:val="auto"/>
          <w:sz w:val="32"/>
          <w:szCs w:val="32"/>
        </w:rPr>
        <w:t>推动各项监督贯通协同，防范廉政风险</w:t>
      </w:r>
      <w:r>
        <w:rPr>
          <w:rFonts w:hint="eastAsia" w:ascii="Times New Roman" w:hAnsi="Times New Roman" w:eastAsia="仿宋_GB2312" w:cs="仿宋_GB2312"/>
          <w:color w:val="auto"/>
          <w:sz w:val="32"/>
          <w:szCs w:val="32"/>
          <w:lang w:eastAsia="zh-CN"/>
        </w:rPr>
        <w:t>和</w:t>
      </w:r>
      <w:r>
        <w:rPr>
          <w:rFonts w:hint="eastAsia" w:ascii="Times New Roman" w:hAnsi="Times New Roman" w:eastAsia="仿宋_GB2312" w:cs="仿宋_GB2312"/>
          <w:color w:val="auto"/>
          <w:sz w:val="32"/>
          <w:szCs w:val="32"/>
        </w:rPr>
        <w:t>执法风险。</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 xml:space="preserve">             </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val="0"/>
        <w:snapToGrid/>
        <w:spacing w:after="0" w:line="560" w:lineRule="exact"/>
        <w:ind w:firstLine="2880" w:firstLineChars="900"/>
        <w:jc w:val="both"/>
        <w:textAlignment w:val="auto"/>
        <w:rPr>
          <w:rFonts w:hint="eastAsia" w:ascii="Times New Roman" w:hAnsi="Times New Roman" w:eastAsia="仿宋" w:cs="仿宋"/>
          <w:sz w:val="32"/>
          <w:szCs w:val="32"/>
          <w:lang w:val="en-US" w:eastAsia="zh-Hans"/>
        </w:rPr>
      </w:pP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lang w:val="en-US" w:eastAsia="zh-Hans"/>
        </w:rPr>
        <w:t>国家税务总局武汉市新洲区税务局</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pP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lang w:val="en-US" w:eastAsia="zh-Hans"/>
        </w:rPr>
        <w:t>202</w:t>
      </w:r>
      <w:r>
        <w:rPr>
          <w:rFonts w:hint="eastAsia" w:ascii="Times New Roman" w:hAnsi="Times New Roman" w:eastAsia="仿宋" w:cs="仿宋"/>
          <w:sz w:val="32"/>
          <w:szCs w:val="32"/>
          <w:lang w:val="en-US" w:eastAsia="zh-CN"/>
        </w:rPr>
        <w:t>6</w:t>
      </w:r>
      <w:r>
        <w:rPr>
          <w:rFonts w:hint="eastAsia" w:ascii="Times New Roman" w:hAnsi="Times New Roman" w:eastAsia="仿宋" w:cs="仿宋"/>
          <w:sz w:val="32"/>
          <w:szCs w:val="32"/>
          <w:lang w:val="en-US" w:eastAsia="zh-Hans"/>
        </w:rPr>
        <w:t>年</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lang w:val="en-US" w:eastAsia="zh-Hans"/>
        </w:rPr>
        <w:t>月</w:t>
      </w:r>
      <w:r>
        <w:rPr>
          <w:rFonts w:hint="eastAsia" w:ascii="Times New Roman" w:hAnsi="Times New Roman" w:eastAsia="仿宋" w:cs="仿宋"/>
          <w:sz w:val="32"/>
          <w:szCs w:val="32"/>
          <w:lang w:val="en-US" w:eastAsia="zh-CN"/>
        </w:rPr>
        <w:t>3</w:t>
      </w:r>
      <w:r>
        <w:rPr>
          <w:rFonts w:hint="eastAsia" w:ascii="Times New Roman" w:hAnsi="Times New Roman" w:eastAsia="仿宋" w:cs="仿宋"/>
          <w:sz w:val="32"/>
          <w:szCs w:val="32"/>
          <w:lang w:val="en-US" w:eastAsia="zh-Hans"/>
        </w:rPr>
        <w:t>日</w:t>
      </w:r>
      <w:r>
        <w:rPr>
          <w:rFonts w:hint="eastAsia" w:ascii="Times New Roman" w:hAnsi="Times New Roman" w:eastAsia="仿宋" w:cs="仿宋"/>
          <w:sz w:val="32"/>
          <w:szCs w:val="32"/>
          <w:lang w:val="en-US"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bookmarkStart w:id="0" w:name="_GoBack"/>
      <w:bookmarkEnd w:id="0"/>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965152"/>
    <w:rsid w:val="08B301F5"/>
    <w:rsid w:val="0B76426A"/>
    <w:rsid w:val="0F2A1D3B"/>
    <w:rsid w:val="151011C6"/>
    <w:rsid w:val="192E125E"/>
    <w:rsid w:val="203B1B75"/>
    <w:rsid w:val="22470B38"/>
    <w:rsid w:val="238300DA"/>
    <w:rsid w:val="2D1E0AF2"/>
    <w:rsid w:val="2DE20FD6"/>
    <w:rsid w:val="2E347BD3"/>
    <w:rsid w:val="2E5B2D58"/>
    <w:rsid w:val="2F7C65AB"/>
    <w:rsid w:val="342C2A14"/>
    <w:rsid w:val="36B9022F"/>
    <w:rsid w:val="3AE83E0D"/>
    <w:rsid w:val="3C2E6E19"/>
    <w:rsid w:val="3F0E02A8"/>
    <w:rsid w:val="40943D7C"/>
    <w:rsid w:val="44915D3F"/>
    <w:rsid w:val="469C0F53"/>
    <w:rsid w:val="4DAB524C"/>
    <w:rsid w:val="532F32A8"/>
    <w:rsid w:val="552177C2"/>
    <w:rsid w:val="55684DAE"/>
    <w:rsid w:val="57012693"/>
    <w:rsid w:val="571049AE"/>
    <w:rsid w:val="5BD56F76"/>
    <w:rsid w:val="5DEE79FC"/>
    <w:rsid w:val="5FFF1342"/>
    <w:rsid w:val="6042745A"/>
    <w:rsid w:val="6244250D"/>
    <w:rsid w:val="68836A60"/>
    <w:rsid w:val="6C62394A"/>
    <w:rsid w:val="78495D48"/>
    <w:rsid w:val="78ED11E1"/>
    <w:rsid w:val="7985267A"/>
    <w:rsid w:val="7A9A23DB"/>
    <w:rsid w:val="7D1D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qFormat/>
    <w:uiPriority w:val="0"/>
    <w:pPr>
      <w:jc w:val="left"/>
    </w:pPr>
    <w:rPr>
      <w:rFonts w:hint="eastAsia" w:ascii="微软雅黑" w:hAnsi="微软雅黑" w:eastAsia="微软雅黑" w:cs="Times New Roman"/>
      <w:kern w:val="0"/>
      <w:sz w:val="24"/>
    </w:rPr>
  </w:style>
  <w:style w:type="paragraph" w:customStyle="1" w:styleId="7">
    <w:name w:val="Normal Indent1"/>
    <w:basedOn w:val="8"/>
    <w:next w:val="1"/>
    <w:qFormat/>
    <w:uiPriority w:val="0"/>
    <w:pPr>
      <w:spacing w:line="660" w:lineRule="exact"/>
    </w:pPr>
    <w:rPr>
      <w:rFonts w:ascii="Times New Roman" w:hAnsi="Times New Roman" w:cs="Times New Roman"/>
      <w:kern w:val="2"/>
      <w:szCs w:val="36"/>
    </w:rPr>
  </w:style>
  <w:style w:type="paragraph" w:customStyle="1" w:styleId="8">
    <w:name w:val="正文1"/>
    <w:basedOn w:val="1"/>
    <w:next w:val="7"/>
    <w:qFormat/>
    <w:uiPriority w:val="0"/>
    <w:pPr>
      <w:ind w:firstLine="420"/>
    </w:pPr>
    <w:rPr>
      <w:rFonts w:ascii="宋体" w:hAnsi="宋体" w:eastAsia="宋体"/>
      <w:color w:val="00B05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2025-01-21T09:07:00Z</dcterms:created>
  <dc:creator>1</dc:creator>
  <cp:lastModifiedBy>欧颖娇</cp:lastModifiedBy>
  <dcterms:modified xsi:type="dcterms:W3CDTF">2026-02-04T09:21:42Z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