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微软雅黑" w:hAnsi="微软雅黑" w:eastAsia="微软雅黑"/>
          <w:color w:val="000000"/>
          <w:sz w:val="24"/>
          <w:szCs w:val="24"/>
        </w:rPr>
      </w:pPr>
    </w:p>
    <w:p>
      <w:pPr>
        <w:pStyle w:val="4"/>
        <w:jc w:val="center"/>
        <w:rPr>
          <w:rFonts w:hint="eastAsia" w:ascii="微软雅黑" w:hAnsi="微软雅黑" w:eastAsia="微软雅黑"/>
          <w:b/>
          <w:color w:val="000000"/>
          <w:sz w:val="28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4"/>
        </w:rPr>
        <w:t>国家税务总局黄冈市税务局2026年后勤服务劳务外包项目</w:t>
      </w:r>
    </w:p>
    <w:p>
      <w:pPr>
        <w:pStyle w:val="4"/>
        <w:jc w:val="center"/>
        <w:rPr>
          <w:color w:val="auto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4"/>
        </w:rPr>
        <w:t>竞争性磋商公告</w:t>
      </w:r>
    </w:p>
    <w:tbl>
      <w:tblPr>
        <w:tblStyle w:val="6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90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【项目概况】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国家税务总局黄冈市税务局2026年后勤服务劳务外包项目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的潜在供应商应在一毂清风电子招投标交易平台（网址：www.hbncp.com.cn）获取采购文件，并于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点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分（北京时间）前提交响应文件。</w:t>
            </w:r>
          </w:p>
        </w:tc>
      </w:tr>
    </w:tbl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Toc109899940"/>
      <w:bookmarkStart w:id="1" w:name="_Toc109897422"/>
      <w:bookmarkStart w:id="2" w:name="_Toc109900359"/>
      <w:bookmarkStart w:id="3" w:name="_Toc163493600"/>
      <w:bookmarkStart w:id="4" w:name="_Toc109899521"/>
      <w:bookmarkStart w:id="5" w:name="_Toc7222"/>
      <w:bookmarkStart w:id="6" w:name="_Hlk158131820"/>
      <w:bookmarkStart w:id="7" w:name="_Hlk51796801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项目基本情况</w:t>
      </w:r>
      <w:bookmarkEnd w:id="0"/>
      <w:bookmarkEnd w:id="1"/>
      <w:bookmarkEnd w:id="2"/>
      <w:bookmarkEnd w:id="3"/>
      <w:bookmarkEnd w:id="4"/>
      <w:bookmarkEnd w:id="5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1、项目编号：HB2026-DLJC-C0011-B00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2、采购计划备案号：MB15249731769051183479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3、项目名称：国家税务总局黄冈市税务局2026年后勤服务劳务外包项目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4、采购方式：竞争性磋商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5、预算金额：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106.67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(万元)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6、最高限价：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106.67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(万元)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7、采购需求：2026年后勤服务劳务外包服务，包含食堂劳务外包服务人员不少于16人、绿化养护服务人员不少于2人、水电日常维护服务人员不少于3人。详见竞争性磋商文件第四章。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8、合同履行期限：合同签订之日起至2026年12月31日。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8" w:name="_Toc109900360"/>
      <w:bookmarkStart w:id="9" w:name="_Toc109899941"/>
      <w:bookmarkStart w:id="10" w:name="_Toc163493601"/>
      <w:bookmarkStart w:id="11" w:name="_Toc109899522"/>
      <w:bookmarkStart w:id="12" w:name="_Toc10989742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9、本项目（是/否）接受联合体投标：否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10、是否可采购进口产品：否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11、本项目（是/否）接受合同分包：否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12、本项目（是/否）专门面向中小微企业：是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13、面向中小微企业的类型为：中小微企业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13" w:name="_Toc4616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申请人</w:t>
      </w:r>
      <w:r>
        <w:rPr>
          <w:rFonts w:hint="eastAsia" w:ascii="宋体" w:hAnsi="宋体" w:eastAsia="宋体" w:cs="宋体"/>
          <w:sz w:val="28"/>
          <w:szCs w:val="28"/>
        </w:rPr>
        <w:t>资格要求</w:t>
      </w:r>
      <w:bookmarkEnd w:id="8"/>
      <w:bookmarkEnd w:id="9"/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满足《中华人民共和国政府采购法》第二十二条规定，即：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具有独立承担民事责任的能力；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具有良好的商业信誉和健全的财务会计制度；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8"/>
          <w:szCs w:val="28"/>
        </w:rPr>
        <w:t>具有履行合同所必需的设备和专业技术能力；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（4）</w:t>
      </w: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有依法缴纳税收和社会保障资金的良好记录；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（5）</w:t>
      </w:r>
      <w:r>
        <w:rPr>
          <w:rFonts w:hint="eastAsia" w:ascii="宋体" w:hAnsi="宋体" w:eastAsia="宋体" w:cs="宋体"/>
          <w:sz w:val="28"/>
          <w:szCs w:val="28"/>
        </w:rPr>
        <w:t>参加政府采购活动前三年内，在经营活动中没有重大违法记录；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（6）</w:t>
      </w:r>
      <w:r>
        <w:rPr>
          <w:rFonts w:hint="eastAsia" w:ascii="宋体" w:hAnsi="宋体" w:eastAsia="宋体" w:cs="宋体"/>
          <w:sz w:val="28"/>
          <w:szCs w:val="28"/>
        </w:rPr>
        <w:t>法律、行政法规规定的其他条件。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bookmarkStart w:id="14" w:name="_Hlk89807755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2、未被列入失信被执行人、重大税收违法失信主体，未被列入政府采购严重违法失信行为记录名单。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单位负责人为同一人或者存在直接控股、管理关系的不同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，不得参加本项目同一合同项下的政府采购活动。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为本采购项目提供整体设计、规范编制或者项目管理、监理、检测等服务的，不得再参加本项目的其他招标采购活动。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本项目的特定资格要求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/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6、落实政府采购政策需满足的资格要求：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专门面向中小企业（监狱企业、残疾人福利性单位、符合中小企业划分标准的个体工商户视同中小企业）。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</w:rPr>
        <w:t xml:space="preserve">  </w:t>
      </w:r>
    </w:p>
    <w:bookmarkEnd w:id="6"/>
    <w:bookmarkEnd w:id="7"/>
    <w:bookmarkEnd w:id="14"/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5" w:name="_Toc2035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获取采购文件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1、时间：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日至202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每天08:00至12:00，14:00至17:30（北京时间，法定节假日除外）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2、地点：一毂清风电子招投标交易平台（网址：www.hbncp.com.cn）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（1）本项目交易网站为一毂清风电子招投标交易平台（网址：www.hbncp.com.cn），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应在此网上完成主体机构注册并办理电子签章；</w:t>
      </w:r>
    </w:p>
    <w:p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（2）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登录网站进行报名，报名成功后在上述规定的时间内自行下载电子版的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（3）办理网上主体机构注册及电子签章相关事宜可拨打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电话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400-112-9919或咨询客服（QQ：800182906）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4、售价：0(元)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6" w:name="_Toc31289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响应文件提交</w:t>
      </w:r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截止时间：202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日08点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通过一毂清风电子招投标交易平台（网址：www.hbncp.com.cn）进行上传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7" w:name="_Toc20699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开启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1、时间：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日08点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2、地点：202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日08点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0分至0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0分（北京时间）进入一毂清风供应商客户端系统开标大厅中进行远程开启（解密）。（磋商方式为网络远程视频磋商，供应商不用到现场）。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8" w:name="_Toc2056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公告期限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自本公告发布之日起3个工作日。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9" w:name="_Toc1304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其他补充事宜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、信息发布媒介：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中国政府采购网（http://www.ccgp.gov.cn/）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一毂清风电子招投标交易平台（网址：www.hbncp.com.cn）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公告发布时间：202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20" w:name="_Toc3169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凡对本次采购提出询问，请按以下方式联系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称：国家税务总局黄冈市税务局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址：黄冈市黄州区沿江大道26号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联 系 人：薛康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联系方式：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0713-8836048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名称：保都项目管理（集团）有限公司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地址：黄州区东门路39号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联系方式：0713-8382306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项目联系人：龙珊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电话：0713-8382306</w:t>
      </w:r>
    </w:p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F35FD9"/>
    <w:rsid w:val="3A6F706D"/>
    <w:rsid w:val="65F1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00" w:lineRule="exact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00" w:lineRule="exact"/>
      <w:ind w:firstLine="883" w:firstLineChars="200"/>
      <w:outlineLvl w:val="1"/>
    </w:pPr>
    <w:rPr>
      <w:rFonts w:ascii="Cambria" w:hAnsi="Cambria" w:cs="宋体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widowControl/>
      <w:spacing w:after="200" w:line="252" w:lineRule="auto"/>
      <w:ind w:left="720"/>
      <w:contextualSpacing/>
      <w:jc w:val="left"/>
    </w:pPr>
    <w:rPr>
      <w:rFonts w:ascii="Calibri Light" w:hAnsi="Calibri Light"/>
      <w:kern w:val="0"/>
      <w:sz w:val="22"/>
      <w:lang w:eastAsia="en-US" w:bidi="en-US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微软雅黑" w:hAnsi="微软雅黑" w:eastAsia="微软雅黑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2026-01-23T08:17:00Z</dcterms:created>
  <dc:creator>王娜</dc:creator>
  <cp:lastModifiedBy>许江</cp:lastModifiedBy>
  <dcterms:modified xsi:type="dcterms:W3CDTF">2026-01-23T08:40:22Z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