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年国家税务总局武汉市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汉阳</w:t>
      </w:r>
      <w:r>
        <w:rPr>
          <w:rFonts w:hint="eastAsia" w:ascii="方正小标宋简体" w:eastAsia="方正小标宋简体"/>
          <w:sz w:val="44"/>
          <w:szCs w:val="44"/>
        </w:rPr>
        <w:t>区税务局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政府信息公开工作年度报告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年，国家税务总局武汉市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汉阳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区税务局（以下简称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“汉阳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税务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）坚持以习近平新时代中国特色社会主义思想为指导，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认真落实《中华人民共和国政府信息公开条例》，严格按照市税务局和区委、区政府各项通知要求，以纳税人缴费人需求为导向，深化公开内容，增强公开实效，持续推进政务公开工作更加规范化、标准化、常态化，切实保障公众知情权、参与权和监督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主动公开情况。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充分发挥门户网站、办税服务厅公告栏等信息发布平台的作用，依法依规做好政府信息公开工作，及时</w:t>
      </w:r>
      <w:r>
        <w:rPr>
          <w:rFonts w:hint="eastAsia" w:ascii="仿宋_GB2312" w:eastAsia="仿宋_GB2312"/>
          <w:color w:val="auto"/>
          <w:sz w:val="32"/>
          <w:szCs w:val="32"/>
        </w:rPr>
        <w:t>向社会公开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机构职能、政府信息公开指南</w:t>
      </w:r>
      <w:r>
        <w:rPr>
          <w:rFonts w:hint="eastAsia" w:ascii="仿宋_GB2312" w:eastAsia="仿宋_GB2312"/>
          <w:color w:val="auto"/>
          <w:sz w:val="32"/>
          <w:szCs w:val="32"/>
        </w:rPr>
        <w:t>、税收政策法规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等信息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据统计，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汉阳区税务局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年全年共公开非正常户公告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3663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条、欠税公告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945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个体工商户定额公示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34470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行政处罚处理决定数量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3627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、行政许可处理决定数量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楷体_GB2312" w:eastAsia="楷体_GB2312"/>
          <w:b/>
          <w:bCs w:val="0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bCs w:val="0"/>
          <w:color w:val="auto"/>
          <w:sz w:val="32"/>
          <w:szCs w:val="32"/>
        </w:rPr>
        <w:t>）依申请公开情况。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始终认真做好依申请公开工作，确保依申请公开工作运转规范、申请渠道畅通，依法保障公民、法人和其他组织获取政府信息的权利。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汉阳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税务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局依法受理了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件依申请公开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严格依照《中华人民共和国政府信息公开条例》等文件要求办理。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政府信息管理情况。</w:t>
      </w:r>
      <w:r>
        <w:rPr>
          <w:rFonts w:hint="eastAsia" w:ascii="仿宋_GB2312" w:eastAsia="仿宋_GB2312"/>
          <w:sz w:val="32"/>
          <w:szCs w:val="32"/>
          <w:lang w:eastAsia="zh-CN"/>
        </w:rPr>
        <w:t>贯彻公开理念，将政府信息公开工作贯穿税收工作全过程。抓好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公开审核，坚持“先审查后公开”和“一事一审”原则，压实内容审核、保密审查主体责任。在依申请公开办理中按照工作规范做好登记、审核</w:t>
      </w:r>
      <w:r>
        <w:rPr>
          <w:rFonts w:hint="eastAsia" w:ascii="仿宋_GB2312" w:eastAsia="仿宋_GB2312"/>
          <w:sz w:val="32"/>
          <w:szCs w:val="32"/>
        </w:rPr>
        <w:t>、办理、答复、归档等流程，</w:t>
      </w:r>
      <w:r>
        <w:rPr>
          <w:rFonts w:hint="eastAsia" w:ascii="仿宋_GB2312" w:eastAsia="仿宋_GB2312"/>
          <w:sz w:val="32"/>
          <w:szCs w:val="32"/>
          <w:lang w:eastAsia="zh-CN"/>
        </w:rPr>
        <w:t>信息公开工作流程按相关政策运转有序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平台建设情况。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持续推进行政执法公示制度，依法及时主动向社会公开、更新有关税收执法信息。依托武汉市税务局</w:t>
      </w:r>
      <w:r>
        <w:rPr>
          <w:rFonts w:hint="eastAsia" w:ascii="仿宋_GB2312" w:eastAsia="仿宋_GB2312"/>
          <w:color w:val="auto"/>
          <w:sz w:val="32"/>
          <w:szCs w:val="32"/>
        </w:rPr>
        <w:t>门户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网站政府信息公开栏目开展政府信息公开公示，按时更新，确保公开信息准确性和时效性。同时</w:t>
      </w:r>
      <w:r>
        <w:rPr>
          <w:rFonts w:hint="eastAsia" w:ascii="仿宋_GB2312" w:eastAsia="仿宋_GB2312"/>
          <w:color w:val="auto"/>
          <w:sz w:val="32"/>
          <w:szCs w:val="32"/>
        </w:rPr>
        <w:t>利用武汉市税务局网站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和汉阳区政府网站</w:t>
      </w:r>
      <w:r>
        <w:rPr>
          <w:rFonts w:hint="eastAsia" w:ascii="仿宋_GB2312" w:eastAsia="仿宋_GB2312"/>
          <w:color w:val="auto"/>
          <w:sz w:val="32"/>
          <w:szCs w:val="32"/>
        </w:rPr>
        <w:t>接受依申请公开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（五）监督保障情况。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严格执行政府信息公开保密审查制度，遵循“谁公开谁审查”原则，依法依规对拟公开的政府信息进行保密审查，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确保政府信息公开工作合理合法。加强日常监管，强化跟踪督导，确保各项信息公开事项按照规定时间发布，按时回复申请人，进一步增强工作的主动性，及时跟进意见建议反馈。</w:t>
      </w: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highlight w:val="yellow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　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3627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　  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ind w:firstLine="643" w:firstLineChars="200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shd w:val="clear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 xml:space="preserve">53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>
      <w:pPr>
        <w:ind w:firstLine="643" w:firstLineChars="200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eastAsia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 w:eastAsiaTheme="minorEastAsia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1</w:t>
            </w:r>
            <w:r>
              <w:rPr>
                <w:rFonts w:hint="eastAsia" w:asciiTheme="minorAscii" w:hAnsiTheme="minorAscii"/>
                <w:lang w:val="en-US" w:eastAsia="zh-CN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 w:eastAsiaTheme="minorEastAsia"/>
                <w:lang w:val="en-US" w:eastAsia="zh-CN"/>
              </w:rPr>
            </w:pPr>
            <w:r>
              <w:rPr>
                <w:rFonts w:hint="default" w:asciiTheme="minorAscii" w:hAnsiTheme="minorAscii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</w:rPr>
            </w:pPr>
            <w:r>
              <w:rPr>
                <w:rFonts w:hint="eastAsia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Ascii" w:hAnsiTheme="minorAscii"/>
                <w:lang w:val="en-US"/>
              </w:rPr>
            </w:pPr>
            <w:r>
              <w:rPr>
                <w:rFonts w:hint="default" w:eastAsia="黑体" w:cs="黑体" w:asciiTheme="minorAscii" w:hAns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 w:hAnsiTheme="minorAscii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，汉阳区税务局政府信息公开工作虽取得一定成绩，但与上级要求和公众需求还存在差距，在政务信息更新的及时性准确性和公开形式多样性上存在不足。下一步，汉阳区税务局将从以下两个方面改进：一是强化内容管理，加强政务公开人员业务培训，保证公开内容的准确性，避免出现错字、漏字、不规范表述等情况。二是探索公开方式，围绕公众关心关切，以图解、视频等通俗易懂、公众喜闻乐见的形式积极开展税费政策宣传，提升公开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2025年无政府信息处理费收取、建议提案办理公开、重点领域政府信息公开等情况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国家税务总局武汉市汉阳区税务局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2026年1月8日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788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510"/>
    <w:rsid w:val="00011F61"/>
    <w:rsid w:val="0002431F"/>
    <w:rsid w:val="00097F9C"/>
    <w:rsid w:val="000F47C6"/>
    <w:rsid w:val="00104769"/>
    <w:rsid w:val="00135684"/>
    <w:rsid w:val="001372C4"/>
    <w:rsid w:val="001516BE"/>
    <w:rsid w:val="001E5CD8"/>
    <w:rsid w:val="00203229"/>
    <w:rsid w:val="002303F3"/>
    <w:rsid w:val="003233F0"/>
    <w:rsid w:val="003606F5"/>
    <w:rsid w:val="0041369D"/>
    <w:rsid w:val="00424B34"/>
    <w:rsid w:val="00430E4A"/>
    <w:rsid w:val="00480B06"/>
    <w:rsid w:val="004B29B0"/>
    <w:rsid w:val="004C024C"/>
    <w:rsid w:val="00507407"/>
    <w:rsid w:val="005359AB"/>
    <w:rsid w:val="00552888"/>
    <w:rsid w:val="00562544"/>
    <w:rsid w:val="005C1F5A"/>
    <w:rsid w:val="005F2DD5"/>
    <w:rsid w:val="006B403B"/>
    <w:rsid w:val="006B599A"/>
    <w:rsid w:val="006C5005"/>
    <w:rsid w:val="00703FD1"/>
    <w:rsid w:val="0072407C"/>
    <w:rsid w:val="007C6AC3"/>
    <w:rsid w:val="00862220"/>
    <w:rsid w:val="00914CC7"/>
    <w:rsid w:val="009634F4"/>
    <w:rsid w:val="009A7E39"/>
    <w:rsid w:val="009E6895"/>
    <w:rsid w:val="00A03D0B"/>
    <w:rsid w:val="00A10F49"/>
    <w:rsid w:val="00AC6896"/>
    <w:rsid w:val="00B2394A"/>
    <w:rsid w:val="00BB5BFB"/>
    <w:rsid w:val="00BC1269"/>
    <w:rsid w:val="00C329B3"/>
    <w:rsid w:val="00C82F2D"/>
    <w:rsid w:val="00CD4E6B"/>
    <w:rsid w:val="00D307A2"/>
    <w:rsid w:val="00D4510E"/>
    <w:rsid w:val="00DE255A"/>
    <w:rsid w:val="00DE3AC8"/>
    <w:rsid w:val="00DF255D"/>
    <w:rsid w:val="00E02459"/>
    <w:rsid w:val="00E8653B"/>
    <w:rsid w:val="00E9238D"/>
    <w:rsid w:val="00EB0CDE"/>
    <w:rsid w:val="00FC3D33"/>
    <w:rsid w:val="058B27BA"/>
    <w:rsid w:val="059B0E64"/>
    <w:rsid w:val="07F51B03"/>
    <w:rsid w:val="08C6375E"/>
    <w:rsid w:val="09AC5E49"/>
    <w:rsid w:val="0A673B3C"/>
    <w:rsid w:val="0A75507E"/>
    <w:rsid w:val="0B5F18E4"/>
    <w:rsid w:val="0B711E5C"/>
    <w:rsid w:val="0C776362"/>
    <w:rsid w:val="0C884EF7"/>
    <w:rsid w:val="0CC37CDD"/>
    <w:rsid w:val="0D2710F4"/>
    <w:rsid w:val="0D7D067D"/>
    <w:rsid w:val="0DCB00EE"/>
    <w:rsid w:val="0FC70323"/>
    <w:rsid w:val="102329FB"/>
    <w:rsid w:val="10C603DB"/>
    <w:rsid w:val="12C25E65"/>
    <w:rsid w:val="143D79CC"/>
    <w:rsid w:val="151344F7"/>
    <w:rsid w:val="160B3E41"/>
    <w:rsid w:val="171714A8"/>
    <w:rsid w:val="199161CC"/>
    <w:rsid w:val="1A18382C"/>
    <w:rsid w:val="1A1B2052"/>
    <w:rsid w:val="1CB811B1"/>
    <w:rsid w:val="1D5D6F6E"/>
    <w:rsid w:val="1DA86E79"/>
    <w:rsid w:val="1F971CC3"/>
    <w:rsid w:val="208B3827"/>
    <w:rsid w:val="230A589B"/>
    <w:rsid w:val="23156D62"/>
    <w:rsid w:val="28C50D46"/>
    <w:rsid w:val="28FF6EBA"/>
    <w:rsid w:val="2FFC6B77"/>
    <w:rsid w:val="34B37681"/>
    <w:rsid w:val="361300F6"/>
    <w:rsid w:val="37D11EFD"/>
    <w:rsid w:val="39FA1AD7"/>
    <w:rsid w:val="3A6913B8"/>
    <w:rsid w:val="3EE055EE"/>
    <w:rsid w:val="3FDE496D"/>
    <w:rsid w:val="45E33F10"/>
    <w:rsid w:val="466C0BF4"/>
    <w:rsid w:val="46CD6780"/>
    <w:rsid w:val="46E30BB0"/>
    <w:rsid w:val="4A752AD2"/>
    <w:rsid w:val="4D5C00B7"/>
    <w:rsid w:val="4E1B088E"/>
    <w:rsid w:val="4EBB7A98"/>
    <w:rsid w:val="4EFA6944"/>
    <w:rsid w:val="515C7C2C"/>
    <w:rsid w:val="53B45BC7"/>
    <w:rsid w:val="546578A5"/>
    <w:rsid w:val="55C56883"/>
    <w:rsid w:val="563B3B6C"/>
    <w:rsid w:val="56F10E9B"/>
    <w:rsid w:val="5D575546"/>
    <w:rsid w:val="600D6988"/>
    <w:rsid w:val="64211D42"/>
    <w:rsid w:val="654F4560"/>
    <w:rsid w:val="65A519C3"/>
    <w:rsid w:val="65D00ECB"/>
    <w:rsid w:val="685A3635"/>
    <w:rsid w:val="69EC66F2"/>
    <w:rsid w:val="6A0F5B4B"/>
    <w:rsid w:val="6A612327"/>
    <w:rsid w:val="6A646245"/>
    <w:rsid w:val="6AD35938"/>
    <w:rsid w:val="6B814CDE"/>
    <w:rsid w:val="6CE03C2E"/>
    <w:rsid w:val="6EA52A7B"/>
    <w:rsid w:val="72087EA4"/>
    <w:rsid w:val="740D4DF9"/>
    <w:rsid w:val="74B00126"/>
    <w:rsid w:val="769532AF"/>
    <w:rsid w:val="7A811918"/>
    <w:rsid w:val="7B994ECE"/>
    <w:rsid w:val="7CAF5A24"/>
    <w:rsid w:val="7F46451B"/>
    <w:rsid w:val="7FC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46B536-3BAE-4485-B935-A1B547288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509</Words>
  <Characters>2904</Characters>
  <Lines>24</Lines>
  <Paragraphs>6</Paragraphs>
  <TotalTime>10</TotalTime>
  <ScaleCrop>false</ScaleCrop>
  <LinksUpToDate>false</LinksUpToDate>
  <CharactersWithSpaces>3407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2021-01-07T09:13:00Z</dcterms:created>
  <dc:creator>胡萍</dc:creator>
  <cp:lastModifiedBy>冯文峥</cp:lastModifiedBy>
  <cp:lastPrinted>2026-01-09T08:00:00Z</cp:lastPrinted>
  <dcterms:modified xsi:type="dcterms:W3CDTF">2026-01-21T07:24:17Z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