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eastAsia" w:asciiTheme="majorEastAsia" w:hAnsiTheme="majorEastAsia" w:eastAsiaTheme="majorEastAsia" w:cstheme="majorEastAsia"/>
          <w:b/>
          <w:sz w:val="44"/>
          <w:szCs w:val="44"/>
          <w:lang w:eastAsia="zh-CN"/>
        </w:rPr>
      </w:pPr>
      <w:bookmarkStart w:id="0" w:name="_GoBack"/>
      <w:r>
        <w:rPr>
          <w:rFonts w:hint="eastAsia" w:asciiTheme="majorEastAsia" w:hAnsiTheme="majorEastAsia" w:eastAsiaTheme="majorEastAsia" w:cstheme="majorEastAsia"/>
          <w:b/>
          <w:sz w:val="44"/>
          <w:szCs w:val="44"/>
          <w:lang w:eastAsia="zh-CN"/>
        </w:rPr>
        <w:t>国家税务总局武汉市新洲区税务局</w:t>
      </w:r>
    </w:p>
    <w:p>
      <w:pPr>
        <w:keepNext w:val="0"/>
        <w:keepLines w:val="0"/>
        <w:pageBreakBefore w:val="0"/>
        <w:widowControl/>
        <w:kinsoku/>
        <w:wordWrap/>
        <w:overflowPunct/>
        <w:topLinePunct w:val="0"/>
        <w:autoSpaceDE/>
        <w:autoSpaceDN/>
        <w:bidi w:val="0"/>
        <w:adjustRightInd w:val="0"/>
        <w:snapToGrid w:val="0"/>
        <w:spacing w:after="0" w:line="50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sz w:val="44"/>
          <w:szCs w:val="44"/>
          <w:lang w:eastAsia="zh-CN"/>
        </w:rPr>
        <w:t>2021年度法治政府建设工作情况报告</w:t>
      </w:r>
    </w:p>
    <w:bookmarkEnd w:id="0"/>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2021年是“十四五”规划开局之年，新洲区税务局在市局党委和区委区政府的坚强领导下，坚持以习近平新时代中国特色社会主义思想为引领</w:t>
      </w:r>
      <w:r>
        <w:rPr>
          <w:rFonts w:hint="eastAsia" w:ascii="仿宋" w:hAnsi="仿宋" w:eastAsia="仿宋" w:cs="仿宋"/>
          <w:sz w:val="32"/>
          <w:szCs w:val="32"/>
        </w:rPr>
        <w:t>，</w:t>
      </w:r>
      <w:r>
        <w:rPr>
          <w:rFonts w:hint="eastAsia" w:ascii="仿宋" w:hAnsi="仿宋" w:eastAsia="仿宋" w:cs="仿宋"/>
          <w:sz w:val="32"/>
          <w:szCs w:val="32"/>
          <w:lang w:eastAsia="zh-CN"/>
        </w:rPr>
        <w:t>奋力谱写新发展阶段新洲税务法治建设新篇章，</w:t>
      </w:r>
      <w:r>
        <w:rPr>
          <w:rFonts w:hint="eastAsia" w:ascii="仿宋" w:hAnsi="仿宋" w:eastAsia="仿宋" w:cs="仿宋"/>
          <w:sz w:val="32"/>
          <w:szCs w:val="32"/>
        </w:rPr>
        <w:t>现将新洲区税务局2021年法治政府建设工作情况汇报如下：</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color w:val="auto"/>
          <w:sz w:val="32"/>
          <w:szCs w:val="32"/>
        </w:rPr>
        <w:t>2021年法治建设重要举措和主要亮点</w:t>
      </w:r>
    </w:p>
    <w:p>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深入学习贯彻习近平法治思想</w:t>
      </w:r>
      <w:r>
        <w:rPr>
          <w:rFonts w:hint="eastAsia" w:ascii="楷体" w:hAnsi="楷体" w:eastAsia="楷体" w:cs="楷体"/>
          <w:b/>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1.坚持和加强党的全面领导。</w:t>
      </w:r>
      <w:r>
        <w:rPr>
          <w:rFonts w:hint="eastAsia" w:ascii="仿宋" w:hAnsi="仿宋" w:eastAsia="仿宋" w:cs="仿宋"/>
          <w:sz w:val="32"/>
          <w:szCs w:val="32"/>
          <w:lang w:val="en-US" w:eastAsia="zh-CN"/>
        </w:rPr>
        <w:t>坚持贯彻落实习近平法治思想，把思想和行动统一到习近平法治思想和重要讲话精神部署要求上来，同时围绕中央、省、市、区委，总局、省局、市局党史学习教育动员部署会议精神、党的十九届六中全会精神、党的政治建设和全面从严治党、落实减税降费等专题进行深入学习，不断增强“四个意识”、坚定“四个自信”、做到“两个维护”。</w:t>
      </w:r>
    </w:p>
    <w:p>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（二）健全政府机构职能体系，依法全面履行税收工作职能。</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2.科学统筹收入任务。</w:t>
      </w:r>
      <w:r>
        <w:rPr>
          <w:rFonts w:hint="eastAsia" w:ascii="仿宋_GB2312" w:hAnsi="仿宋_GB2312" w:eastAsia="仿宋_GB2312" w:cs="仿宋_GB2312"/>
          <w:sz w:val="32"/>
          <w:szCs w:val="32"/>
          <w:highlight w:val="none"/>
        </w:rPr>
        <w:t>坚决执行组织收入纪律，做到依法征税、应收尽收、坚决不收过头税、坚决防止和制止越权减免税。</w:t>
      </w:r>
      <w:r>
        <w:rPr>
          <w:rFonts w:hint="eastAsia" w:ascii="仿宋_GB2312" w:hAnsi="仿宋_GB2312" w:eastAsia="仿宋_GB2312" w:cs="仿宋_GB2312"/>
          <w:sz w:val="32"/>
          <w:szCs w:val="32"/>
          <w:highlight w:val="none"/>
          <w:lang w:eastAsia="zh-CN"/>
        </w:rPr>
        <w:t>主动研究区域经济发展，</w:t>
      </w:r>
      <w:r>
        <w:rPr>
          <w:rFonts w:hint="eastAsia" w:ascii="仿宋_GB2312" w:hAnsi="仿宋_GB2312" w:eastAsia="仿宋_GB2312" w:cs="仿宋_GB2312"/>
          <w:sz w:val="32"/>
          <w:szCs w:val="32"/>
          <w:highlight w:val="none"/>
        </w:rPr>
        <w:t>加强</w:t>
      </w:r>
      <w:r>
        <w:rPr>
          <w:rFonts w:hint="eastAsia" w:ascii="仿宋_GB2312" w:hAnsi="仿宋_GB2312" w:eastAsia="仿宋_GB2312" w:cs="仿宋_GB2312"/>
          <w:sz w:val="32"/>
          <w:szCs w:val="32"/>
          <w:highlight w:val="none"/>
          <w:lang w:eastAsia="zh-CN"/>
        </w:rPr>
        <w:t>经济税收形势</w:t>
      </w:r>
      <w:r>
        <w:rPr>
          <w:rFonts w:hint="eastAsia" w:ascii="仿宋_GB2312" w:hAnsi="仿宋_GB2312" w:eastAsia="仿宋_GB2312" w:cs="仿宋_GB2312"/>
          <w:sz w:val="32"/>
          <w:szCs w:val="32"/>
          <w:highlight w:val="none"/>
        </w:rPr>
        <w:t>研判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持续提升收入分析预测能力，</w:t>
      </w:r>
      <w:r>
        <w:rPr>
          <w:rFonts w:hint="eastAsia" w:ascii="仿宋_GB2312" w:hAnsi="仿宋_GB2312" w:eastAsia="仿宋_GB2312" w:cs="仿宋_GB2312"/>
          <w:sz w:val="32"/>
          <w:szCs w:val="32"/>
          <w:highlight w:val="none"/>
          <w:lang w:eastAsia="zh-CN"/>
        </w:rPr>
        <w:t>做到</w:t>
      </w:r>
      <w:r>
        <w:rPr>
          <w:rFonts w:hint="eastAsia" w:ascii="仿宋_GB2312" w:hAnsi="仿宋_GB2312" w:eastAsia="仿宋_GB2312" w:cs="仿宋_GB2312"/>
          <w:sz w:val="32"/>
          <w:szCs w:val="32"/>
          <w:highlight w:val="none"/>
        </w:rPr>
        <w:t>均衡入库。</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highlight w:val="yellow"/>
          <w:lang w:val="en-US" w:eastAsia="zh-CN"/>
        </w:rPr>
      </w:pPr>
      <w:r>
        <w:rPr>
          <w:rFonts w:hint="eastAsia" w:ascii="仿宋" w:hAnsi="仿宋" w:eastAsia="仿宋" w:cs="仿宋"/>
          <w:b/>
          <w:bCs/>
          <w:sz w:val="32"/>
          <w:szCs w:val="32"/>
          <w:highlight w:val="none"/>
          <w:lang w:val="en-US" w:eastAsia="zh-CN"/>
        </w:rPr>
        <w:t>3.落实减税降费政策。</w:t>
      </w:r>
      <w:r>
        <w:rPr>
          <w:rFonts w:hint="eastAsia" w:ascii="仿宋_GB2312" w:hAnsi="仿宋_GB2312" w:eastAsia="仿宋_GB2312" w:cs="仿宋_GB2312"/>
          <w:sz w:val="32"/>
          <w:szCs w:val="32"/>
          <w:highlight w:val="none"/>
        </w:rPr>
        <w:t>不折</w:t>
      </w:r>
      <w:r>
        <w:rPr>
          <w:rFonts w:hint="eastAsia" w:ascii="仿宋_GB2312" w:hAnsi="仿宋_GB2312" w:eastAsia="仿宋_GB2312" w:cs="仿宋_GB2312"/>
          <w:sz w:val="32"/>
          <w:szCs w:val="32"/>
        </w:rPr>
        <w:t>不扣落实继续实施的税费优惠政策，推动政策红利直达市场主体。突出落实税收支持科技创新优惠政策，全力支持创新驱动发展战略</w:t>
      </w:r>
      <w:r>
        <w:rPr>
          <w:rFonts w:hint="eastAsia" w:ascii="仿宋_GB2312" w:hAnsi="仿宋_GB2312" w:eastAsia="仿宋_GB2312" w:cs="仿宋_GB2312"/>
          <w:sz w:val="32"/>
          <w:szCs w:val="32"/>
          <w:lang w:eastAsia="zh-CN"/>
        </w:rPr>
        <w:t>。密切</w:t>
      </w:r>
      <w:r>
        <w:rPr>
          <w:rFonts w:hint="eastAsia" w:ascii="仿宋_GB2312" w:hAnsi="仿宋_GB2312" w:eastAsia="仿宋_GB2312" w:cs="仿宋_GB2312"/>
          <w:sz w:val="32"/>
          <w:szCs w:val="32"/>
          <w:lang w:val="en-US" w:eastAsia="zh-CN"/>
        </w:rPr>
        <w:t>跟踪减税降费政策变化情况，</w:t>
      </w:r>
      <w:r>
        <w:rPr>
          <w:rFonts w:hint="eastAsia" w:ascii="仿宋_GB2312" w:hAnsi="仿宋_GB2312" w:eastAsia="仿宋_GB2312" w:cs="仿宋_GB2312"/>
          <w:sz w:val="32"/>
          <w:szCs w:val="32"/>
          <w:lang w:eastAsia="zh-CN"/>
        </w:rPr>
        <w:t>运用</w:t>
      </w:r>
      <w:r>
        <w:rPr>
          <w:rFonts w:hint="eastAsia" w:ascii="仿宋_GB2312" w:hAnsi="仿宋_GB2312" w:eastAsia="仿宋_GB2312" w:cs="仿宋_GB2312"/>
          <w:sz w:val="32"/>
          <w:szCs w:val="32"/>
        </w:rPr>
        <w:t>税收大数据对减税降费成效进行实时监控，确保</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目标群体应享尽享优惠政策。</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4.开展税收经济分析。</w:t>
      </w:r>
      <w:r>
        <w:rPr>
          <w:rFonts w:hint="eastAsia" w:ascii="仿宋" w:hAnsi="仿宋" w:eastAsia="仿宋" w:cs="仿宋"/>
          <w:sz w:val="32"/>
          <w:szCs w:val="32"/>
          <w:lang w:val="zh-CN" w:eastAsia="zh-CN"/>
        </w:rPr>
        <w:t>坚持围绕中心，服务大局，主动剖析税收与经济运行的关系，加强对税收经济运行情况和政策效应情况的分析。先后对建筑业、房地产业、制造业等行业联合开展了税收经济分析，基层所对相关行业自行开展税收经济分析，撰写税收经济分析报告17篇，多篇报告得到了区委区政府主要领导签批。</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b/>
          <w:bCs/>
          <w:sz w:val="32"/>
          <w:szCs w:val="32"/>
          <w:lang w:val="en-US" w:eastAsia="zh-CN"/>
        </w:rPr>
        <w:t>5.严格落实行政审批制度。</w:t>
      </w:r>
      <w:r>
        <w:rPr>
          <w:rFonts w:hint="eastAsia" w:ascii="仿宋" w:hAnsi="仿宋" w:eastAsia="仿宋" w:cs="仿宋"/>
          <w:sz w:val="32"/>
          <w:szCs w:val="32"/>
          <w:lang w:val="zh-CN" w:eastAsia="zh-CN"/>
        </w:rPr>
        <w:t>2021年区局受理增值税专用发票（增值税税款系统）最高开票限额审批共</w:t>
      </w:r>
      <w:r>
        <w:rPr>
          <w:rFonts w:hint="eastAsia" w:ascii="仿宋" w:hAnsi="仿宋" w:eastAsia="仿宋" w:cs="仿宋"/>
          <w:sz w:val="32"/>
          <w:szCs w:val="32"/>
          <w:lang w:val="en-US" w:eastAsia="zh-CN"/>
        </w:rPr>
        <w:t>4041户次，</w:t>
      </w:r>
      <w:r>
        <w:rPr>
          <w:rFonts w:hint="eastAsia" w:ascii="仿宋" w:hAnsi="仿宋" w:eastAsia="仿宋" w:cs="仿宋"/>
          <w:sz w:val="32"/>
          <w:szCs w:val="32"/>
          <w:lang w:val="zh-CN" w:eastAsia="zh-CN"/>
        </w:rPr>
        <w:t>对纳税人延期申报的核准共</w:t>
      </w:r>
      <w:r>
        <w:rPr>
          <w:rFonts w:hint="eastAsia" w:ascii="仿宋" w:hAnsi="仿宋" w:eastAsia="仿宋" w:cs="仿宋"/>
          <w:sz w:val="32"/>
          <w:szCs w:val="32"/>
          <w:lang w:val="en-US" w:eastAsia="zh-CN"/>
        </w:rPr>
        <w:t>47户次</w:t>
      </w:r>
      <w:r>
        <w:rPr>
          <w:rFonts w:hint="eastAsia" w:ascii="仿宋" w:hAnsi="仿宋" w:eastAsia="仿宋" w:cs="仿宋"/>
          <w:sz w:val="32"/>
          <w:szCs w:val="32"/>
          <w:lang w:val="zh-CN" w:eastAsia="zh-CN"/>
        </w:rPr>
        <w:t>，对纳税人延期缴纳税款的核准</w:t>
      </w:r>
      <w:r>
        <w:rPr>
          <w:rFonts w:hint="eastAsia" w:ascii="仿宋" w:hAnsi="仿宋" w:eastAsia="仿宋" w:cs="仿宋"/>
          <w:sz w:val="32"/>
          <w:szCs w:val="32"/>
          <w:lang w:val="en-US" w:eastAsia="zh-CN"/>
        </w:rPr>
        <w:t>2户次</w:t>
      </w:r>
      <w:r>
        <w:rPr>
          <w:rFonts w:hint="eastAsia" w:ascii="仿宋" w:hAnsi="仿宋" w:eastAsia="仿宋" w:cs="仿宋"/>
          <w:sz w:val="32"/>
          <w:szCs w:val="32"/>
          <w:lang w:val="zh-CN" w:eastAsia="zh-CN"/>
        </w:rPr>
        <w:t>，均在承诺时限内办结。</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健全依法行政制度体系，不断提高税收制度建设质量</w:t>
      </w:r>
      <w:r>
        <w:rPr>
          <w:rFonts w:hint="eastAsia" w:ascii="楷体" w:hAnsi="楷体" w:eastAsia="楷体" w:cs="楷体"/>
          <w:b/>
          <w:bCs/>
          <w:sz w:val="32"/>
          <w:szCs w:val="32"/>
          <w:lang w:eastAsia="zh-CN"/>
        </w:rPr>
        <w:t>。</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sz w:val="32"/>
          <w:szCs w:val="32"/>
          <w:highlight w:val="none"/>
          <w:lang w:val="en-US" w:eastAsia="zh-CN"/>
        </w:rPr>
        <w:t>6.完善配套服务制度。</w:t>
      </w:r>
      <w:r>
        <w:rPr>
          <w:rFonts w:hint="eastAsia" w:ascii="仿宋" w:hAnsi="仿宋" w:eastAsia="仿宋" w:cs="仿宋"/>
          <w:b w:val="0"/>
          <w:bCs w:val="0"/>
          <w:color w:val="auto"/>
          <w:sz w:val="32"/>
          <w:szCs w:val="32"/>
          <w:highlight w:val="none"/>
          <w:lang w:val="en-US" w:eastAsia="zh-CN"/>
        </w:rPr>
        <w:t>一是大力落实错峰办税。采取办税时间、场所、渠道等多种方式，交错引导纳税人错峰办税，线上线下力求均衡，取得了明显成效。二是全面推广“非接触式”办税。广泛宣传、辅导和服务纳税人，让纳税人知晓网领发票操作路径、免投递费等相关政策。三是通过电子屏、微信群、QQ群等多元化方式，鼓励纳税人缴费人参与满意度专项调查，积极反馈意见，改进纳税服务。</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加强涉税规范性文件管理。</w:t>
      </w:r>
      <w:r>
        <w:rPr>
          <w:rFonts w:hint="eastAsia" w:ascii="仿宋" w:hAnsi="仿宋" w:eastAsia="仿宋" w:cs="仿宋"/>
          <w:sz w:val="32"/>
          <w:szCs w:val="32"/>
          <w:lang w:val="zh-CN" w:eastAsia="zh-CN"/>
        </w:rPr>
        <w:t>重点抓好税收规范性文件制定和管理工作，进一步推进依法行政、依法治税，2021年，共审核网页通知、部门内部通知</w:t>
      </w:r>
      <w:r>
        <w:rPr>
          <w:rFonts w:hint="eastAsia" w:ascii="仿宋" w:hAnsi="仿宋" w:eastAsia="仿宋" w:cs="仿宋"/>
          <w:sz w:val="32"/>
          <w:szCs w:val="32"/>
          <w:lang w:val="en-US" w:eastAsia="zh-CN"/>
        </w:rPr>
        <w:t>422</w:t>
      </w:r>
      <w:r>
        <w:rPr>
          <w:rFonts w:hint="eastAsia" w:ascii="仿宋" w:hAnsi="仿宋" w:eastAsia="仿宋" w:cs="仿宋"/>
          <w:sz w:val="32"/>
          <w:szCs w:val="32"/>
          <w:lang w:val="zh-CN" w:eastAsia="zh-CN"/>
        </w:rPr>
        <w:t>条。</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b/>
          <w:bCs/>
          <w:sz w:val="32"/>
          <w:szCs w:val="32"/>
          <w:lang w:eastAsia="zh-CN"/>
        </w:rPr>
      </w:pPr>
      <w:r>
        <w:rPr>
          <w:rFonts w:hint="eastAsia" w:ascii="楷体" w:hAnsi="楷体" w:eastAsia="楷体" w:cs="楷体"/>
          <w:b/>
          <w:bCs/>
          <w:sz w:val="32"/>
          <w:szCs w:val="32"/>
          <w:lang w:eastAsia="zh-CN"/>
        </w:rPr>
        <w:t>（四）</w:t>
      </w:r>
      <w:r>
        <w:rPr>
          <w:rFonts w:hint="eastAsia" w:ascii="仿宋" w:hAnsi="仿宋" w:eastAsia="仿宋" w:cs="仿宋"/>
          <w:b/>
          <w:bCs/>
          <w:sz w:val="32"/>
          <w:szCs w:val="32"/>
        </w:rPr>
        <w:t>健全行政决策制度体系，持续推进依法科学民主决策</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lang w:val="zh-CN" w:eastAsia="zh-CN"/>
        </w:rPr>
      </w:pPr>
      <w:r>
        <w:rPr>
          <w:rFonts w:hint="eastAsia" w:ascii="仿宋" w:hAnsi="仿宋" w:eastAsia="仿宋" w:cs="仿宋"/>
          <w:b/>
          <w:bCs/>
          <w:color w:val="auto"/>
          <w:sz w:val="32"/>
          <w:szCs w:val="32"/>
          <w:lang w:val="en-US" w:eastAsia="zh-CN"/>
        </w:rPr>
        <w:t>8</w:t>
      </w:r>
      <w:r>
        <w:rPr>
          <w:rFonts w:hint="eastAsia" w:ascii="仿宋" w:hAnsi="仿宋" w:eastAsia="仿宋" w:cs="仿宋"/>
          <w:b/>
          <w:bCs/>
          <w:color w:val="auto"/>
          <w:sz w:val="32"/>
          <w:szCs w:val="32"/>
          <w:lang w:eastAsia="zh-CN"/>
        </w:rPr>
        <w:t>.建立健全科学民主决策机制。</w:t>
      </w:r>
      <w:r>
        <w:rPr>
          <w:rFonts w:hint="eastAsia" w:ascii="仿宋" w:hAnsi="仿宋" w:eastAsia="仿宋" w:cs="仿宋"/>
          <w:sz w:val="32"/>
          <w:szCs w:val="32"/>
          <w:lang w:val="zh-CN" w:eastAsia="zh-CN"/>
        </w:rPr>
        <w:t>区局党委会、局长办公会等始终坚持民主集中制原则，把依法科学民主决策当做“带好队、收好税”的头等大事来抓，对待“三重一大”决策事项，充分征求听取班子成员的意见，不断规范行政议事程序，规范和监督行政决策行为。</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（五）健全行政执法工作体系，坚持严格规范公正文明执法。</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9.</w:t>
      </w:r>
      <w:r>
        <w:rPr>
          <w:rFonts w:hint="eastAsia" w:ascii="仿宋" w:hAnsi="仿宋" w:eastAsia="仿宋" w:cs="仿宋"/>
          <w:b/>
          <w:bCs/>
          <w:color w:val="auto"/>
          <w:sz w:val="32"/>
          <w:szCs w:val="32"/>
          <w:lang w:eastAsia="zh-CN"/>
        </w:rPr>
        <w:t>持续推进“三项制度”工作。</w:t>
      </w:r>
      <w:r>
        <w:rPr>
          <w:rFonts w:hint="eastAsia" w:ascii="仿宋" w:hAnsi="仿宋" w:eastAsia="仿宋" w:cs="仿宋"/>
          <w:color w:val="auto"/>
          <w:sz w:val="32"/>
          <w:szCs w:val="32"/>
          <w:lang w:val="zh-CN" w:eastAsia="zh-CN"/>
        </w:rPr>
        <w:t>按照省</w:t>
      </w:r>
      <w:r>
        <w:rPr>
          <w:rFonts w:hint="eastAsia" w:ascii="仿宋" w:hAnsi="仿宋" w:eastAsia="仿宋" w:cs="仿宋"/>
          <w:sz w:val="32"/>
          <w:szCs w:val="32"/>
          <w:lang w:val="zh-CN" w:eastAsia="zh-CN"/>
        </w:rPr>
        <w:t>局、市局统一部署，稳步推进“三项制度”信息化建设，积极探索公示平台、音像记录、重大法制审核等数据的应用。2021年，行政执法公示信息平台成功公示</w:t>
      </w:r>
      <w:r>
        <w:rPr>
          <w:rFonts w:hint="eastAsia" w:ascii="仿宋" w:hAnsi="仿宋" w:eastAsia="仿宋" w:cs="仿宋"/>
          <w:sz w:val="32"/>
          <w:szCs w:val="32"/>
          <w:lang w:val="en-US" w:eastAsia="zh-CN"/>
        </w:rPr>
        <w:t>9类</w:t>
      </w:r>
      <w:r>
        <w:rPr>
          <w:rFonts w:hint="eastAsia" w:ascii="仿宋" w:hAnsi="仿宋" w:eastAsia="仿宋" w:cs="仿宋"/>
          <w:sz w:val="32"/>
          <w:szCs w:val="32"/>
          <w:lang w:val="zh-CN" w:eastAsia="zh-CN"/>
        </w:rPr>
        <w:t>事项</w:t>
      </w:r>
      <w:r>
        <w:rPr>
          <w:rFonts w:hint="eastAsia" w:ascii="仿宋" w:hAnsi="仿宋" w:eastAsia="仿宋" w:cs="仿宋"/>
          <w:sz w:val="32"/>
          <w:szCs w:val="32"/>
          <w:lang w:val="en-US" w:eastAsia="zh-CN"/>
        </w:rPr>
        <w:t>5042</w:t>
      </w:r>
      <w:r>
        <w:rPr>
          <w:rFonts w:hint="eastAsia" w:ascii="仿宋" w:hAnsi="仿宋" w:eastAsia="仿宋" w:cs="仿宋"/>
          <w:sz w:val="32"/>
          <w:szCs w:val="32"/>
          <w:lang w:val="zh-CN" w:eastAsia="zh-CN"/>
        </w:rPr>
        <w:t>条信息；税务执法音像记录信息管理平台上成功上传3类执法事项</w:t>
      </w:r>
      <w:r>
        <w:rPr>
          <w:rFonts w:hint="eastAsia" w:ascii="仿宋" w:hAnsi="仿宋" w:eastAsia="仿宋" w:cs="仿宋"/>
          <w:sz w:val="32"/>
          <w:szCs w:val="32"/>
          <w:lang w:val="en-US" w:eastAsia="zh-CN"/>
        </w:rPr>
        <w:t>459</w:t>
      </w:r>
      <w:r>
        <w:rPr>
          <w:rFonts w:hint="eastAsia" w:ascii="仿宋" w:hAnsi="仿宋" w:eastAsia="仿宋" w:cs="仿宋"/>
          <w:sz w:val="32"/>
          <w:szCs w:val="32"/>
          <w:lang w:val="zh-CN" w:eastAsia="zh-CN"/>
        </w:rPr>
        <w:t>条音像记录；完成重大执法决定法制审核</w:t>
      </w: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件。</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val="en-US" w:eastAsia="zh-CN"/>
        </w:rPr>
        <w:t>0.</w:t>
      </w:r>
      <w:r>
        <w:rPr>
          <w:rFonts w:hint="eastAsia" w:ascii="仿宋" w:hAnsi="仿宋" w:eastAsia="仿宋" w:cs="仿宋"/>
          <w:b/>
          <w:bCs/>
          <w:color w:val="auto"/>
          <w:sz w:val="32"/>
          <w:szCs w:val="32"/>
          <w:lang w:eastAsia="zh-CN"/>
        </w:rPr>
        <w:t>认真</w:t>
      </w:r>
      <w:r>
        <w:rPr>
          <w:rFonts w:hint="eastAsia" w:ascii="仿宋" w:hAnsi="仿宋" w:eastAsia="仿宋" w:cs="仿宋"/>
          <w:b/>
          <w:bCs/>
          <w:color w:val="auto"/>
          <w:sz w:val="32"/>
          <w:szCs w:val="32"/>
        </w:rPr>
        <w:t>做好执法案卷评查工作。</w:t>
      </w:r>
      <w:r>
        <w:rPr>
          <w:rFonts w:hint="eastAsia" w:ascii="仿宋" w:hAnsi="仿宋" w:eastAsia="仿宋" w:cs="仿宋"/>
          <w:sz w:val="32"/>
          <w:szCs w:val="32"/>
          <w:lang w:val="zh-CN" w:eastAsia="zh-CN"/>
        </w:rPr>
        <w:t>围绕“以查促改、以评促改”为中心，积极组织配合参与区直机关执法案卷评查活动，对评查中发现的问题积极整改。</w:t>
      </w:r>
      <w:r>
        <w:rPr>
          <w:rFonts w:hint="eastAsia" w:ascii="仿宋" w:hAnsi="仿宋" w:eastAsia="仿宋" w:cs="仿宋"/>
          <w:sz w:val="32"/>
          <w:szCs w:val="32"/>
          <w:lang w:val="en-US" w:eastAsia="zh-CN"/>
        </w:rPr>
        <w:t>2021年，参加全区</w:t>
      </w:r>
      <w:r>
        <w:rPr>
          <w:rFonts w:hint="eastAsia" w:ascii="仿宋" w:hAnsi="仿宋" w:eastAsia="仿宋" w:cs="仿宋"/>
          <w:sz w:val="32"/>
          <w:szCs w:val="32"/>
          <w:lang w:val="zh-CN" w:eastAsia="zh-CN"/>
        </w:rPr>
        <w:t>行政执法案卷评查共</w:t>
      </w:r>
      <w:r>
        <w:rPr>
          <w:rFonts w:hint="eastAsia" w:ascii="仿宋" w:hAnsi="仿宋" w:eastAsia="仿宋" w:cs="仿宋"/>
          <w:sz w:val="32"/>
          <w:szCs w:val="32"/>
          <w:lang w:val="en-US" w:eastAsia="zh-CN"/>
        </w:rPr>
        <w:t>1卷</w:t>
      </w:r>
      <w:r>
        <w:rPr>
          <w:rFonts w:hint="eastAsia" w:ascii="仿宋" w:hAnsi="仿宋" w:eastAsia="仿宋" w:cs="仿宋"/>
          <w:sz w:val="32"/>
          <w:szCs w:val="32"/>
          <w:lang w:val="zh-CN" w:eastAsia="zh-CN"/>
        </w:rPr>
        <w:t>，区局获得全区行政执法案卷评查优胜单位。</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11.</w:t>
      </w:r>
      <w:r>
        <w:rPr>
          <w:rFonts w:hint="eastAsia" w:ascii="仿宋" w:hAnsi="仿宋" w:eastAsia="仿宋" w:cs="仿宋"/>
          <w:b/>
          <w:bCs/>
          <w:color w:val="auto"/>
          <w:sz w:val="32"/>
          <w:szCs w:val="32"/>
        </w:rPr>
        <w:t>规范行使税务行政处罚自由裁量权。</w:t>
      </w:r>
      <w:r>
        <w:rPr>
          <w:rFonts w:hint="eastAsia" w:ascii="仿宋" w:hAnsi="仿宋" w:eastAsia="仿宋" w:cs="仿宋"/>
          <w:color w:val="auto"/>
          <w:sz w:val="32"/>
          <w:szCs w:val="32"/>
        </w:rPr>
        <w:t>采取培训、宣传、检查等多种方式加强税务干部和纳税人对《湖北省税务行政处罚裁量权实施办法》的理解和执行，规范税务行政处罚自由裁量权。不定期派专人对《办法》的贯彻落实情况实施督导检查，并对一般处罚裁量内容进行重点监控，积极开展自由裁量权的案例分析点评，提升自由裁量权的整体规范。</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积极推行“首违不罚”清单工作。</w:t>
      </w:r>
      <w:r>
        <w:rPr>
          <w:rFonts w:hint="eastAsia" w:ascii="仿宋" w:hAnsi="仿宋" w:eastAsia="仿宋" w:cs="仿宋"/>
          <w:color w:val="auto"/>
          <w:sz w:val="32"/>
          <w:szCs w:val="32"/>
          <w:lang w:val="en-US" w:eastAsia="zh-CN"/>
        </w:rPr>
        <w:t>2021年1月1日以来适用《湖北省税务行政处罚裁量基准（试行）》（湖北省税务局2019年9号公告发布）中确定的违法程度轻微、不予处罚事项的纳税人共1216户次。2021年4月1日以来，适用总局“首违不罚”事项清单的纳税人共874户次。精确执法试点工作有序推进，“柔性执法”初见成效。</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（六）健全突发事件应对体系，依法预防处置重大突发事件。</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13.建立健全应急管理体制工作机制。</w:t>
      </w:r>
      <w:r>
        <w:rPr>
          <w:rFonts w:hint="eastAsia" w:ascii="仿宋" w:hAnsi="仿宋" w:eastAsia="仿宋" w:cs="仿宋"/>
          <w:color w:val="auto"/>
          <w:kern w:val="0"/>
          <w:sz w:val="32"/>
          <w:szCs w:val="32"/>
          <w:lang w:val="en-US" w:eastAsia="zh-CN" w:bidi="ar-SA"/>
        </w:rPr>
        <w:t>建立健全国家税务总局武汉市新洲区税务局应急管理体制和工作机制，制定《国家税务总局武汉市新洲区税务局突发事件应急预案》和《国家税务总局武汉市新洲区税务局涉税网络舆情管理引导办法和应急预案》，规范突发事件应对流程，保障正常办税缴费秩序，维护税收安全和社会稳定。</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14.做实做细常态化疫情防控。</w:t>
      </w:r>
      <w:r>
        <w:rPr>
          <w:rFonts w:hint="eastAsia" w:ascii="仿宋" w:hAnsi="仿宋" w:eastAsia="仿宋" w:cs="仿宋"/>
          <w:color w:val="auto"/>
          <w:kern w:val="0"/>
          <w:sz w:val="32"/>
          <w:szCs w:val="32"/>
          <w:lang w:val="en-US" w:eastAsia="zh-CN" w:bidi="ar-SA"/>
        </w:rPr>
        <w:t>坚决克服麻痹思想、厌战情绪、侥幸心理，坚持做好办公楼、公共区域、办税服务大厅、物业场所的消杀工作，严格规范扫码测温、进出登记。精准实施预约服务、错峰服务，确保了纳税人缴费人办税缴费安全无忧。</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kern w:val="0"/>
          <w:sz w:val="32"/>
          <w:szCs w:val="32"/>
          <w:lang w:val="en-US" w:eastAsia="zh-CN" w:bidi="ar-SA"/>
        </w:rPr>
        <w:t>15.平安建设不断夯实。</w:t>
      </w:r>
      <w:r>
        <w:rPr>
          <w:rFonts w:hint="eastAsia" w:ascii="仿宋" w:hAnsi="仿宋" w:eastAsia="仿宋" w:cs="仿宋"/>
          <w:color w:val="auto"/>
          <w:kern w:val="0"/>
          <w:sz w:val="32"/>
          <w:szCs w:val="32"/>
          <w:lang w:val="en-US" w:eastAsia="zh-CN" w:bidi="ar-SA"/>
        </w:rPr>
        <w:t>办理市长专线、城市留言板562件，满意率98.75%，真正做到了“民有所呼、我有所应”。加强保密知识培训和自查，严格落实重大事项报告制度、领导带班和干部24小时值班制度，把坚持底线思维、问题导向贯穿于始终，做到了防患于未然。</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（七）健全社会矛盾纠纷行政预防调处化解体系，完善权利救济和纠纷化解机制。</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highlight w:val="none"/>
          <w:lang w:val="zh-CN" w:eastAsia="zh-CN"/>
        </w:rPr>
      </w:pPr>
      <w:r>
        <w:rPr>
          <w:rFonts w:hint="eastAsia" w:ascii="仿宋" w:hAnsi="仿宋" w:eastAsia="仿宋" w:cs="仿宋"/>
          <w:b/>
          <w:bCs/>
          <w:color w:val="auto"/>
          <w:sz w:val="32"/>
          <w:szCs w:val="32"/>
          <w:lang w:val="en-US" w:eastAsia="zh-CN"/>
        </w:rPr>
        <w:t>16.</w:t>
      </w:r>
      <w:r>
        <w:rPr>
          <w:rFonts w:hint="eastAsia" w:ascii="仿宋" w:hAnsi="仿宋" w:eastAsia="仿宋" w:cs="仿宋"/>
          <w:b/>
          <w:bCs/>
          <w:color w:val="auto"/>
          <w:sz w:val="32"/>
          <w:szCs w:val="32"/>
          <w:lang w:val="zh-CN" w:eastAsia="zh-CN"/>
        </w:rPr>
        <w:t>推行法律顾问工作制度。</w:t>
      </w:r>
      <w:r>
        <w:rPr>
          <w:rFonts w:hint="eastAsia" w:ascii="仿宋" w:hAnsi="仿宋" w:eastAsia="仿宋" w:cs="仿宋"/>
          <w:sz w:val="32"/>
          <w:szCs w:val="32"/>
          <w:lang w:val="zh-CN" w:eastAsia="zh-CN"/>
        </w:rPr>
        <w:t>在法律顾问的参与配合下完成了</w:t>
      </w:r>
      <w:r>
        <w:rPr>
          <w:rFonts w:hint="eastAsia" w:ascii="仿宋" w:hAnsi="仿宋" w:eastAsia="仿宋" w:cs="仿宋"/>
          <w:sz w:val="32"/>
          <w:szCs w:val="32"/>
          <w:lang w:val="en-US" w:eastAsia="zh-CN"/>
        </w:rPr>
        <w:t>11</w:t>
      </w:r>
      <w:r>
        <w:rPr>
          <w:rFonts w:hint="eastAsia" w:ascii="仿宋" w:hAnsi="仿宋" w:eastAsia="仿宋" w:cs="仿宋"/>
          <w:sz w:val="32"/>
          <w:szCs w:val="32"/>
          <w:lang w:val="zh-CN" w:eastAsia="zh-CN"/>
        </w:rPr>
        <w:t>户纳税人的破产债权申报和1户社保费强制执行工作。</w:t>
      </w:r>
      <w:r>
        <w:rPr>
          <w:rFonts w:hint="eastAsia" w:ascii="仿宋" w:hAnsi="仿宋" w:eastAsia="仿宋" w:cs="仿宋"/>
          <w:sz w:val="32"/>
          <w:szCs w:val="32"/>
          <w:highlight w:val="none"/>
          <w:lang w:val="zh-CN" w:eastAsia="zh-CN"/>
        </w:rPr>
        <w:t>针对“税款数额较大的税务行政征收决定”，召开重大执法决定法制审核会议，由法律顾问出具《法律意见书》，并积极与法院和资产管理人进行沟通，取得了良好的效果。</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highlight w:val="yellow"/>
          <w:lang w:val="en-US" w:eastAsia="zh-CN"/>
        </w:rPr>
      </w:pPr>
      <w:r>
        <w:rPr>
          <w:rFonts w:hint="eastAsia" w:ascii="仿宋" w:hAnsi="仿宋" w:eastAsia="仿宋" w:cs="仿宋"/>
          <w:b/>
          <w:bCs/>
          <w:color w:val="auto"/>
          <w:sz w:val="32"/>
          <w:szCs w:val="32"/>
          <w:lang w:val="en-US" w:eastAsia="zh-CN"/>
        </w:rPr>
        <w:t>17.</w:t>
      </w:r>
      <w:r>
        <w:rPr>
          <w:rFonts w:hint="eastAsia" w:ascii="仿宋" w:hAnsi="仿宋" w:eastAsia="仿宋" w:cs="仿宋"/>
          <w:b/>
          <w:bCs/>
          <w:color w:val="auto"/>
          <w:sz w:val="32"/>
          <w:szCs w:val="32"/>
          <w:lang w:val="zh-CN" w:eastAsia="zh-CN"/>
        </w:rPr>
        <w:t>做好破产债权申报案件工作。</w:t>
      </w:r>
      <w:r>
        <w:rPr>
          <w:rFonts w:hint="eastAsia" w:ascii="仿宋" w:hAnsi="仿宋" w:eastAsia="仿宋" w:cs="仿宋"/>
          <w:sz w:val="32"/>
          <w:szCs w:val="32"/>
          <w:lang w:val="zh-CN" w:eastAsia="zh-CN"/>
        </w:rPr>
        <w:t>依据武中法【2021】1号文件，对破产企业的破产税收债权申报、征管服务流程、税收优惠落实等涉税事项进行了明确和责任部门的划分。</w:t>
      </w:r>
      <w:r>
        <w:rPr>
          <w:rFonts w:hint="eastAsia" w:ascii="仿宋" w:hAnsi="仿宋" w:eastAsia="仿宋" w:cs="仿宋"/>
          <w:sz w:val="32"/>
          <w:szCs w:val="32"/>
          <w:lang w:val="en-US" w:eastAsia="zh-CN"/>
        </w:rPr>
        <w:t>2021年受理破产债权申报案件12件，办结8件。</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18.强化复议应诉工作。</w:t>
      </w:r>
      <w:r>
        <w:rPr>
          <w:rFonts w:hint="eastAsia" w:ascii="仿宋" w:hAnsi="仿宋" w:eastAsia="仿宋" w:cs="仿宋"/>
          <w:b w:val="0"/>
          <w:bCs w:val="0"/>
          <w:sz w:val="32"/>
          <w:szCs w:val="32"/>
          <w:lang w:val="en-US" w:eastAsia="zh-CN"/>
        </w:rPr>
        <w:t>认真落实行政复议法和行政诉讼法，推进行政复议诉讼工作专业化，依法及时应对税务行政复议和行政诉讼，切实履行行政复议决定和法院判决，努力做到“定纷止争、案结事了”，加强税务行政复议和诉讼制度的学习宣传，组织干部深入学习、准确理解。全年未发生行政复议、行政应诉案件。</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（八）健全行政权力制约和监督体系，全面推进政务公开。</w:t>
      </w:r>
    </w:p>
    <w:p>
      <w:pPr>
        <w:keepNext w:val="0"/>
        <w:keepLines w:val="0"/>
        <w:pageBreakBefore w:val="0"/>
        <w:widowControl/>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highlight w:val="yellow"/>
          <w:lang w:val="zh-CN" w:eastAsia="zh-CN"/>
        </w:rPr>
      </w:pPr>
      <w:r>
        <w:rPr>
          <w:rFonts w:hint="eastAsia" w:ascii="仿宋" w:hAnsi="仿宋" w:eastAsia="仿宋" w:cs="仿宋"/>
          <w:b/>
          <w:bCs/>
          <w:color w:val="auto"/>
          <w:sz w:val="32"/>
          <w:szCs w:val="32"/>
          <w:lang w:val="en-US" w:eastAsia="zh-CN"/>
        </w:rPr>
        <w:t>19.</w:t>
      </w:r>
      <w:r>
        <w:rPr>
          <w:rFonts w:hint="eastAsia" w:ascii="仿宋" w:hAnsi="仿宋" w:eastAsia="仿宋" w:cs="仿宋"/>
          <w:b/>
          <w:bCs/>
          <w:color w:val="auto"/>
          <w:sz w:val="32"/>
          <w:szCs w:val="32"/>
          <w:lang w:eastAsia="zh-CN"/>
        </w:rPr>
        <w:t>深入开展税收执法风险疑点核查工作。</w:t>
      </w:r>
      <w:r>
        <w:rPr>
          <w:rFonts w:hint="eastAsia" w:ascii="仿宋" w:hAnsi="仿宋" w:eastAsia="仿宋" w:cs="仿宋"/>
          <w:sz w:val="32"/>
          <w:szCs w:val="32"/>
          <w:lang w:val="zh-CN" w:eastAsia="zh-CN"/>
        </w:rPr>
        <w:t>积极关注平台监控预警信息，</w:t>
      </w:r>
      <w:r>
        <w:rPr>
          <w:rFonts w:hint="eastAsia" w:ascii="仿宋" w:hAnsi="仿宋" w:eastAsia="仿宋" w:cs="仿宋"/>
          <w:sz w:val="32"/>
          <w:szCs w:val="32"/>
          <w:highlight w:val="none"/>
          <w:lang w:val="zh-CN" w:eastAsia="zh-CN"/>
        </w:rPr>
        <w:t>针对预警信息早发现、早纠正、早消除，做到“日清月结”。全年通过内控监督平台共发现日常疑点数据73条，均已按规</w:t>
      </w:r>
      <w:r>
        <w:rPr>
          <w:rFonts w:hint="eastAsia" w:ascii="仿宋" w:hAnsi="仿宋" w:eastAsia="仿宋" w:cs="仿宋"/>
          <w:sz w:val="32"/>
          <w:szCs w:val="32"/>
          <w:lang w:val="zh-CN" w:eastAsia="zh-CN"/>
        </w:rPr>
        <w:t>定进行整改。</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b/>
          <w:bCs/>
          <w:color w:val="auto"/>
          <w:sz w:val="32"/>
          <w:szCs w:val="32"/>
          <w:lang w:val="en-US" w:eastAsia="zh-CN"/>
        </w:rPr>
        <w:t>20.</w:t>
      </w:r>
      <w:r>
        <w:rPr>
          <w:rFonts w:hint="eastAsia" w:ascii="仿宋" w:hAnsi="仿宋" w:eastAsia="仿宋" w:cs="仿宋"/>
          <w:b/>
          <w:bCs/>
          <w:color w:val="auto"/>
          <w:sz w:val="32"/>
          <w:szCs w:val="32"/>
        </w:rPr>
        <w:t>严格执行执法过错责任追究。</w:t>
      </w:r>
      <w:r>
        <w:rPr>
          <w:rFonts w:hint="eastAsia" w:ascii="仿宋" w:hAnsi="仿宋" w:eastAsia="仿宋" w:cs="仿宋"/>
          <w:sz w:val="32"/>
          <w:szCs w:val="32"/>
          <w:lang w:val="zh-CN" w:eastAsia="zh-CN"/>
        </w:rPr>
        <w:t>严格按照《税收执法考评与过错责任追究办法》的相关规定进行责任追</w:t>
      </w:r>
      <w:r>
        <w:rPr>
          <w:rFonts w:hint="eastAsia" w:ascii="仿宋" w:hAnsi="仿宋" w:eastAsia="仿宋" w:cs="仿宋"/>
          <w:sz w:val="32"/>
          <w:szCs w:val="32"/>
          <w:highlight w:val="none"/>
          <w:lang w:val="zh-CN" w:eastAsia="zh-CN"/>
        </w:rPr>
        <w:t>究，全年共追究执法过错责任17人次，其中执法考核追究7人次，本级监督追究10人次。</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color w:val="auto"/>
          <w:sz w:val="32"/>
          <w:szCs w:val="32"/>
          <w:lang w:val="en-US" w:eastAsia="zh-CN"/>
        </w:rPr>
        <w:t>21.</w:t>
      </w:r>
      <w:r>
        <w:rPr>
          <w:rFonts w:hint="eastAsia" w:ascii="仿宋" w:hAnsi="仿宋" w:eastAsia="仿宋" w:cs="仿宋"/>
          <w:b/>
          <w:bCs/>
          <w:color w:val="auto"/>
          <w:sz w:val="32"/>
          <w:szCs w:val="32"/>
          <w:lang w:val="zh-CN" w:eastAsia="zh-CN"/>
        </w:rPr>
        <w:t>强化执纪监督，筑牢思想防线。</w:t>
      </w:r>
      <w:r>
        <w:rPr>
          <w:rFonts w:hint="eastAsia" w:ascii="仿宋" w:hAnsi="仿宋" w:eastAsia="仿宋" w:cs="仿宋"/>
          <w:kern w:val="0"/>
          <w:sz w:val="32"/>
          <w:szCs w:val="32"/>
          <w:lang w:val="zh-CN" w:eastAsia="zh-CN" w:bidi="ar-SA"/>
        </w:rPr>
        <w:t>落实典型问题通报、警示教育、节前廉政提醒、廉政提醒谈话、新提拔干部任前谈话、集体约谈、新录用公务员廉政谈话等制度，紧盯重要时间和节点开展节前警示教育活动，发布廉政提醒6次。统筹推进纪律作风问题专项整治和“六项治理”，全年发布作风纪律巡查通报4期。</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22.</w:t>
      </w:r>
      <w:r>
        <w:rPr>
          <w:rFonts w:hint="eastAsia" w:ascii="仿宋" w:hAnsi="仿宋" w:eastAsia="仿宋" w:cs="仿宋"/>
          <w:b/>
          <w:bCs/>
          <w:sz w:val="32"/>
          <w:szCs w:val="32"/>
          <w:lang w:eastAsia="zh-CN"/>
        </w:rPr>
        <w:t>落实政府信息公开。</w:t>
      </w:r>
      <w:r>
        <w:rPr>
          <w:rFonts w:hint="eastAsia" w:ascii="仿宋" w:hAnsi="仿宋" w:eastAsia="仿宋" w:cs="仿宋"/>
          <w:sz w:val="32"/>
          <w:szCs w:val="32"/>
          <w:lang w:eastAsia="zh-CN"/>
        </w:rPr>
        <w:t>强化主动公开管理，认真落实《政府信息公开条例》，探索拓宽政府信息公开渠道，进一步明确政府信息公开范围和内容，确保了法定主动公开内容全部公开到位并及时更新。</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23.落实税务证明事项告知承诺制。</w:t>
      </w:r>
      <w:r>
        <w:rPr>
          <w:rFonts w:hint="eastAsia" w:ascii="仿宋" w:hAnsi="仿宋" w:eastAsia="仿宋" w:cs="仿宋"/>
          <w:sz w:val="32"/>
          <w:szCs w:val="32"/>
          <w:lang w:val="en-US" w:eastAsia="zh-Hans"/>
        </w:rPr>
        <w:t>自7月1日起对申报减征、免征契税政策，抵免境外所得税收等6项税务证明事项实行告知承诺制</w:t>
      </w:r>
      <w:r>
        <w:rPr>
          <w:rFonts w:hint="eastAsia" w:ascii="仿宋" w:hAnsi="仿宋" w:eastAsia="仿宋" w:cs="仿宋"/>
          <w:sz w:val="32"/>
          <w:szCs w:val="32"/>
          <w:lang w:val="en-US" w:eastAsia="zh-CN"/>
        </w:rPr>
        <w:t>以来</w:t>
      </w:r>
      <w:r>
        <w:rPr>
          <w:rFonts w:hint="eastAsia" w:ascii="仿宋" w:hAnsi="仿宋" w:eastAsia="仿宋" w:cs="仿宋"/>
          <w:sz w:val="32"/>
          <w:szCs w:val="32"/>
          <w:lang w:val="en-US" w:eastAsia="zh-Hans"/>
        </w:rPr>
        <w:t>，</w:t>
      </w:r>
      <w:r>
        <w:rPr>
          <w:rFonts w:hint="eastAsia" w:ascii="仿宋" w:hAnsi="仿宋" w:eastAsia="仿宋" w:cs="仿宋"/>
          <w:sz w:val="32"/>
          <w:szCs w:val="32"/>
          <w:lang w:val="en-US" w:eastAsia="zh-CN"/>
        </w:rPr>
        <w:t>坚持创新政务服务和管理理念方式，打造最优营商环境，激发市场主体活力。</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（九）健全法治政府建设科技保障体系，推进智慧税务创新落实。</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24.深入推进各项便民措施落细落实。</w:t>
      </w:r>
      <w:r>
        <w:rPr>
          <w:rFonts w:hint="eastAsia" w:ascii="仿宋" w:hAnsi="仿宋" w:eastAsia="仿宋" w:cs="仿宋"/>
          <w:color w:val="auto"/>
          <w:sz w:val="32"/>
          <w:szCs w:val="32"/>
          <w:lang w:val="en-US" w:eastAsia="zh-CN"/>
        </w:rPr>
        <w:t>推出“注销一网清”，推广应用“税邮云仓”3.0版，落实“一网通办”，推行“十税合一”，推广“一码互联-码上办”微信小程序。积极推行“非接触式”办税，升级纳税咨询服务热线，上线区局“云客服”系统。</w:t>
      </w:r>
    </w:p>
    <w:p>
      <w:pPr>
        <w:pStyle w:val="2"/>
        <w:keepNext w:val="0"/>
        <w:keepLines w:val="0"/>
        <w:pageBreakBefore w:val="0"/>
        <w:widowControl/>
        <w:kinsoku/>
        <w:wordWrap/>
        <w:overflowPunct/>
        <w:topLinePunct w:val="0"/>
        <w:autoSpaceDE/>
        <w:autoSpaceDN/>
        <w:bidi w:val="0"/>
        <w:adjustRightInd/>
        <w:snapToGrid/>
        <w:spacing w:after="0" w:line="240" w:lineRule="auto"/>
        <w:ind w:left="0" w:leftChars="0" w:firstLine="643" w:firstLineChars="200"/>
        <w:jc w:val="both"/>
        <w:textAlignment w:val="auto"/>
        <w:rPr>
          <w:rFonts w:hint="eastAsia" w:ascii="仿宋" w:hAnsi="仿宋" w:eastAsia="仿宋" w:cs="仿宋"/>
          <w:i w:val="0"/>
          <w:iCs w:val="0"/>
          <w:color w:val="auto"/>
          <w:kern w:val="0"/>
          <w:sz w:val="32"/>
          <w:szCs w:val="32"/>
          <w:lang w:val="en-US" w:eastAsia="zh-CN" w:bidi="ar"/>
        </w:rPr>
      </w:pPr>
      <w:r>
        <w:rPr>
          <w:rFonts w:hint="eastAsia" w:ascii="仿宋" w:hAnsi="仿宋" w:eastAsia="仿宋" w:cs="仿宋"/>
          <w:b/>
          <w:bCs/>
          <w:color w:val="auto"/>
          <w:kern w:val="0"/>
          <w:sz w:val="32"/>
          <w:szCs w:val="32"/>
          <w:lang w:val="en-US" w:eastAsia="zh-CN" w:bidi="ar-SA"/>
        </w:rPr>
        <w:t>25.积极推行党建云平台工作。</w:t>
      </w:r>
      <w:r>
        <w:rPr>
          <w:rFonts w:hint="eastAsia" w:ascii="仿宋" w:hAnsi="仿宋" w:eastAsia="仿宋" w:cs="仿宋"/>
          <w:color w:val="auto"/>
          <w:kern w:val="0"/>
          <w:sz w:val="32"/>
          <w:szCs w:val="32"/>
          <w:lang w:val="en-US" w:eastAsia="zh-CN" w:bidi="ar-SA"/>
        </w:rPr>
        <w:t>积极配合市局做好上线前期准备工作，对党组织、党员信息进行清理，及时开展党建云平台支部操作流程培训。2021年，区局按时完成平台下发任务958条，有效夯实基层党建工作基础。</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w:t>
      </w:r>
      <w:r>
        <w:rPr>
          <w:rFonts w:hint="eastAsia" w:ascii="楷体" w:hAnsi="楷体" w:eastAsia="楷体" w:cs="楷体"/>
          <w:b/>
          <w:bCs/>
          <w:sz w:val="32"/>
          <w:szCs w:val="32"/>
        </w:rPr>
        <w:t> 加强党的领导，健全依法行政领导体制机制 </w:t>
      </w:r>
      <w:r>
        <w:rPr>
          <w:rFonts w:hint="eastAsia" w:ascii="楷体" w:hAnsi="楷体" w:eastAsia="楷体" w:cs="楷体"/>
          <w:b/>
          <w:bCs/>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26.依法行政工作制度全面落实。</w:t>
      </w:r>
      <w:r>
        <w:rPr>
          <w:rFonts w:hint="eastAsia" w:ascii="仿宋" w:hAnsi="仿宋" w:eastAsia="仿宋" w:cs="仿宋"/>
          <w:sz w:val="32"/>
          <w:szCs w:val="32"/>
          <w:lang w:val="en-US" w:eastAsia="zh-CN"/>
        </w:rPr>
        <w:t>组织召开依法行政工作领导小组专题会议，完善依法行政各项制度建设。强化制度落实，以合法做事为原则，充分发挥依法行政领导小组作用。坚持会前学法，会上研究审议依法行政工作中的重要事项，形成了上下联动全局发力共推依法行政工作的新局面，依法行政工作领导小组发挥了积极作用，依法行政工作制度得到有效落实。</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27.</w:t>
      </w:r>
      <w:r>
        <w:rPr>
          <w:rFonts w:hint="eastAsia" w:ascii="仿宋" w:hAnsi="仿宋" w:eastAsia="仿宋" w:cs="仿宋"/>
          <w:b/>
          <w:bCs/>
          <w:sz w:val="32"/>
          <w:szCs w:val="32"/>
          <w:lang w:eastAsia="zh-CN"/>
        </w:rPr>
        <w:t>推行和完善税务干部学法制度。</w:t>
      </w:r>
      <w:r>
        <w:rPr>
          <w:rFonts w:hint="eastAsia" w:ascii="仿宋" w:hAnsi="仿宋" w:eastAsia="仿宋" w:cs="仿宋"/>
          <w:sz w:val="32"/>
          <w:szCs w:val="32"/>
          <w:lang w:val="en-US" w:eastAsia="zh-CN"/>
        </w:rPr>
        <w:t>积极开展依法行政领导小组会前学法、中心组学法、办公会前学法，开展“每月学法”活动。将《中华人民共和国行政处罚法》等法律法规以及最新的规范性文件，结合党史学习作为今年法治教育培训的重点内容，带动全局干部学法，无纸化学法用法考试通过率为100%，有效提升了区局领导干部运用法治思维和法治方式解决问题的意识和能力。</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二、工作中存在的问题</w:t>
      </w:r>
    </w:p>
    <w:p>
      <w:pPr>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color w:val="auto"/>
          <w:sz w:val="32"/>
          <w:szCs w:val="32"/>
        </w:rPr>
        <w:t>2021年，</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局认真贯彻落实法治政府建设工作各项任务，在肯定成绩的同时，我们也清醒地认识到还存在一些</w:t>
      </w:r>
      <w:r>
        <w:rPr>
          <w:rFonts w:hint="eastAsia" w:ascii="仿宋" w:hAnsi="仿宋" w:eastAsia="仿宋" w:cs="仿宋"/>
          <w:color w:val="auto"/>
          <w:sz w:val="32"/>
          <w:szCs w:val="32"/>
          <w:lang w:eastAsia="zh-CN"/>
        </w:rPr>
        <w:t>不足</w:t>
      </w:r>
      <w:r>
        <w:rPr>
          <w:rFonts w:hint="eastAsia" w:ascii="仿宋" w:hAnsi="仿宋" w:eastAsia="仿宋" w:cs="仿宋"/>
          <w:color w:val="auto"/>
          <w:sz w:val="32"/>
          <w:szCs w:val="32"/>
        </w:rPr>
        <w:t>：部门之间协调沟通还需加强，</w:t>
      </w:r>
      <w:r>
        <w:rPr>
          <w:rFonts w:hint="eastAsia" w:ascii="仿宋" w:hAnsi="仿宋" w:eastAsia="仿宋" w:cs="仿宋"/>
          <w:color w:val="auto"/>
          <w:sz w:val="32"/>
          <w:szCs w:val="32"/>
          <w:lang w:eastAsia="zh-CN"/>
        </w:rPr>
        <w:t>执法行为还需进一步规范，</w:t>
      </w:r>
      <w:r>
        <w:rPr>
          <w:rFonts w:hint="eastAsia" w:ascii="仿宋" w:hAnsi="仿宋" w:eastAsia="仿宋" w:cs="仿宋"/>
          <w:color w:val="auto"/>
          <w:sz w:val="32"/>
          <w:szCs w:val="32"/>
        </w:rPr>
        <w:t>在法治建设工作逐步深入到各领域、各部门后，部分单位对大局观和全局意识的认识还不够深入，未能自觉将工作统一到全局的法治建设大局中来。</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三、下一步工作思路</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color w:val="auto"/>
          <w:sz w:val="32"/>
          <w:szCs w:val="32"/>
          <w:lang w:eastAsia="zh-CN"/>
        </w:rPr>
      </w:pPr>
      <w:r>
        <w:rPr>
          <w:rFonts w:hint="eastAsia" w:ascii="楷体" w:hAnsi="楷体" w:eastAsia="楷体" w:cs="楷体"/>
          <w:b/>
          <w:bCs/>
          <w:color w:val="auto"/>
          <w:sz w:val="32"/>
          <w:szCs w:val="32"/>
        </w:rPr>
        <w:t>一</w:t>
      </w:r>
      <w:r>
        <w:rPr>
          <w:rFonts w:hint="eastAsia" w:ascii="楷体" w:hAnsi="楷体" w:eastAsia="楷体" w:cs="楷体"/>
          <w:b/>
          <w:bCs/>
          <w:color w:val="auto"/>
          <w:sz w:val="32"/>
          <w:szCs w:val="32"/>
          <w:lang w:eastAsia="zh-CN"/>
        </w:rPr>
        <w:t>是</w:t>
      </w:r>
      <w:r>
        <w:rPr>
          <w:rFonts w:hint="eastAsia" w:ascii="楷体" w:hAnsi="楷体" w:eastAsia="楷体" w:cs="楷体"/>
          <w:b/>
          <w:bCs/>
          <w:color w:val="auto"/>
          <w:sz w:val="32"/>
          <w:szCs w:val="32"/>
        </w:rPr>
        <w:t>聚力提高思想政治站位，打造“政治税务”。</w:t>
      </w:r>
      <w:r>
        <w:rPr>
          <w:rFonts w:hint="eastAsia" w:ascii="仿宋" w:hAnsi="仿宋" w:eastAsia="仿宋" w:cs="仿宋"/>
          <w:color w:val="auto"/>
          <w:sz w:val="32"/>
          <w:szCs w:val="32"/>
        </w:rPr>
        <w:t>将学习贯彻</w:t>
      </w:r>
      <w:r>
        <w:rPr>
          <w:rFonts w:hint="eastAsia" w:ascii="仿宋" w:hAnsi="仿宋" w:eastAsia="仿宋" w:cs="仿宋"/>
          <w:color w:val="auto"/>
          <w:sz w:val="32"/>
          <w:szCs w:val="32"/>
          <w:lang w:eastAsia="zh-CN"/>
        </w:rPr>
        <w:t>党的</w:t>
      </w:r>
      <w:r>
        <w:rPr>
          <w:rFonts w:hint="eastAsia" w:ascii="仿宋" w:hAnsi="仿宋" w:eastAsia="仿宋" w:cs="仿宋"/>
          <w:color w:val="auto"/>
          <w:sz w:val="32"/>
          <w:szCs w:val="32"/>
        </w:rPr>
        <w:t>十九届六中全会精神作为当前和今后一个时期重要的政治任务。推动基层党组织全面进步、全面过硬，全面提升党支部组织力，强化党支部政治功能。推进党建与业务联动评价、相互促进、共同提升。</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lang w:eastAsia="zh-CN"/>
        </w:rPr>
        <w:t>二是</w:t>
      </w:r>
      <w:r>
        <w:rPr>
          <w:rFonts w:hint="eastAsia" w:ascii="楷体" w:hAnsi="楷体" w:eastAsia="楷体" w:cs="楷体"/>
          <w:b/>
          <w:bCs/>
          <w:color w:val="auto"/>
          <w:sz w:val="32"/>
          <w:szCs w:val="32"/>
        </w:rPr>
        <w:t>聚力提升税收治理水平，打造“智慧税务”。</w:t>
      </w:r>
      <w:r>
        <w:rPr>
          <w:rFonts w:hint="eastAsia" w:ascii="仿宋" w:hAnsi="仿宋" w:eastAsia="仿宋" w:cs="仿宋"/>
          <w:color w:val="auto"/>
          <w:sz w:val="32"/>
          <w:szCs w:val="32"/>
        </w:rPr>
        <w:t>深入推进《意见》落实落地，强化政治意识。开展系统基础数据清理，实施税源专业化、差异化、集约化管理，统筹推进分类分级管理。</w:t>
      </w:r>
      <w:r>
        <w:rPr>
          <w:rFonts w:hint="eastAsia" w:ascii="仿宋" w:hAnsi="仿宋" w:eastAsia="仿宋" w:cs="仿宋"/>
          <w:b w:val="0"/>
          <w:bCs/>
          <w:sz w:val="32"/>
          <w:szCs w:val="32"/>
        </w:rPr>
        <w:t>聚焦税务执法规范性、精确性、统一性不足的难题，以严格规范执法行为为主要内容，以不断提升执法精确度为主攻重点</w:t>
      </w:r>
      <w:r>
        <w:rPr>
          <w:rFonts w:hint="eastAsia" w:ascii="仿宋" w:hAnsi="仿宋" w:eastAsia="仿宋" w:cs="仿宋"/>
          <w:b w:val="0"/>
          <w:bCs/>
          <w:sz w:val="32"/>
          <w:szCs w:val="32"/>
          <w:lang w:eastAsia="zh-CN"/>
        </w:rPr>
        <w:t>。</w:t>
      </w:r>
      <w:r>
        <w:rPr>
          <w:rFonts w:hint="eastAsia" w:ascii="仿宋" w:hAnsi="仿宋" w:eastAsia="仿宋" w:cs="仿宋"/>
          <w:color w:val="auto"/>
          <w:sz w:val="32"/>
          <w:szCs w:val="32"/>
        </w:rPr>
        <w:t>扎实推进“首违不罚”、行政执法“三项制度”贯彻落实。</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b w:val="0"/>
          <w:bCs/>
          <w:sz w:val="32"/>
          <w:szCs w:val="32"/>
        </w:rPr>
      </w:pPr>
      <w:r>
        <w:rPr>
          <w:rFonts w:hint="eastAsia" w:ascii="楷体" w:hAnsi="楷体" w:eastAsia="楷体" w:cs="楷体"/>
          <w:b/>
          <w:bCs/>
          <w:color w:val="auto"/>
          <w:sz w:val="32"/>
          <w:szCs w:val="32"/>
        </w:rPr>
        <w:t>三</w:t>
      </w:r>
      <w:r>
        <w:rPr>
          <w:rFonts w:hint="eastAsia" w:ascii="楷体" w:hAnsi="楷体" w:eastAsia="楷体" w:cs="楷体"/>
          <w:b/>
          <w:bCs/>
          <w:color w:val="auto"/>
          <w:sz w:val="32"/>
          <w:szCs w:val="32"/>
          <w:lang w:eastAsia="zh-CN"/>
        </w:rPr>
        <w:t>是</w:t>
      </w:r>
      <w:r>
        <w:rPr>
          <w:rFonts w:hint="eastAsia" w:ascii="楷体" w:hAnsi="楷体" w:eastAsia="楷体" w:cs="楷体"/>
          <w:b/>
          <w:bCs/>
          <w:color w:val="auto"/>
          <w:sz w:val="32"/>
          <w:szCs w:val="32"/>
        </w:rPr>
        <w:t>聚力服务经济社会发展，打造“法治税务”。</w:t>
      </w:r>
      <w:r>
        <w:rPr>
          <w:rFonts w:hint="eastAsia" w:ascii="仿宋" w:hAnsi="仿宋" w:eastAsia="仿宋" w:cs="仿宋"/>
          <w:color w:val="auto"/>
          <w:sz w:val="32"/>
          <w:szCs w:val="32"/>
        </w:rPr>
        <w:t>压实工作责任，确保高质量完成预算确定的税费收入目标。把该减的减到位、该降的降到位、该征的依法规范征收好，确保落实政策不走样、精准减免不掉户。加强数据运用，开展横向、纵向对比分析，及时编送调研分析报告，为领导决策服务、为组织收入领路。</w:t>
      </w:r>
    </w:p>
    <w:p>
      <w:pPr>
        <w:keepNext w:val="0"/>
        <w:keepLines w:val="0"/>
        <w:pageBreakBefore w:val="0"/>
        <w:numPr>
          <w:ilvl w:val="0"/>
          <w:numId w:val="0"/>
        </w:numPr>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color w:val="FF0000"/>
          <w:sz w:val="32"/>
          <w:szCs w:val="32"/>
        </w:rPr>
      </w:pPr>
      <w:r>
        <w:rPr>
          <w:rFonts w:hint="eastAsia" w:ascii="楷体" w:hAnsi="楷体" w:eastAsia="楷体" w:cs="楷体"/>
          <w:b/>
          <w:bCs/>
          <w:color w:val="auto"/>
          <w:sz w:val="32"/>
          <w:szCs w:val="32"/>
          <w:lang w:eastAsia="zh-CN"/>
        </w:rPr>
        <w:t>四是</w:t>
      </w:r>
      <w:r>
        <w:rPr>
          <w:rFonts w:hint="eastAsia" w:ascii="楷体" w:hAnsi="楷体" w:eastAsia="楷体" w:cs="楷体"/>
          <w:b/>
          <w:bCs/>
          <w:color w:val="auto"/>
          <w:sz w:val="32"/>
          <w:szCs w:val="32"/>
        </w:rPr>
        <w:t>聚力提升纳税人满意度，打造“服务税务”。</w:t>
      </w:r>
      <w:r>
        <w:rPr>
          <w:rFonts w:hint="eastAsia" w:ascii="仿宋" w:hAnsi="仿宋" w:eastAsia="仿宋" w:cs="仿宋"/>
          <w:color w:val="auto"/>
          <w:sz w:val="32"/>
          <w:szCs w:val="32"/>
        </w:rPr>
        <w:t>持续开展“便民办税春风行动”，进一步推动税收领域“放管服”改革提质升级，提升“非接触式”办税缴费体验。推行完善信用“承诺制”服务，提高留抵退税、出口退税办理效率，拓展“银税互动”合作范围。畅通纳税人缴费人诉求收集、快速响应渠道，建立党员先锋税费政策专家团队，高效提供更有针对性的服务。</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color w:val="FF0000"/>
          <w:sz w:val="32"/>
          <w:szCs w:val="32"/>
        </w:rPr>
      </w:pPr>
      <w:r>
        <w:rPr>
          <w:rFonts w:hint="eastAsia" w:ascii="楷体" w:hAnsi="楷体" w:eastAsia="楷体" w:cs="楷体"/>
          <w:b/>
          <w:bCs/>
          <w:color w:val="auto"/>
          <w:sz w:val="32"/>
          <w:szCs w:val="32"/>
        </w:rPr>
        <w:t>五</w:t>
      </w:r>
      <w:r>
        <w:rPr>
          <w:rFonts w:hint="eastAsia" w:ascii="楷体" w:hAnsi="楷体" w:eastAsia="楷体" w:cs="楷体"/>
          <w:b/>
          <w:bCs/>
          <w:color w:val="auto"/>
          <w:sz w:val="32"/>
          <w:szCs w:val="32"/>
          <w:lang w:eastAsia="zh-CN"/>
        </w:rPr>
        <w:t>是</w:t>
      </w:r>
      <w:r>
        <w:rPr>
          <w:rFonts w:hint="eastAsia" w:ascii="楷体" w:hAnsi="楷体" w:eastAsia="楷体" w:cs="楷体"/>
          <w:b/>
          <w:bCs/>
          <w:color w:val="auto"/>
          <w:sz w:val="32"/>
          <w:szCs w:val="32"/>
        </w:rPr>
        <w:t>聚力增强底线风险意识，打造“效能税务”。</w:t>
      </w:r>
      <w:r>
        <w:rPr>
          <w:rFonts w:hint="eastAsia" w:ascii="仿宋" w:hAnsi="仿宋" w:eastAsia="仿宋" w:cs="仿宋"/>
          <w:color w:val="auto"/>
          <w:sz w:val="32"/>
          <w:szCs w:val="32"/>
        </w:rPr>
        <w:t>持续优化政务公开工作，层层落实疫情防控、政务值班、重大事项报告、保密安全、信访维稳、舆情管理责任等工作制度，坚决维护系统和谐稳定。树牢“过紧日子、过苦日子”的意识，推进经费保障长效化，发挥资金资产最大效益。强化工作督导落实，完善工作督办机制。持续精简办事流程，坚持开短会、发短文，着力减轻基层负担。</w:t>
      </w:r>
    </w:p>
    <w:p>
      <w:pPr>
        <w:keepNext w:val="0"/>
        <w:keepLines w:val="0"/>
        <w:pageBreakBefore w:val="0"/>
        <w:kinsoku/>
        <w:wordWrap/>
        <w:overflowPunct/>
        <w:topLinePunct w:val="0"/>
        <w:autoSpaceDE/>
        <w:autoSpaceDN/>
        <w:bidi w:val="0"/>
        <w:adjustRightInd/>
        <w:snapToGrid/>
        <w:spacing w:after="0" w:line="240" w:lineRule="auto"/>
        <w:ind w:firstLine="643" w:firstLineChars="200"/>
        <w:jc w:val="both"/>
        <w:textAlignment w:val="auto"/>
        <w:rPr>
          <w:rFonts w:hint="eastAsia" w:ascii="仿宋" w:hAnsi="仿宋" w:eastAsia="仿宋" w:cs="仿宋"/>
          <w:color w:val="FF0000"/>
          <w:sz w:val="32"/>
          <w:szCs w:val="32"/>
        </w:rPr>
      </w:pPr>
      <w:r>
        <w:rPr>
          <w:rFonts w:hint="eastAsia" w:ascii="楷体" w:hAnsi="楷体" w:eastAsia="楷体" w:cs="楷体"/>
          <w:b/>
          <w:bCs/>
          <w:color w:val="auto"/>
          <w:sz w:val="32"/>
          <w:szCs w:val="32"/>
        </w:rPr>
        <w:t>六</w:t>
      </w:r>
      <w:r>
        <w:rPr>
          <w:rFonts w:hint="eastAsia" w:ascii="楷体" w:hAnsi="楷体" w:eastAsia="楷体" w:cs="楷体"/>
          <w:b/>
          <w:bCs/>
          <w:color w:val="auto"/>
          <w:sz w:val="32"/>
          <w:szCs w:val="32"/>
          <w:lang w:eastAsia="zh-CN"/>
        </w:rPr>
        <w:t>是</w:t>
      </w:r>
      <w:r>
        <w:rPr>
          <w:rFonts w:hint="eastAsia" w:ascii="楷体" w:hAnsi="楷体" w:eastAsia="楷体" w:cs="楷体"/>
          <w:b/>
          <w:bCs/>
          <w:color w:val="auto"/>
          <w:sz w:val="32"/>
          <w:szCs w:val="32"/>
        </w:rPr>
        <w:t>聚力激活干事创业动力，打造“担当税务”。</w:t>
      </w:r>
      <w:r>
        <w:rPr>
          <w:rFonts w:hint="eastAsia" w:ascii="仿宋" w:hAnsi="仿宋" w:eastAsia="仿宋" w:cs="仿宋"/>
          <w:color w:val="auto"/>
          <w:sz w:val="32"/>
          <w:szCs w:val="32"/>
        </w:rPr>
        <w:t>持续优化岗责配置，开展职务与职级并行工作，推动多元化教育培训，有机融合绩效管理和数字人事，选树和培养使用先进典型，提振干事创业精气神。开展走访慰问等活动，深入一线、深入群众，关心关爱干部职。强化警示教育，以案释纪明纪，持续推进“双评议”工作，认真开展一案双查“以案促改”工作，健全联席会议制度。</w:t>
      </w:r>
    </w:p>
    <w:p>
      <w:pPr>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spacing w:after="0" w:line="240" w:lineRule="auto"/>
        <w:ind w:firstLine="3200" w:firstLineChars="10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国家税务总局武汉市新洲区税务局</w:t>
      </w:r>
    </w:p>
    <w:p>
      <w:pPr>
        <w:keepNext w:val="0"/>
        <w:keepLines w:val="0"/>
        <w:pageBreakBefore w:val="0"/>
        <w:kinsoku/>
        <w:wordWrap/>
        <w:overflowPunct/>
        <w:topLinePunct w:val="0"/>
        <w:autoSpaceDE/>
        <w:autoSpaceDN/>
        <w:bidi w:val="0"/>
        <w:adjustRightInd/>
        <w:snapToGrid/>
        <w:spacing w:after="0" w:line="240" w:lineRule="auto"/>
        <w:ind w:firstLine="4160" w:firstLineChars="13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67A"/>
    <w:rsid w:val="00F90ECF"/>
    <w:rsid w:val="010C7018"/>
    <w:rsid w:val="01593A1A"/>
    <w:rsid w:val="01C33F3D"/>
    <w:rsid w:val="024D7100"/>
    <w:rsid w:val="03BB36F0"/>
    <w:rsid w:val="03ED593D"/>
    <w:rsid w:val="041A4304"/>
    <w:rsid w:val="05232DBC"/>
    <w:rsid w:val="0559329F"/>
    <w:rsid w:val="065D625B"/>
    <w:rsid w:val="07057E5E"/>
    <w:rsid w:val="073A74AB"/>
    <w:rsid w:val="095F59E3"/>
    <w:rsid w:val="09A6182C"/>
    <w:rsid w:val="0A511846"/>
    <w:rsid w:val="0B456F24"/>
    <w:rsid w:val="0C3540F6"/>
    <w:rsid w:val="0C46793E"/>
    <w:rsid w:val="0E20168B"/>
    <w:rsid w:val="0E4912D3"/>
    <w:rsid w:val="0E893EC9"/>
    <w:rsid w:val="0F4D0116"/>
    <w:rsid w:val="0FAD0CD0"/>
    <w:rsid w:val="0FCF5FF7"/>
    <w:rsid w:val="10004D41"/>
    <w:rsid w:val="10910615"/>
    <w:rsid w:val="10CD6734"/>
    <w:rsid w:val="12C851F3"/>
    <w:rsid w:val="132407E6"/>
    <w:rsid w:val="132C7CE7"/>
    <w:rsid w:val="14B81A68"/>
    <w:rsid w:val="15623616"/>
    <w:rsid w:val="1647074B"/>
    <w:rsid w:val="181B3C32"/>
    <w:rsid w:val="18612BAE"/>
    <w:rsid w:val="19291ACB"/>
    <w:rsid w:val="19986CEC"/>
    <w:rsid w:val="1A5A3895"/>
    <w:rsid w:val="1A5E5071"/>
    <w:rsid w:val="1ADC4A3C"/>
    <w:rsid w:val="1B0B18BC"/>
    <w:rsid w:val="1B6D18D7"/>
    <w:rsid w:val="1B7A7FE2"/>
    <w:rsid w:val="1C145F79"/>
    <w:rsid w:val="1C4859DA"/>
    <w:rsid w:val="1C596692"/>
    <w:rsid w:val="1C7968FA"/>
    <w:rsid w:val="1DF96ADD"/>
    <w:rsid w:val="1ECD39C2"/>
    <w:rsid w:val="1F1F78D0"/>
    <w:rsid w:val="1F783E5E"/>
    <w:rsid w:val="20C31AF9"/>
    <w:rsid w:val="21066EEC"/>
    <w:rsid w:val="21C54208"/>
    <w:rsid w:val="23BE55E4"/>
    <w:rsid w:val="240D2081"/>
    <w:rsid w:val="244B16B2"/>
    <w:rsid w:val="258E1748"/>
    <w:rsid w:val="2814392A"/>
    <w:rsid w:val="290D15A6"/>
    <w:rsid w:val="29946B3F"/>
    <w:rsid w:val="2B3A6AA1"/>
    <w:rsid w:val="2B503760"/>
    <w:rsid w:val="2BF06401"/>
    <w:rsid w:val="2BFC2E75"/>
    <w:rsid w:val="2CB15E71"/>
    <w:rsid w:val="2D5A222E"/>
    <w:rsid w:val="2DFC66E6"/>
    <w:rsid w:val="2EF9604E"/>
    <w:rsid w:val="2F1F7636"/>
    <w:rsid w:val="2F30546D"/>
    <w:rsid w:val="2F3204D7"/>
    <w:rsid w:val="319D53E9"/>
    <w:rsid w:val="35020321"/>
    <w:rsid w:val="351A5A1B"/>
    <w:rsid w:val="3522009F"/>
    <w:rsid w:val="358A3B2B"/>
    <w:rsid w:val="360B5504"/>
    <w:rsid w:val="36E60298"/>
    <w:rsid w:val="37264E3E"/>
    <w:rsid w:val="38BF074B"/>
    <w:rsid w:val="39417953"/>
    <w:rsid w:val="3A893169"/>
    <w:rsid w:val="3AA0082E"/>
    <w:rsid w:val="3BA448B8"/>
    <w:rsid w:val="3CDD7134"/>
    <w:rsid w:val="3DCE4AA0"/>
    <w:rsid w:val="3DE433A1"/>
    <w:rsid w:val="3E3E717F"/>
    <w:rsid w:val="3F0D211A"/>
    <w:rsid w:val="40A23185"/>
    <w:rsid w:val="412E22CE"/>
    <w:rsid w:val="41B938AD"/>
    <w:rsid w:val="41DC780F"/>
    <w:rsid w:val="420330E8"/>
    <w:rsid w:val="429D440D"/>
    <w:rsid w:val="431D5F00"/>
    <w:rsid w:val="432D36B1"/>
    <w:rsid w:val="433E2AFB"/>
    <w:rsid w:val="433F52BB"/>
    <w:rsid w:val="43EA5448"/>
    <w:rsid w:val="43F362C2"/>
    <w:rsid w:val="43FF2AAD"/>
    <w:rsid w:val="4408703B"/>
    <w:rsid w:val="44DE60E2"/>
    <w:rsid w:val="46C1037F"/>
    <w:rsid w:val="470F7687"/>
    <w:rsid w:val="475723BB"/>
    <w:rsid w:val="48B12819"/>
    <w:rsid w:val="48B23FE0"/>
    <w:rsid w:val="4A9C58A2"/>
    <w:rsid w:val="4AE872EB"/>
    <w:rsid w:val="4DFD3971"/>
    <w:rsid w:val="4EC8050A"/>
    <w:rsid w:val="4EDC0A1D"/>
    <w:rsid w:val="4F313BE6"/>
    <w:rsid w:val="4F4127FA"/>
    <w:rsid w:val="52227A85"/>
    <w:rsid w:val="52D07F35"/>
    <w:rsid w:val="530E7928"/>
    <w:rsid w:val="55E72B3B"/>
    <w:rsid w:val="55E82527"/>
    <w:rsid w:val="56224844"/>
    <w:rsid w:val="56487FA7"/>
    <w:rsid w:val="57016242"/>
    <w:rsid w:val="5789386D"/>
    <w:rsid w:val="57FE209E"/>
    <w:rsid w:val="583E1F5D"/>
    <w:rsid w:val="58411CDE"/>
    <w:rsid w:val="5A1D3676"/>
    <w:rsid w:val="5AAA68E0"/>
    <w:rsid w:val="5B15066A"/>
    <w:rsid w:val="5B335CF1"/>
    <w:rsid w:val="5BCB1072"/>
    <w:rsid w:val="5BDC22E1"/>
    <w:rsid w:val="5C387D79"/>
    <w:rsid w:val="5C7C711A"/>
    <w:rsid w:val="5CD27993"/>
    <w:rsid w:val="5CDB0869"/>
    <w:rsid w:val="5DD6052C"/>
    <w:rsid w:val="5E2579EA"/>
    <w:rsid w:val="5EBC3370"/>
    <w:rsid w:val="5F061A70"/>
    <w:rsid w:val="5FE66DB0"/>
    <w:rsid w:val="5FF74A12"/>
    <w:rsid w:val="60D80B1B"/>
    <w:rsid w:val="6181401C"/>
    <w:rsid w:val="61830148"/>
    <w:rsid w:val="630A32B4"/>
    <w:rsid w:val="63305296"/>
    <w:rsid w:val="63BC1FE5"/>
    <w:rsid w:val="64406282"/>
    <w:rsid w:val="65664D92"/>
    <w:rsid w:val="656C75E5"/>
    <w:rsid w:val="66C54119"/>
    <w:rsid w:val="66DC5EC3"/>
    <w:rsid w:val="67303397"/>
    <w:rsid w:val="67827C7F"/>
    <w:rsid w:val="678B63A5"/>
    <w:rsid w:val="688D378B"/>
    <w:rsid w:val="695B5C3C"/>
    <w:rsid w:val="6CAD1D83"/>
    <w:rsid w:val="6EB30CF4"/>
    <w:rsid w:val="6F9F4FBB"/>
    <w:rsid w:val="704A27A1"/>
    <w:rsid w:val="7054252D"/>
    <w:rsid w:val="70ED0FA4"/>
    <w:rsid w:val="714141B8"/>
    <w:rsid w:val="716311C8"/>
    <w:rsid w:val="730845AC"/>
    <w:rsid w:val="73581D64"/>
    <w:rsid w:val="736E19A8"/>
    <w:rsid w:val="739A1AD9"/>
    <w:rsid w:val="73AF2C85"/>
    <w:rsid w:val="74295509"/>
    <w:rsid w:val="747A04DB"/>
    <w:rsid w:val="7553090C"/>
    <w:rsid w:val="75C365D2"/>
    <w:rsid w:val="75E90C75"/>
    <w:rsid w:val="766D6567"/>
    <w:rsid w:val="79D20E08"/>
    <w:rsid w:val="7B904ABE"/>
    <w:rsid w:val="7C503D1C"/>
    <w:rsid w:val="7C571E67"/>
    <w:rsid w:val="7C866302"/>
    <w:rsid w:val="7D072657"/>
    <w:rsid w:val="7E7A34E5"/>
    <w:rsid w:val="7EE30227"/>
    <w:rsid w:val="CFCA9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rFonts w:hint="eastAsia" w:ascii="微软雅黑" w:hAnsi="微软雅黑" w:eastAsia="微软雅黑" w:cs="微软雅黑"/>
      <w:color w:val="333333"/>
      <w:u w:val="none"/>
    </w:rPr>
  </w:style>
  <w:style w:type="character" w:styleId="10">
    <w:name w:val="Emphasis"/>
    <w:basedOn w:val="7"/>
    <w:qFormat/>
    <w:uiPriority w:val="0"/>
    <w:rPr>
      <w:rFonts w:hint="eastAsia" w:ascii="微软雅黑" w:hAnsi="微软雅黑" w:eastAsia="微软雅黑" w:cs="微软雅黑"/>
    </w:rPr>
  </w:style>
  <w:style w:type="character" w:styleId="11">
    <w:name w:val="Hyperlink"/>
    <w:basedOn w:val="7"/>
    <w:qFormat/>
    <w:uiPriority w:val="0"/>
    <w:rPr>
      <w:rFonts w:hint="eastAsia" w:ascii="微软雅黑" w:hAnsi="微软雅黑" w:eastAsia="微软雅黑" w:cs="微软雅黑"/>
      <w:color w:val="333333"/>
      <w:u w:val="none"/>
    </w:rPr>
  </w:style>
  <w:style w:type="character" w:customStyle="1" w:styleId="12">
    <w:name w:val="font31"/>
    <w:basedOn w:val="7"/>
    <w:qFormat/>
    <w:uiPriority w:val="99"/>
    <w:rPr>
      <w:rFonts w:ascii="宋体" w:hAnsi="宋体" w:eastAsia="宋体" w:cs="宋体"/>
      <w:color w:val="000000"/>
      <w:sz w:val="21"/>
      <w:szCs w:val="21"/>
      <w:u w:val="none"/>
    </w:rPr>
  </w:style>
  <w:style w:type="character" w:customStyle="1" w:styleId="13">
    <w:name w:val="bg-box"/>
    <w:basedOn w:val="7"/>
    <w:qFormat/>
    <w:uiPriority w:val="0"/>
    <w:rPr>
      <w:color w:val="FFFFFF"/>
      <w:sz w:val="21"/>
      <w:szCs w:val="21"/>
    </w:rPr>
  </w:style>
  <w:style w:type="character" w:customStyle="1" w:styleId="14">
    <w:name w:val="bg"/>
    <w:basedOn w:val="7"/>
    <w:qFormat/>
    <w:uiPriority w:val="0"/>
    <w:rPr>
      <w:shd w:val="clear" w:fil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2021-12-20T20:29:00Z</dcterms:created>
  <dc:creator>鲁亚茹</dc:creator>
  <cp:lastModifiedBy>叶荣华</cp:lastModifiedBy>
  <cp:lastPrinted>2021-12-29T02:02:00Z</cp:lastPrinted>
  <dcterms:modified xsi:type="dcterms:W3CDTF">2025-12-24T09:04:06Z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