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opLinePunct/>
        <w:autoSpaceDE w:val="0"/>
        <w:autoSpaceDN w:val="0"/>
        <w:spacing w:before="0" w:after="0" w:line="360" w:lineRule="auto"/>
        <w:jc w:val="center"/>
        <w:rPr>
          <w:rFonts w:hint="eastAsia" w:ascii="宋体" w:hAnsi="宋体" w:eastAsia="宋体" w:cs="宋体"/>
          <w:b/>
          <w:sz w:val="96"/>
          <w:szCs w:val="96"/>
          <w:lang w:eastAsia="zh-CN"/>
        </w:rPr>
      </w:pPr>
    </w:p>
    <w:p>
      <w:pPr>
        <w:widowControl w:val="0"/>
        <w:topLinePunct/>
        <w:autoSpaceDE w:val="0"/>
        <w:autoSpaceDN w:val="0"/>
        <w:spacing w:before="0" w:after="0" w:line="360" w:lineRule="auto"/>
        <w:jc w:val="center"/>
        <w:rPr>
          <w:rFonts w:hint="eastAsia" w:ascii="宋体" w:hAnsi="宋体" w:eastAsia="宋体" w:cs="宋体"/>
          <w:b/>
          <w:sz w:val="96"/>
          <w:szCs w:val="96"/>
          <w:lang w:eastAsia="zh-CN"/>
        </w:rPr>
      </w:pPr>
      <w:r>
        <w:rPr>
          <w:rFonts w:hint="eastAsia" w:ascii="宋体" w:hAnsi="宋体" w:eastAsia="宋体" w:cs="宋体"/>
          <w:b/>
          <w:sz w:val="96"/>
          <w:szCs w:val="96"/>
          <w:lang w:eastAsia="zh-CN"/>
        </w:rPr>
        <w:t>采 购 需 求</w:t>
      </w:r>
    </w:p>
    <w:p>
      <w:pPr>
        <w:widowControl w:val="0"/>
        <w:topLinePunct/>
        <w:autoSpaceDE w:val="0"/>
        <w:autoSpaceDN w:val="0"/>
        <w:spacing w:before="0" w:after="0" w:line="360" w:lineRule="auto"/>
        <w:jc w:val="center"/>
        <w:rPr>
          <w:rFonts w:hint="eastAsia" w:ascii="宋体" w:hAnsi="宋体" w:eastAsia="宋体" w:cs="宋体"/>
          <w:b/>
          <w:sz w:val="80"/>
          <w:szCs w:val="80"/>
          <w:lang w:eastAsia="zh-CN"/>
        </w:rPr>
      </w:pPr>
    </w:p>
    <w:p>
      <w:pPr>
        <w:widowControl w:val="0"/>
        <w:topLinePunct/>
        <w:autoSpaceDE w:val="0"/>
        <w:autoSpaceDN w:val="0"/>
        <w:spacing w:before="0" w:after="0" w:line="360" w:lineRule="auto"/>
        <w:jc w:val="center"/>
        <w:rPr>
          <w:rFonts w:hint="eastAsia" w:ascii="宋体" w:hAnsi="宋体" w:eastAsia="宋体" w:cs="宋体"/>
          <w:b/>
          <w:sz w:val="80"/>
          <w:szCs w:val="80"/>
          <w:lang w:eastAsia="zh-CN"/>
        </w:rPr>
      </w:pPr>
    </w:p>
    <w:p>
      <w:pPr>
        <w:widowControl w:val="0"/>
        <w:topLinePunct/>
        <w:autoSpaceDE w:val="0"/>
        <w:autoSpaceDN w:val="0"/>
        <w:spacing w:before="0" w:after="0" w:line="360" w:lineRule="auto"/>
        <w:jc w:val="center"/>
        <w:rPr>
          <w:rFonts w:hint="eastAsia" w:ascii="宋体" w:hAnsi="宋体" w:eastAsia="宋体" w:cs="宋体"/>
          <w:b/>
          <w:sz w:val="80"/>
          <w:szCs w:val="80"/>
          <w:lang w:eastAsia="zh-CN"/>
        </w:rPr>
      </w:pPr>
    </w:p>
    <w:p>
      <w:pPr>
        <w:widowControl w:val="0"/>
        <w:topLinePunct/>
        <w:autoSpaceDE w:val="0"/>
        <w:autoSpaceDN w:val="0"/>
        <w:spacing w:before="0" w:after="0" w:line="360" w:lineRule="auto"/>
        <w:jc w:val="center"/>
        <w:rPr>
          <w:rFonts w:hint="eastAsia" w:ascii="宋体" w:hAnsi="宋体" w:eastAsia="宋体" w:cs="宋体"/>
          <w:b/>
          <w:sz w:val="30"/>
          <w:szCs w:val="30"/>
          <w:lang w:eastAsia="zh-CN"/>
        </w:rPr>
      </w:pPr>
      <w:r>
        <w:rPr>
          <w:rFonts w:hint="eastAsia" w:ascii="宋体" w:hAnsi="宋体" w:eastAsia="宋体" w:cs="宋体"/>
          <w:b/>
          <w:sz w:val="30"/>
          <w:szCs w:val="30"/>
          <w:lang w:eastAsia="zh-CN"/>
        </w:rPr>
        <w:t>项目名称：</w:t>
      </w:r>
      <w:bookmarkStart w:id="0" w:name="项目名称_projectName"/>
      <w:r>
        <w:rPr>
          <w:rFonts w:hint="eastAsia" w:ascii="宋体" w:hAnsi="宋体" w:eastAsia="宋体" w:cs="宋体"/>
          <w:b/>
          <w:sz w:val="30"/>
          <w:szCs w:val="30"/>
          <w:lang w:eastAsia="zh-CN"/>
        </w:rPr>
        <w:t>国家税务总局武汉市洪山区税务局2026年纳税咨询服务</w:t>
      </w:r>
      <w:bookmarkEnd w:id="0"/>
    </w:p>
    <w:p>
      <w:pPr>
        <w:widowControl w:val="0"/>
        <w:spacing w:before="0" w:after="0" w:line="360" w:lineRule="auto"/>
        <w:jc w:val="both"/>
        <w:rPr>
          <w:rFonts w:hint="eastAsia" w:ascii="宋体" w:hAnsi="宋体" w:eastAsia="宋体" w:cs="宋体"/>
          <w:kern w:val="2"/>
          <w:sz w:val="32"/>
          <w:szCs w:val="32"/>
          <w:lang w:eastAsia="zh-CN"/>
        </w:rPr>
      </w:pPr>
    </w:p>
    <w:p>
      <w:pPr>
        <w:widowControl w:val="0"/>
        <w:spacing w:before="0" w:after="0" w:line="360" w:lineRule="auto"/>
        <w:jc w:val="both"/>
        <w:rPr>
          <w:rFonts w:ascii="宋体" w:hAnsi="宋体" w:eastAsia="宋体" w:cs="宋体"/>
          <w:kern w:val="2"/>
          <w:sz w:val="32"/>
          <w:szCs w:val="32"/>
          <w:lang w:eastAsia="zh-CN"/>
        </w:rPr>
      </w:pPr>
    </w:p>
    <w:p>
      <w:pPr>
        <w:widowControl w:val="0"/>
        <w:spacing w:before="0" w:after="0" w:line="360" w:lineRule="auto"/>
        <w:jc w:val="both"/>
        <w:rPr>
          <w:rFonts w:hint="eastAsia" w:ascii="宋体" w:hAnsi="宋体" w:eastAsia="宋体" w:cs="宋体"/>
          <w:kern w:val="2"/>
          <w:sz w:val="32"/>
          <w:szCs w:val="32"/>
          <w:lang w:eastAsia="zh-CN"/>
        </w:rPr>
      </w:pPr>
    </w:p>
    <w:p>
      <w:pPr>
        <w:widowControl w:val="0"/>
        <w:topLinePunct/>
        <w:autoSpaceDE w:val="0"/>
        <w:autoSpaceDN w:val="0"/>
        <w:spacing w:before="0" w:after="0" w:line="360" w:lineRule="auto"/>
        <w:jc w:val="both"/>
        <w:rPr>
          <w:rFonts w:hint="eastAsia" w:ascii="宋体" w:hAnsi="宋体" w:eastAsia="宋体" w:cs="宋体"/>
          <w:sz w:val="32"/>
          <w:szCs w:val="32"/>
          <w:lang w:eastAsia="zh-CN"/>
        </w:rPr>
      </w:pPr>
    </w:p>
    <w:p>
      <w:pPr>
        <w:spacing w:before="0" w:after="0" w:line="360" w:lineRule="auto"/>
        <w:jc w:val="center"/>
        <w:rPr>
          <w:rFonts w:eastAsia="宋体"/>
        </w:rPr>
      </w:pPr>
      <w:bookmarkStart w:id="1" w:name="生成日期_currentDateTime_ym"/>
      <w:r>
        <w:rPr>
          <w:rFonts w:hint="eastAsia" w:ascii="宋体" w:hAnsi="宋体" w:eastAsia="宋体" w:cs="宋体"/>
          <w:sz w:val="36"/>
          <w:szCs w:val="36"/>
          <w:lang w:eastAsia="zh-CN"/>
        </w:rPr>
        <w:t>2025年11月</w:t>
      </w:r>
      <w:bookmarkEnd w:id="1"/>
    </w:p>
    <w:p>
      <w:pPr>
        <w:spacing w:before="0" w:after="0" w:line="360" w:lineRule="auto"/>
        <w:jc w:val="center"/>
        <w:rPr>
          <w:rFonts w:ascii="宋体" w:hAnsi="宋体" w:eastAsia="宋体" w:cs="宋体"/>
          <w:sz w:val="32"/>
        </w:rPr>
      </w:pPr>
      <w:r>
        <w:br w:type="page"/>
      </w:r>
      <w:r>
        <w:rPr>
          <w:rFonts w:ascii="宋体" w:hAnsi="宋体" w:eastAsia="宋体" w:cs="宋体"/>
          <w:sz w:val="32"/>
        </w:rPr>
        <w:t>目 录</w:t>
      </w:r>
    </w:p>
    <w:p>
      <w:pPr>
        <w:pStyle w:val="7"/>
        <w:tabs>
          <w:tab w:val="right" w:leader="dot" w:pos="9016"/>
        </w:tabs>
        <w:spacing w:before="0" w:after="0" w:line="360" w:lineRule="auto"/>
        <w:rPr>
          <w:rFonts w:asciiTheme="minorHAnsi" w:hAnsiTheme="minorHAnsi"/>
          <w:sz w:val="22"/>
        </w:rPr>
      </w:pPr>
      <w:r>
        <w:rPr>
          <w:rFonts w:ascii="宋体" w:hAnsi="宋体" w:eastAsia="宋体" w:cs="宋体"/>
          <w:sz w:val="32"/>
        </w:rPr>
        <w:fldChar w:fldCharType="begin"/>
      </w:r>
      <w:r>
        <w:rPr>
          <w:rFonts w:ascii="宋体" w:hAnsi="宋体" w:eastAsia="宋体" w:cs="宋体"/>
          <w:sz w:val="32"/>
        </w:rPr>
        <w:instrText xml:space="preserve">TOC \o "1-3" \h \z \u</w:instrText>
      </w:r>
      <w:r>
        <w:rPr>
          <w:rFonts w:ascii="宋体" w:hAnsi="宋体" w:eastAsia="宋体" w:cs="宋体"/>
          <w:sz w:val="32"/>
        </w:rPr>
        <w:fldChar w:fldCharType="separate"/>
      </w:r>
      <w:r>
        <w:fldChar w:fldCharType="begin"/>
      </w:r>
      <w:r>
        <w:instrText xml:space="preserve"> HYPERLINK \l "_Toc256000000" </w:instrText>
      </w:r>
      <w:r>
        <w:fldChar w:fldCharType="separate"/>
      </w:r>
      <w:r>
        <w:rPr>
          <w:rStyle w:val="11"/>
          <w:rFonts w:ascii="仿宋_GB2312" w:hAnsi="仿宋_GB2312" w:eastAsia="仿宋_GB2312" w:cs="仿宋_GB2312"/>
          <w:kern w:val="36"/>
        </w:rPr>
        <w:t>1项目概述</w:t>
      </w:r>
      <w:r>
        <w:tab/>
      </w:r>
      <w:r>
        <w:fldChar w:fldCharType="begin"/>
      </w:r>
      <w:r>
        <w:instrText xml:space="preserve"> PAGEREF _Toc256000000 \h </w:instrText>
      </w:r>
      <w:r>
        <w:fldChar w:fldCharType="separate"/>
      </w:r>
      <w:r>
        <w:t>4</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"_Toc256000001" </w:instrText>
      </w:r>
      <w:r>
        <w:fldChar w:fldCharType="separate"/>
      </w:r>
      <w:r>
        <w:rPr>
          <w:rStyle w:val="11"/>
          <w:rFonts w:ascii="仿宋_GB2312" w:hAnsi="仿宋_GB2312" w:eastAsia="仿宋_GB2312" w:cs="仿宋_GB2312"/>
        </w:rPr>
        <w:t>1.1项目背景</w:t>
      </w:r>
      <w:r>
        <w:tab/>
      </w:r>
      <w:r>
        <w:fldChar w:fldCharType="begin"/>
      </w:r>
      <w:r>
        <w:instrText xml:space="preserve"> PAGEREF _Toc256000001 \h </w:instrText>
      </w:r>
      <w:r>
        <w:fldChar w:fldCharType="separate"/>
      </w:r>
      <w:r>
        <w:t>4</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"_Toc256000002" </w:instrText>
      </w:r>
      <w:r>
        <w:fldChar w:fldCharType="separate"/>
      </w:r>
      <w:r>
        <w:rPr>
          <w:rStyle w:val="11"/>
          <w:rFonts w:ascii="仿宋_GB2312" w:hAnsi="仿宋_GB2312" w:eastAsia="仿宋_GB2312" w:cs="仿宋_GB2312"/>
        </w:rPr>
        <w:t>1.1.1项目目的、意义及背景</w:t>
      </w:r>
      <w:r>
        <w:tab/>
      </w:r>
      <w:r>
        <w:fldChar w:fldCharType="begin"/>
      </w:r>
      <w:r>
        <w:instrText xml:space="preserve"> PAGEREF _Toc256000002 \h </w:instrText>
      </w:r>
      <w:r>
        <w:fldChar w:fldCharType="separate"/>
      </w:r>
      <w:r>
        <w:t>4</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"_Toc256000003" </w:instrText>
      </w:r>
      <w:r>
        <w:fldChar w:fldCharType="separate"/>
      </w:r>
      <w:r>
        <w:rPr>
          <w:rStyle w:val="11"/>
          <w:rFonts w:ascii="仿宋_GB2312" w:hAnsi="仿宋_GB2312" w:eastAsia="仿宋_GB2312" w:cs="仿宋_GB2312"/>
        </w:rPr>
        <w:t>1.2项目内容</w:t>
      </w:r>
      <w:r>
        <w:tab/>
      </w:r>
      <w:r>
        <w:fldChar w:fldCharType="begin"/>
      </w:r>
      <w:r>
        <w:instrText xml:space="preserve"> PAGEREF _Toc256000003 \h </w:instrText>
      </w:r>
      <w:r>
        <w:fldChar w:fldCharType="separate"/>
      </w:r>
      <w:r>
        <w:t>4</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"_Toc256000004" </w:instrText>
      </w:r>
      <w:r>
        <w:fldChar w:fldCharType="separate"/>
      </w:r>
      <w:r>
        <w:rPr>
          <w:rStyle w:val="11"/>
          <w:rFonts w:ascii="仿宋_GB2312" w:hAnsi="仿宋_GB2312" w:eastAsia="仿宋_GB2312" w:cs="仿宋_GB2312"/>
        </w:rPr>
        <w:t>1.2.1项目建设思路</w:t>
      </w:r>
      <w:r>
        <w:tab/>
      </w:r>
      <w:r>
        <w:fldChar w:fldCharType="begin"/>
      </w:r>
      <w:r>
        <w:instrText xml:space="preserve"> PAGEREF _Toc256000004 \h </w:instrText>
      </w:r>
      <w:r>
        <w:fldChar w:fldCharType="separate"/>
      </w:r>
      <w:r>
        <w:t>4</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"_Toc256000005" </w:instrText>
      </w:r>
      <w:r>
        <w:fldChar w:fldCharType="separate"/>
      </w:r>
      <w:r>
        <w:rPr>
          <w:rStyle w:val="11"/>
          <w:rFonts w:ascii="仿宋_GB2312" w:hAnsi="仿宋_GB2312" w:eastAsia="仿宋_GB2312" w:cs="仿宋_GB2312"/>
        </w:rPr>
        <w:t>1.2.2采购内容</w:t>
      </w:r>
      <w:r>
        <w:tab/>
      </w:r>
      <w:r>
        <w:fldChar w:fldCharType="begin"/>
      </w:r>
      <w:r>
        <w:instrText xml:space="preserve"> PAGEREF _Toc256000005 \h </w:instrText>
      </w:r>
      <w:r>
        <w:fldChar w:fldCharType="separate"/>
      </w:r>
      <w:r>
        <w:t>4</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"_Toc256000006" </w:instrText>
      </w:r>
      <w:r>
        <w:fldChar w:fldCharType="separate"/>
      </w:r>
      <w:r>
        <w:rPr>
          <w:rStyle w:val="11"/>
          <w:rFonts w:ascii="仿宋_GB2312" w:hAnsi="仿宋_GB2312" w:eastAsia="仿宋_GB2312" w:cs="仿宋_GB2312"/>
        </w:rPr>
        <w:t>1.2.3项目实施要求</w:t>
      </w:r>
      <w:r>
        <w:tab/>
      </w:r>
      <w:r>
        <w:fldChar w:fldCharType="begin"/>
      </w:r>
      <w:r>
        <w:instrText xml:space="preserve"> PAGEREF _Toc256000006 \h </w:instrText>
      </w:r>
      <w:r>
        <w:fldChar w:fldCharType="separate"/>
      </w:r>
      <w:r>
        <w:t>5</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"_Toc256000007" </w:instrText>
      </w:r>
      <w:r>
        <w:fldChar w:fldCharType="separate"/>
      </w:r>
      <w:r>
        <w:rPr>
          <w:rStyle w:val="11"/>
          <w:rFonts w:ascii="仿宋_GB2312" w:hAnsi="仿宋_GB2312" w:eastAsia="仿宋_GB2312" w:cs="仿宋_GB2312"/>
        </w:rPr>
        <w:t>1.3其他要求</w:t>
      </w:r>
      <w:r>
        <w:tab/>
      </w:r>
      <w:r>
        <w:fldChar w:fldCharType="begin"/>
      </w:r>
      <w:r>
        <w:instrText xml:space="preserve"> PAGEREF _Toc256000007 \h </w:instrText>
      </w:r>
      <w:r>
        <w:fldChar w:fldCharType="separate"/>
      </w:r>
      <w:r>
        <w:t>5</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"_Toc256000008" </w:instrText>
      </w:r>
      <w:r>
        <w:fldChar w:fldCharType="separate"/>
      </w:r>
      <w:r>
        <w:rPr>
          <w:rStyle w:val="11"/>
          <w:rFonts w:ascii="仿宋_GB2312" w:hAnsi="仿宋_GB2312" w:eastAsia="仿宋_GB2312" w:cs="仿宋_GB2312"/>
        </w:rPr>
        <w:t>1.3.1采购标的需执行的相关标准规范</w:t>
      </w:r>
      <w:r>
        <w:tab/>
      </w:r>
      <w:r>
        <w:fldChar w:fldCharType="begin"/>
      </w:r>
      <w:r>
        <w:instrText xml:space="preserve"> PAGEREF _Toc256000008 \h </w:instrText>
      </w:r>
      <w:r>
        <w:fldChar w:fldCharType="separate"/>
      </w:r>
      <w:r>
        <w:t>5</w:t>
      </w:r>
      <w:r>
        <w:fldChar w:fldCharType="end"/>
      </w:r>
      <w:r>
        <w:fldChar w:fldCharType="end"/>
      </w:r>
    </w:p>
    <w:p>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"_Toc256000009" </w:instrText>
      </w:r>
      <w:r>
        <w:fldChar w:fldCharType="separate"/>
      </w:r>
      <w:r>
        <w:rPr>
          <w:rStyle w:val="11"/>
          <w:rFonts w:ascii="仿宋_GB2312" w:hAnsi="仿宋_GB2312" w:eastAsia="仿宋_GB2312" w:cs="仿宋_GB2312"/>
          <w:kern w:val="36"/>
        </w:rPr>
        <w:t>2投标/响应要求</w:t>
      </w:r>
      <w:r>
        <w:tab/>
      </w:r>
      <w:r>
        <w:fldChar w:fldCharType="begin"/>
      </w:r>
      <w:r>
        <w:instrText xml:space="preserve"> PAGEREF _Toc256000009 \h </w:instrText>
      </w:r>
      <w:r>
        <w:fldChar w:fldCharType="separate"/>
      </w:r>
      <w:r>
        <w:t>6</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"_Toc256000010" </w:instrText>
      </w:r>
      <w:r>
        <w:fldChar w:fldCharType="separate"/>
      </w:r>
      <w:r>
        <w:rPr>
          <w:rStyle w:val="11"/>
          <w:rFonts w:ascii="仿宋_GB2312" w:hAnsi="仿宋_GB2312" w:eastAsia="仿宋_GB2312" w:cs="仿宋_GB2312"/>
        </w:rPr>
        <w:t>2.1对供应商的要求</w:t>
      </w:r>
      <w:r>
        <w:tab/>
      </w:r>
      <w:r>
        <w:fldChar w:fldCharType="begin"/>
      </w:r>
      <w:r>
        <w:instrText xml:space="preserve"> PAGEREF _Toc256000010 \h </w:instrText>
      </w:r>
      <w:r>
        <w:fldChar w:fldCharType="separate"/>
      </w:r>
      <w:r>
        <w:t>6</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"_Toc256000011" </w:instrText>
      </w:r>
      <w:r>
        <w:fldChar w:fldCharType="separate"/>
      </w:r>
      <w:r>
        <w:rPr>
          <w:rStyle w:val="11"/>
          <w:rFonts w:ascii="仿宋_GB2312" w:hAnsi="仿宋_GB2312" w:eastAsia="仿宋_GB2312" w:cs="仿宋_GB2312"/>
        </w:rPr>
        <w:t>2.1.1必备资质</w:t>
      </w:r>
      <w:r>
        <w:tab/>
      </w:r>
      <w:r>
        <w:fldChar w:fldCharType="begin"/>
      </w:r>
      <w:r>
        <w:instrText xml:space="preserve"> PAGEREF _Toc256000011 \h </w:instrText>
      </w:r>
      <w:r>
        <w:fldChar w:fldCharType="separate"/>
      </w:r>
      <w:r>
        <w:t>6</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"_Toc256000012" </w:instrText>
      </w:r>
      <w:r>
        <w:fldChar w:fldCharType="separate"/>
      </w:r>
      <w:r>
        <w:rPr>
          <w:rStyle w:val="11"/>
          <w:rFonts w:ascii="仿宋_GB2312" w:hAnsi="仿宋_GB2312" w:eastAsia="仿宋_GB2312" w:cs="仿宋_GB2312"/>
        </w:rPr>
        <w:t>2.1.2优选资质/优选指标</w:t>
      </w:r>
      <w:r>
        <w:tab/>
      </w:r>
      <w:r>
        <w:fldChar w:fldCharType="begin"/>
      </w:r>
      <w:r>
        <w:instrText xml:space="preserve"> PAGEREF _Toc256000012 \h </w:instrText>
      </w:r>
      <w:r>
        <w:fldChar w:fldCharType="separate"/>
      </w:r>
      <w:r>
        <w:t>6</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"_Toc256000013" </w:instrText>
      </w:r>
      <w:r>
        <w:fldChar w:fldCharType="separate"/>
      </w:r>
      <w:r>
        <w:rPr>
          <w:rStyle w:val="11"/>
          <w:rFonts w:ascii="仿宋_GB2312" w:hAnsi="仿宋_GB2312" w:eastAsia="仿宋_GB2312" w:cs="仿宋_GB2312"/>
        </w:rPr>
        <w:t>2.1.3是否允许联合体</w:t>
      </w:r>
      <w:r>
        <w:tab/>
      </w:r>
      <w:r>
        <w:fldChar w:fldCharType="begin"/>
      </w:r>
      <w:r>
        <w:instrText xml:space="preserve"> PAGEREF _Toc256000013 \h </w:instrText>
      </w:r>
      <w:r>
        <w:fldChar w:fldCharType="separate"/>
      </w:r>
      <w:r>
        <w:t>6</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"_Toc256000014" </w:instrText>
      </w:r>
      <w:r>
        <w:fldChar w:fldCharType="separate"/>
      </w:r>
      <w:r>
        <w:rPr>
          <w:rStyle w:val="11"/>
          <w:rFonts w:ascii="仿宋_GB2312" w:hAnsi="仿宋_GB2312" w:eastAsia="仿宋_GB2312" w:cs="仿宋_GB2312"/>
        </w:rPr>
        <w:t>2.1.4是否专门面向中小企业</w:t>
      </w:r>
      <w:r>
        <w:tab/>
      </w:r>
      <w:r>
        <w:fldChar w:fldCharType="begin"/>
      </w:r>
      <w:r>
        <w:instrText xml:space="preserve"> PAGEREF _Toc256000014 \h </w:instrText>
      </w:r>
      <w:r>
        <w:fldChar w:fldCharType="separate"/>
      </w:r>
      <w:r>
        <w:t>6</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"_Toc256000015" </w:instrText>
      </w:r>
      <w:r>
        <w:fldChar w:fldCharType="separate"/>
      </w:r>
      <w:r>
        <w:rPr>
          <w:rStyle w:val="11"/>
          <w:rFonts w:ascii="仿宋_GB2312" w:hAnsi="仿宋_GB2312" w:eastAsia="仿宋_GB2312" w:cs="仿宋_GB2312"/>
        </w:rPr>
        <w:t>2.1.5其他要求</w:t>
      </w:r>
      <w:r>
        <w:tab/>
      </w:r>
      <w:r>
        <w:fldChar w:fldCharType="begin"/>
      </w:r>
      <w:r>
        <w:instrText xml:space="preserve"> PAGEREF _Toc256000015 \h </w:instrText>
      </w:r>
      <w:r>
        <w:fldChar w:fldCharType="separate"/>
      </w:r>
      <w:r>
        <w:t>7</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"_Toc256000016" </w:instrText>
      </w:r>
      <w:r>
        <w:fldChar w:fldCharType="separate"/>
      </w:r>
      <w:r>
        <w:rPr>
          <w:rStyle w:val="11"/>
          <w:rFonts w:ascii="仿宋_GB2312" w:hAnsi="仿宋_GB2312" w:eastAsia="仿宋_GB2312" w:cs="仿宋_GB2312"/>
        </w:rPr>
        <w:t>2.2技术部分投标/响应内容</w:t>
      </w:r>
      <w:r>
        <w:tab/>
      </w:r>
      <w:r>
        <w:fldChar w:fldCharType="begin"/>
      </w:r>
      <w:r>
        <w:instrText xml:space="preserve"> PAGEREF _Toc256000016 \h </w:instrText>
      </w:r>
      <w:r>
        <w:fldChar w:fldCharType="separate"/>
      </w:r>
      <w:r>
        <w:t>7</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"_Toc256000017" </w:instrText>
      </w:r>
      <w:r>
        <w:fldChar w:fldCharType="separate"/>
      </w:r>
      <w:r>
        <w:rPr>
          <w:rStyle w:val="11"/>
          <w:rFonts w:ascii="仿宋_GB2312" w:hAnsi="仿宋_GB2312" w:eastAsia="仿宋_GB2312" w:cs="仿宋_GB2312"/>
        </w:rPr>
        <w:t>2.2.1技术投标/响应总要求</w:t>
      </w:r>
      <w:r>
        <w:tab/>
      </w:r>
      <w:r>
        <w:fldChar w:fldCharType="begin"/>
      </w:r>
      <w:r>
        <w:instrText xml:space="preserve"> PAGEREF _Toc256000017 \h </w:instrText>
      </w:r>
      <w:r>
        <w:fldChar w:fldCharType="separate"/>
      </w:r>
      <w:r>
        <w:t>7</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"_Toc256000018" </w:instrText>
      </w:r>
      <w:r>
        <w:fldChar w:fldCharType="separate"/>
      </w:r>
      <w:r>
        <w:rPr>
          <w:rStyle w:val="11"/>
          <w:rFonts w:ascii="仿宋_GB2312" w:hAnsi="仿宋_GB2312" w:eastAsia="仿宋_GB2312" w:cs="仿宋_GB2312"/>
        </w:rPr>
        <w:t>2.2.2投标/响应方案要求</w:t>
      </w:r>
      <w:r>
        <w:tab/>
      </w:r>
      <w:r>
        <w:fldChar w:fldCharType="begin"/>
      </w:r>
      <w:r>
        <w:instrText xml:space="preserve"> PAGEREF _Toc256000018 \h </w:instrText>
      </w:r>
      <w:r>
        <w:fldChar w:fldCharType="separate"/>
      </w:r>
      <w:r>
        <w:t>7</w:t>
      </w:r>
      <w:r>
        <w:fldChar w:fldCharType="end"/>
      </w:r>
      <w:r>
        <w:fldChar w:fldCharType="end"/>
      </w:r>
    </w:p>
    <w:p>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"_Toc256000019" </w:instrText>
      </w:r>
      <w:r>
        <w:fldChar w:fldCharType="separate"/>
      </w:r>
      <w:r>
        <w:rPr>
          <w:rStyle w:val="11"/>
          <w:rFonts w:ascii="仿宋_GB2312" w:hAnsi="仿宋_GB2312" w:eastAsia="仿宋_GB2312" w:cs="仿宋_GB2312"/>
          <w:kern w:val="36"/>
        </w:rPr>
        <w:t>3项目需求</w:t>
      </w:r>
      <w:r>
        <w:tab/>
      </w:r>
      <w:r>
        <w:fldChar w:fldCharType="begin"/>
      </w:r>
      <w:r>
        <w:instrText xml:space="preserve"> PAGEREF _Toc256000019 \h </w:instrText>
      </w:r>
      <w:r>
        <w:fldChar w:fldCharType="separate"/>
      </w:r>
      <w:r>
        <w:t>9</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"_Toc256000020" </w:instrText>
      </w:r>
      <w:r>
        <w:fldChar w:fldCharType="separate"/>
      </w:r>
      <w:r>
        <w:rPr>
          <w:rStyle w:val="11"/>
          <w:rFonts w:ascii="仿宋_GB2312" w:hAnsi="仿宋_GB2312" w:eastAsia="仿宋_GB2312" w:cs="仿宋_GB2312"/>
        </w:rPr>
        <w:t>3.1总体要求</w:t>
      </w:r>
      <w:r>
        <w:tab/>
      </w:r>
      <w:r>
        <w:fldChar w:fldCharType="begin"/>
      </w:r>
      <w:r>
        <w:instrText xml:space="preserve"> PAGEREF _Toc256000020 \h </w:instrText>
      </w:r>
      <w:r>
        <w:fldChar w:fldCharType="separate"/>
      </w:r>
      <w:r>
        <w:t>9</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"_Toc256000021" </w:instrText>
      </w:r>
      <w:r>
        <w:fldChar w:fldCharType="separate"/>
      </w:r>
      <w:r>
        <w:rPr>
          <w:rStyle w:val="11"/>
          <w:rFonts w:ascii="仿宋_GB2312" w:hAnsi="仿宋_GB2312" w:eastAsia="仿宋_GB2312" w:cs="仿宋_GB2312"/>
        </w:rPr>
        <w:t>3.2服务内容和要求</w:t>
      </w:r>
      <w:r>
        <w:tab/>
      </w:r>
      <w:r>
        <w:fldChar w:fldCharType="begin"/>
      </w:r>
      <w:r>
        <w:instrText xml:space="preserve"> PAGEREF _Toc256000021 \h </w:instrText>
      </w:r>
      <w:r>
        <w:fldChar w:fldCharType="separate"/>
      </w:r>
      <w:r>
        <w:t>9</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"_Toc256000022" </w:instrText>
      </w:r>
      <w:r>
        <w:fldChar w:fldCharType="separate"/>
      </w:r>
      <w:r>
        <w:rPr>
          <w:rStyle w:val="11"/>
          <w:rFonts w:ascii="仿宋_GB2312" w:hAnsi="仿宋_GB2312" w:eastAsia="仿宋_GB2312" w:cs="仿宋_GB2312"/>
        </w:rPr>
        <w:t>3.2.1技术和服务客观指标</w:t>
      </w:r>
      <w:r>
        <w:tab/>
      </w:r>
      <w:r>
        <w:fldChar w:fldCharType="begin"/>
      </w:r>
      <w:r>
        <w:instrText xml:space="preserve"> PAGEREF _Toc256000022 \h </w:instrText>
      </w:r>
      <w:r>
        <w:fldChar w:fldCharType="separate"/>
      </w:r>
      <w:r>
        <w:t>9</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"_Toc256000023" </w:instrText>
      </w:r>
      <w:r>
        <w:fldChar w:fldCharType="separate"/>
      </w:r>
      <w:r>
        <w:rPr>
          <w:rStyle w:val="11"/>
          <w:rFonts w:ascii="仿宋_GB2312" w:hAnsi="仿宋_GB2312" w:eastAsia="仿宋_GB2312" w:cs="仿宋_GB2312"/>
        </w:rPr>
        <w:t>3.2.2技术和服务其他要求</w:t>
      </w:r>
      <w:r>
        <w:tab/>
      </w:r>
      <w:r>
        <w:fldChar w:fldCharType="begin"/>
      </w:r>
      <w:r>
        <w:instrText xml:space="preserve"> PAGEREF _Toc256000023 \h </w:instrText>
      </w:r>
      <w:r>
        <w:fldChar w:fldCharType="separate"/>
      </w:r>
      <w:r>
        <w:t>9</w:t>
      </w:r>
      <w:r>
        <w:fldChar w:fldCharType="end"/>
      </w:r>
      <w:r>
        <w:fldChar w:fldCharType="end"/>
      </w:r>
    </w:p>
    <w:p>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"_Toc256000024" </w:instrText>
      </w:r>
      <w:r>
        <w:fldChar w:fldCharType="separate"/>
      </w:r>
      <w:r>
        <w:rPr>
          <w:rStyle w:val="11"/>
          <w:rFonts w:ascii="仿宋_GB2312" w:hAnsi="仿宋_GB2312" w:eastAsia="仿宋_GB2312" w:cs="仿宋_GB2312"/>
          <w:kern w:val="36"/>
        </w:rPr>
        <w:t>4人员要求</w:t>
      </w:r>
      <w:r>
        <w:tab/>
      </w:r>
      <w:r>
        <w:fldChar w:fldCharType="begin"/>
      </w:r>
      <w:r>
        <w:instrText xml:space="preserve"> PAGEREF _Toc256000024 \h </w:instrText>
      </w:r>
      <w:r>
        <w:fldChar w:fldCharType="separate"/>
      </w:r>
      <w:r>
        <w:t>10</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"_Toc256000025" </w:instrText>
      </w:r>
      <w:r>
        <w:fldChar w:fldCharType="separate"/>
      </w:r>
      <w:r>
        <w:rPr>
          <w:rStyle w:val="11"/>
          <w:rFonts w:ascii="仿宋_GB2312" w:hAnsi="仿宋_GB2312" w:eastAsia="仿宋_GB2312" w:cs="仿宋_GB2312"/>
        </w:rPr>
        <w:t>4.1总体要求</w:t>
      </w:r>
      <w:r>
        <w:tab/>
      </w:r>
      <w:r>
        <w:fldChar w:fldCharType="begin"/>
      </w:r>
      <w:r>
        <w:instrText xml:space="preserve"> PAGEREF _Toc256000025 \h </w:instrText>
      </w:r>
      <w:r>
        <w:fldChar w:fldCharType="separate"/>
      </w:r>
      <w:r>
        <w:t>10</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"_Toc256000026" </w:instrText>
      </w:r>
      <w:r>
        <w:fldChar w:fldCharType="separate"/>
      </w:r>
      <w:r>
        <w:rPr>
          <w:rStyle w:val="11"/>
          <w:rFonts w:ascii="仿宋_GB2312" w:hAnsi="仿宋_GB2312" w:eastAsia="仿宋_GB2312" w:cs="仿宋_GB2312"/>
        </w:rPr>
        <w:t>4.2管理团队</w:t>
      </w:r>
      <w:r>
        <w:tab/>
      </w:r>
      <w:r>
        <w:fldChar w:fldCharType="begin"/>
      </w:r>
      <w:r>
        <w:instrText xml:space="preserve"> PAGEREF _Toc256000026 \h </w:instrText>
      </w:r>
      <w:r>
        <w:fldChar w:fldCharType="separate"/>
      </w:r>
      <w:r>
        <w:t>11</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"_Toc256000027" </w:instrText>
      </w:r>
      <w:r>
        <w:fldChar w:fldCharType="separate"/>
      </w:r>
      <w:r>
        <w:rPr>
          <w:rStyle w:val="11"/>
          <w:rFonts w:ascii="仿宋_GB2312" w:hAnsi="仿宋_GB2312" w:eastAsia="仿宋_GB2312" w:cs="仿宋_GB2312"/>
        </w:rPr>
        <w:t>4.2.1项目经理</w:t>
      </w:r>
      <w:r>
        <w:tab/>
      </w:r>
      <w:r>
        <w:fldChar w:fldCharType="begin"/>
      </w:r>
      <w:r>
        <w:instrText xml:space="preserve"> PAGEREF _Toc256000027 \h </w:instrText>
      </w:r>
      <w:r>
        <w:fldChar w:fldCharType="separate"/>
      </w:r>
      <w:r>
        <w:t>11</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"_Toc256000028" </w:instrText>
      </w:r>
      <w:r>
        <w:fldChar w:fldCharType="separate"/>
      </w:r>
      <w:r>
        <w:rPr>
          <w:rStyle w:val="11"/>
          <w:rFonts w:ascii="FangSong_GB2312" w:hAnsi="FangSong_GB2312" w:eastAsia="FangSong_GB2312" w:cs="FangSong_GB2312"/>
        </w:rPr>
        <w:t>项目支撑团队要求</w:t>
      </w:r>
      <w:r>
        <w:tab/>
      </w:r>
      <w:r>
        <w:fldChar w:fldCharType="begin"/>
      </w:r>
      <w:r>
        <w:instrText xml:space="preserve"> PAGEREF _Toc256000028 \h </w:instrText>
      </w:r>
      <w:r>
        <w:fldChar w:fldCharType="separate"/>
      </w:r>
      <w:r>
        <w:t>11</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"_Toc256000029" </w:instrText>
      </w:r>
      <w:r>
        <w:fldChar w:fldCharType="separate"/>
      </w:r>
      <w:r>
        <w:rPr>
          <w:rStyle w:val="11"/>
          <w:rFonts w:ascii="仿宋_GB2312" w:hAnsi="仿宋_GB2312" w:eastAsia="仿宋_GB2312" w:cs="仿宋_GB2312"/>
        </w:rPr>
        <w:t>4.3技术团队</w:t>
      </w:r>
      <w:r>
        <w:tab/>
      </w:r>
      <w:r>
        <w:fldChar w:fldCharType="begin"/>
      </w:r>
      <w:r>
        <w:instrText xml:space="preserve"> PAGEREF _Toc256000029 \h </w:instrText>
      </w:r>
      <w:r>
        <w:fldChar w:fldCharType="separate"/>
      </w:r>
      <w:r>
        <w:t>12</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"_Toc256000030" </w:instrText>
      </w:r>
      <w:r>
        <w:fldChar w:fldCharType="separate"/>
      </w:r>
      <w:r>
        <w:rPr>
          <w:rStyle w:val="11"/>
          <w:rFonts w:ascii="仿宋_GB2312" w:hAnsi="仿宋_GB2312" w:eastAsia="仿宋_GB2312" w:cs="仿宋_GB2312"/>
        </w:rPr>
        <w:t>4.4优选资质/优选指标</w:t>
      </w:r>
      <w:r>
        <w:tab/>
      </w:r>
      <w:r>
        <w:fldChar w:fldCharType="begin"/>
      </w:r>
      <w:r>
        <w:instrText xml:space="preserve"> PAGEREF _Toc256000030 \h </w:instrText>
      </w:r>
      <w:r>
        <w:fldChar w:fldCharType="separate"/>
      </w:r>
      <w:r>
        <w:t>13</w:t>
      </w:r>
      <w:r>
        <w:fldChar w:fldCharType="end"/>
      </w:r>
      <w:r>
        <w:fldChar w:fldCharType="end"/>
      </w:r>
    </w:p>
    <w:p>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"_Toc256000031" </w:instrText>
      </w:r>
      <w:r>
        <w:fldChar w:fldCharType="separate"/>
      </w:r>
      <w:r>
        <w:rPr>
          <w:rStyle w:val="11"/>
          <w:rFonts w:ascii="仿宋_GB2312" w:hAnsi="仿宋_GB2312" w:eastAsia="仿宋_GB2312" w:cs="仿宋_GB2312"/>
          <w:kern w:val="36"/>
        </w:rPr>
        <w:t>5管理实施要求</w:t>
      </w:r>
      <w:r>
        <w:tab/>
      </w:r>
      <w:r>
        <w:fldChar w:fldCharType="begin"/>
      </w:r>
      <w:r>
        <w:instrText xml:space="preserve"> PAGEREF _Toc256000031 \h </w:instrText>
      </w:r>
      <w:r>
        <w:fldChar w:fldCharType="separate"/>
      </w:r>
      <w:r>
        <w:t>13</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"_Toc256000032" </w:instrText>
      </w:r>
      <w:r>
        <w:fldChar w:fldCharType="separate"/>
      </w:r>
      <w:r>
        <w:rPr>
          <w:rStyle w:val="11"/>
          <w:rFonts w:ascii="FangSong_GB2312" w:hAnsi="FangSong_GB2312" w:eastAsia="FangSong_GB2312" w:cs="FangSong_GB2312"/>
        </w:rPr>
        <w:t>5.1基本管理要求</w:t>
      </w:r>
      <w:r>
        <w:tab/>
      </w:r>
      <w:r>
        <w:fldChar w:fldCharType="begin"/>
      </w:r>
      <w:r>
        <w:instrText xml:space="preserve"> PAGEREF _Toc256000032 \h </w:instrText>
      </w:r>
      <w:r>
        <w:fldChar w:fldCharType="separate"/>
      </w:r>
      <w:r>
        <w:t>13</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"_Toc256000033" </w:instrText>
      </w:r>
      <w:r>
        <w:fldChar w:fldCharType="separate"/>
      </w:r>
      <w:r>
        <w:rPr>
          <w:rStyle w:val="11"/>
          <w:rFonts w:ascii="FangSong_GB2312" w:hAnsi="FangSong_GB2312" w:eastAsia="FangSong_GB2312" w:cs="FangSong_GB2312"/>
        </w:rPr>
        <w:t>5.2 服务运行报告要求</w:t>
      </w:r>
      <w:r>
        <w:tab/>
      </w:r>
      <w:r>
        <w:fldChar w:fldCharType="begin"/>
      </w:r>
      <w:r>
        <w:instrText xml:space="preserve"> PAGEREF _Toc256000033 \h </w:instrText>
      </w:r>
      <w:r>
        <w:fldChar w:fldCharType="separate"/>
      </w:r>
      <w:r>
        <w:t>14</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"_Toc256000034" </w:instrText>
      </w:r>
      <w:r>
        <w:fldChar w:fldCharType="separate"/>
      </w:r>
      <w:r>
        <w:rPr>
          <w:rStyle w:val="11"/>
          <w:rFonts w:ascii="FangSong_GB2312" w:hAnsi="FangSong_GB2312" w:eastAsia="FangSong_GB2312" w:cs="FangSong_GB2312"/>
        </w:rPr>
        <w:t>5.3 服务质量考核要求</w:t>
      </w:r>
      <w:r>
        <w:tab/>
      </w:r>
      <w:r>
        <w:fldChar w:fldCharType="begin"/>
      </w:r>
      <w:r>
        <w:instrText xml:space="preserve"> PAGEREF _Toc256000034 \h </w:instrText>
      </w:r>
      <w:r>
        <w:fldChar w:fldCharType="separate"/>
      </w:r>
      <w:r>
        <w:t>15</w:t>
      </w:r>
      <w:r>
        <w:fldChar w:fldCharType="end"/>
      </w:r>
      <w:r>
        <w:fldChar w:fldCharType="end"/>
      </w:r>
    </w:p>
    <w:p>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"_Toc256000035" </w:instrText>
      </w:r>
      <w:r>
        <w:fldChar w:fldCharType="separate"/>
      </w:r>
      <w:r>
        <w:rPr>
          <w:rStyle w:val="11"/>
          <w:rFonts w:ascii="仿宋_GB2312" w:hAnsi="仿宋_GB2312" w:eastAsia="仿宋_GB2312" w:cs="仿宋_GB2312"/>
          <w:kern w:val="36"/>
        </w:rPr>
        <w:t>6风险管控要求</w:t>
      </w:r>
      <w:r>
        <w:tab/>
      </w:r>
      <w:r>
        <w:fldChar w:fldCharType="begin"/>
      </w:r>
      <w:r>
        <w:instrText xml:space="preserve"> PAGEREF _Toc256000035 \h </w:instrText>
      </w:r>
      <w:r>
        <w:fldChar w:fldCharType="separate"/>
      </w:r>
      <w:r>
        <w:t>15</w:t>
      </w:r>
      <w:r>
        <w:fldChar w:fldCharType="end"/>
      </w:r>
      <w:r>
        <w:fldChar w:fldCharType="end"/>
      </w:r>
    </w:p>
    <w:p>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"_Toc256000036" </w:instrText>
      </w:r>
      <w:r>
        <w:fldChar w:fldCharType="separate"/>
      </w:r>
      <w:r>
        <w:rPr>
          <w:rStyle w:val="11"/>
          <w:rFonts w:ascii="仿宋_GB2312" w:hAnsi="仿宋_GB2312" w:eastAsia="仿宋_GB2312" w:cs="仿宋_GB2312"/>
          <w:kern w:val="36"/>
        </w:rPr>
        <w:t>7履约验收要求</w:t>
      </w:r>
      <w:r>
        <w:tab/>
      </w:r>
      <w:r>
        <w:fldChar w:fldCharType="begin"/>
      </w:r>
      <w:r>
        <w:instrText xml:space="preserve"> PAGEREF _Toc256000036 \h </w:instrText>
      </w:r>
      <w:r>
        <w:fldChar w:fldCharType="separate"/>
      </w:r>
      <w:r>
        <w:t>16</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"_Toc256000037" </w:instrText>
      </w:r>
      <w:r>
        <w:fldChar w:fldCharType="separate"/>
      </w:r>
      <w:r>
        <w:rPr>
          <w:rStyle w:val="11"/>
          <w:rFonts w:ascii="仿宋_GB2312" w:hAnsi="仿宋_GB2312" w:eastAsia="仿宋_GB2312" w:cs="仿宋_GB2312"/>
        </w:rPr>
        <w:t>7.1总体要求</w:t>
      </w:r>
      <w:r>
        <w:tab/>
      </w:r>
      <w:r>
        <w:fldChar w:fldCharType="begin"/>
      </w:r>
      <w:r>
        <w:instrText xml:space="preserve"> PAGEREF _Toc256000037 \h </w:instrText>
      </w:r>
      <w:r>
        <w:fldChar w:fldCharType="separate"/>
      </w:r>
      <w:r>
        <w:t>16</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"_Toc256000038" </w:instrText>
      </w:r>
      <w:r>
        <w:fldChar w:fldCharType="separate"/>
      </w:r>
      <w:r>
        <w:rPr>
          <w:rStyle w:val="11"/>
          <w:rFonts w:ascii="仿宋_GB2312" w:hAnsi="仿宋_GB2312" w:eastAsia="仿宋_GB2312" w:cs="仿宋_GB2312"/>
        </w:rPr>
        <w:t>7.2具体要求</w:t>
      </w:r>
      <w:r>
        <w:tab/>
      </w:r>
      <w:r>
        <w:fldChar w:fldCharType="begin"/>
      </w:r>
      <w:r>
        <w:instrText xml:space="preserve"> PAGEREF _Toc256000038 \h </w:instrText>
      </w:r>
      <w:r>
        <w:fldChar w:fldCharType="separate"/>
      </w:r>
      <w:r>
        <w:t>17</w:t>
      </w:r>
      <w:r>
        <w:fldChar w:fldCharType="end"/>
      </w:r>
      <w:r>
        <w:fldChar w:fldCharType="end"/>
      </w:r>
    </w:p>
    <w:p>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"_Toc256000039" </w:instrText>
      </w:r>
      <w:r>
        <w:fldChar w:fldCharType="separate"/>
      </w:r>
      <w:r>
        <w:rPr>
          <w:rStyle w:val="11"/>
          <w:rFonts w:ascii="仿宋_GB2312" w:hAnsi="仿宋_GB2312" w:eastAsia="仿宋_GB2312" w:cs="仿宋_GB2312"/>
          <w:kern w:val="36"/>
        </w:rPr>
        <w:t>8其他要求</w:t>
      </w:r>
      <w:r>
        <w:tab/>
      </w:r>
      <w:r>
        <w:fldChar w:fldCharType="begin"/>
      </w:r>
      <w:r>
        <w:instrText xml:space="preserve"> PAGEREF _Toc256000039 \h </w:instrText>
      </w:r>
      <w:r>
        <w:fldChar w:fldCharType="separate"/>
      </w:r>
      <w:r>
        <w:t>17</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"_Toc256000040" </w:instrText>
      </w:r>
      <w:r>
        <w:fldChar w:fldCharType="separate"/>
      </w:r>
      <w:r>
        <w:rPr>
          <w:rStyle w:val="11"/>
          <w:rFonts w:ascii="仿宋_GB2312" w:hAnsi="仿宋_GB2312" w:eastAsia="仿宋_GB2312" w:cs="仿宋_GB2312"/>
        </w:rPr>
        <w:t>8.1必备要求</w:t>
      </w:r>
      <w:r>
        <w:tab/>
      </w:r>
      <w:r>
        <w:fldChar w:fldCharType="begin"/>
      </w:r>
      <w:r>
        <w:instrText xml:space="preserve"> PAGEREF _Toc256000040 \h </w:instrText>
      </w:r>
      <w:r>
        <w:fldChar w:fldCharType="separate"/>
      </w:r>
      <w:r>
        <w:t>17</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"_Toc256000041" </w:instrText>
      </w:r>
      <w:r>
        <w:fldChar w:fldCharType="separate"/>
      </w:r>
      <w:r>
        <w:rPr>
          <w:rStyle w:val="11"/>
          <w:rFonts w:ascii="仿宋_GB2312" w:hAnsi="仿宋_GB2312" w:eastAsia="仿宋_GB2312" w:cs="仿宋_GB2312"/>
        </w:rPr>
        <w:t>8.1.1通用必备要求</w:t>
      </w:r>
      <w:r>
        <w:tab/>
      </w:r>
      <w:r>
        <w:fldChar w:fldCharType="begin"/>
      </w:r>
      <w:r>
        <w:instrText xml:space="preserve"> PAGEREF _Toc256000041 \h </w:instrText>
      </w:r>
      <w:r>
        <w:fldChar w:fldCharType="separate"/>
      </w:r>
      <w:r>
        <w:t>17</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"_Toc256000042" </w:instrText>
      </w:r>
      <w:r>
        <w:fldChar w:fldCharType="separate"/>
      </w:r>
      <w:r>
        <w:rPr>
          <w:rStyle w:val="11"/>
          <w:rFonts w:ascii="仿宋_GB2312" w:hAnsi="仿宋_GB2312" w:eastAsia="仿宋_GB2312" w:cs="仿宋_GB2312"/>
        </w:rPr>
        <w:t>8.2付款安排建议</w:t>
      </w:r>
      <w:r>
        <w:tab/>
      </w:r>
      <w:r>
        <w:fldChar w:fldCharType="begin"/>
      </w:r>
      <w:r>
        <w:instrText xml:space="preserve"> PAGEREF _Toc256000042 \h </w:instrText>
      </w:r>
      <w:r>
        <w:fldChar w:fldCharType="separate"/>
      </w:r>
      <w:r>
        <w:t>18</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"_Toc256000043" </w:instrText>
      </w:r>
      <w:r>
        <w:fldChar w:fldCharType="separate"/>
      </w:r>
      <w:r>
        <w:rPr>
          <w:rStyle w:val="11"/>
          <w:rFonts w:ascii="仿宋_GB2312" w:hAnsi="仿宋_GB2312" w:eastAsia="仿宋_GB2312" w:cs="仿宋_GB2312"/>
        </w:rPr>
        <w:t>8.3其他要求</w:t>
      </w:r>
      <w:r>
        <w:tab/>
      </w:r>
      <w:r>
        <w:fldChar w:fldCharType="begin"/>
      </w:r>
      <w:r>
        <w:instrText xml:space="preserve"> PAGEREF _Toc256000043 \h </w:instrText>
      </w:r>
      <w:r>
        <w:fldChar w:fldCharType="separate"/>
      </w:r>
      <w:r>
        <w:t>19</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"_Toc256000044" </w:instrText>
      </w:r>
      <w:r>
        <w:fldChar w:fldCharType="separate"/>
      </w:r>
      <w:r>
        <w:rPr>
          <w:rStyle w:val="11"/>
          <w:rFonts w:ascii="仿宋_GB2312" w:hAnsi="仿宋_GB2312" w:eastAsia="仿宋_GB2312" w:cs="仿宋_GB2312"/>
        </w:rPr>
        <w:t>8.3.1保密要求</w:t>
      </w:r>
      <w:r>
        <w:tab/>
      </w:r>
      <w:r>
        <w:fldChar w:fldCharType="begin"/>
      </w:r>
      <w:r>
        <w:instrText xml:space="preserve"> PAGEREF _Toc256000044 \h </w:instrText>
      </w:r>
      <w:r>
        <w:fldChar w:fldCharType="separate"/>
      </w:r>
      <w:r>
        <w:t>19</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"_Toc256000045" </w:instrText>
      </w:r>
      <w:r>
        <w:fldChar w:fldCharType="separate"/>
      </w:r>
      <w:r>
        <w:rPr>
          <w:rStyle w:val="11"/>
          <w:rFonts w:ascii="仿宋_GB2312" w:hAnsi="仿宋_GB2312" w:eastAsia="仿宋_GB2312" w:cs="仿宋_GB2312"/>
        </w:rPr>
        <w:t>8.3.2知识转移要求</w:t>
      </w:r>
      <w:r>
        <w:tab/>
      </w:r>
      <w:r>
        <w:fldChar w:fldCharType="begin"/>
      </w:r>
      <w:r>
        <w:instrText xml:space="preserve"> PAGEREF _Toc256000045 \h </w:instrText>
      </w:r>
      <w:r>
        <w:fldChar w:fldCharType="separate"/>
      </w:r>
      <w:r>
        <w:t>19</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"_Toc256000046" </w:instrText>
      </w:r>
      <w:r>
        <w:fldChar w:fldCharType="separate"/>
      </w:r>
      <w:r>
        <w:rPr>
          <w:rStyle w:val="11"/>
          <w:rFonts w:ascii="仿宋_GB2312" w:hAnsi="仿宋_GB2312" w:eastAsia="仿宋_GB2312" w:cs="仿宋_GB2312"/>
        </w:rPr>
        <w:t>8.3.3知识产权要求</w:t>
      </w:r>
      <w:r>
        <w:tab/>
      </w:r>
      <w:r>
        <w:fldChar w:fldCharType="begin"/>
      </w:r>
      <w:r>
        <w:instrText xml:space="preserve"> PAGEREF _Toc256000046 \h </w:instrText>
      </w:r>
      <w:r>
        <w:fldChar w:fldCharType="separate"/>
      </w:r>
      <w:r>
        <w:t>20</w:t>
      </w:r>
      <w:r>
        <w:fldChar w:fldCharType="end"/>
      </w:r>
      <w:r>
        <w:fldChar w:fldCharType="end"/>
      </w:r>
    </w:p>
    <w:p>
      <w:pPr>
        <w:spacing w:before="0" w:after="0" w:line="360" w:lineRule="auto"/>
        <w:jc w:val="left"/>
      </w:pPr>
      <w:r>
        <w:rPr>
          <w:rFonts w:ascii="宋体" w:hAnsi="宋体" w:eastAsia="宋体" w:cs="宋体"/>
          <w:sz w:val="32"/>
        </w:rPr>
        <w:fldChar w:fldCharType="end"/>
      </w:r>
      <w:r>
        <w:br w:type="page"/>
      </w:r>
    </w:p>
    <w:p>
      <w:pPr>
        <w:pStyle w:val="2"/>
        <w:keepNext w:val="0"/>
        <w:spacing w:before="0" w:after="0" w:line="360" w:lineRule="auto"/>
        <w:jc w:val="center"/>
        <w:rPr>
          <w:rFonts w:ascii="仿宋_GB2312" w:hAnsi="仿宋_GB2312" w:eastAsia="仿宋_GB2312" w:cs="仿宋_GB2312"/>
          <w:b/>
          <w:bCs/>
          <w:sz w:val="32"/>
          <w:szCs w:val="32"/>
        </w:rPr>
      </w:pPr>
      <w:bookmarkStart w:id="2" w:name="_Toc256000000"/>
      <w:r>
        <w:rPr>
          <w:rFonts w:ascii="仿宋_GB2312" w:hAnsi="仿宋_GB2312" w:eastAsia="仿宋_GB2312" w:cs="仿宋_GB2312"/>
          <w:kern w:val="36"/>
        </w:rPr>
        <w:t>1项目概述</w:t>
      </w:r>
      <w:bookmarkEnd w:id="2"/>
    </w:p>
    <w:p>
      <w:pPr>
        <w:pStyle w:val="3"/>
        <w:keepNext w:val="0"/>
        <w:spacing w:before="0" w:after="0" w:line="360" w:lineRule="auto"/>
        <w:rPr>
          <w:rFonts w:ascii="仿宋_GB2312" w:hAnsi="仿宋_GB2312" w:eastAsia="仿宋_GB2312" w:cs="仿宋_GB2312"/>
          <w:b/>
          <w:bCs/>
          <w:sz w:val="28"/>
          <w:szCs w:val="28"/>
        </w:rPr>
      </w:pPr>
      <w:bookmarkStart w:id="3" w:name="_Toc256000001"/>
      <w:r>
        <w:rPr>
          <w:rFonts w:ascii="仿宋_GB2312" w:hAnsi="仿宋_GB2312" w:eastAsia="仿宋_GB2312" w:cs="仿宋_GB2312"/>
          <w:i w:val="0"/>
          <w:iCs w:val="0"/>
        </w:rPr>
        <w:t>1.1项目背景</w:t>
      </w:r>
      <w:bookmarkEnd w:id="3"/>
    </w:p>
    <w:p>
      <w:pPr>
        <w:pStyle w:val="4"/>
        <w:keepNext w:val="0"/>
        <w:spacing w:before="0" w:after="0" w:line="360" w:lineRule="auto"/>
        <w:rPr>
          <w:rFonts w:ascii="仿宋_GB2312" w:hAnsi="仿宋_GB2312" w:eastAsia="仿宋_GB2312" w:cs="仿宋_GB2312"/>
          <w:b/>
          <w:bCs/>
          <w:sz w:val="28"/>
          <w:szCs w:val="28"/>
        </w:rPr>
      </w:pPr>
      <w:bookmarkStart w:id="4" w:name="_Toc256000002"/>
      <w:r>
        <w:rPr>
          <w:rFonts w:ascii="仿宋_GB2312" w:hAnsi="仿宋_GB2312" w:eastAsia="仿宋_GB2312" w:cs="仿宋_GB2312"/>
          <w:sz w:val="28"/>
          <w:szCs w:val="28"/>
        </w:rPr>
        <w:t>1.1.1项目目的、意义及背景</w:t>
      </w:r>
      <w:bookmarkEnd w:id="4"/>
    </w:p>
    <w:p>
      <w:pPr>
        <w:pStyle w:val="12"/>
        <w:spacing w:before="0" w:after="0" w:line="360" w:lineRule="auto"/>
        <w:ind w:firstLine="480"/>
        <w:rPr>
          <w:rFonts w:ascii="Times New Roman" w:hAnsi="Times New Roman" w:eastAsia="Times New Roman" w:cs="Times New Roman"/>
        </w:rPr>
      </w:pPr>
      <w:r>
        <w:rPr>
          <w:rFonts w:ascii="FangSong_GB2312" w:hAnsi="FangSong_GB2312" w:eastAsia="FangSong_GB2312" w:cs="FangSong_GB2312"/>
          <w:sz w:val="32"/>
          <w:szCs w:val="32"/>
        </w:rPr>
        <w:t> 根据国家税务总局、湖北省税务局关于办税服务厅转型升级、优化政务服务、提升行政效能等重点工作部署安排，全省办税服务厅将构建以“全程网上办”为主体、“征纳互动办”为助力、“自助便利办”为拓展、“线下进厅办”为支撑的多层级递进式办税服务动线。国家税务总局武汉市洪山区税务局按照上级指示精神，结合区局纳税服务工作计划，确定通过社会专业服务企业和团队提供规范、便捷、高效的专业化服务，进一步提升税收服务能力，提高线上办税缴费咨询服务质效，及时响应纳税人缴费人多元化合理诉求，最大程度地满足广大纳税人缴费人涉税事项的线上咨询和办理需求。</w:t>
      </w:r>
    </w:p>
    <w:p>
      <w:pPr>
        <w:pStyle w:val="3"/>
        <w:keepNext w:val="0"/>
        <w:spacing w:before="0" w:after="0" w:line="360" w:lineRule="auto"/>
        <w:rPr>
          <w:rFonts w:ascii="仿宋_GB2312" w:hAnsi="仿宋_GB2312" w:eastAsia="仿宋_GB2312" w:cs="仿宋_GB2312"/>
          <w:b/>
          <w:bCs/>
          <w:sz w:val="28"/>
          <w:szCs w:val="28"/>
        </w:rPr>
      </w:pPr>
      <w:bookmarkStart w:id="5" w:name="_Toc256000003"/>
      <w:r>
        <w:rPr>
          <w:rFonts w:ascii="仿宋_GB2312" w:hAnsi="仿宋_GB2312" w:eastAsia="仿宋_GB2312" w:cs="仿宋_GB2312"/>
          <w:i w:val="0"/>
          <w:iCs w:val="0"/>
        </w:rPr>
        <w:t>1.2项目内容</w:t>
      </w:r>
      <w:bookmarkEnd w:id="5"/>
    </w:p>
    <w:p>
      <w:pPr>
        <w:pStyle w:val="4"/>
        <w:keepNext w:val="0"/>
        <w:spacing w:before="0" w:after="0" w:line="360" w:lineRule="auto"/>
        <w:rPr>
          <w:rFonts w:ascii="仿宋_GB2312" w:hAnsi="仿宋_GB2312" w:eastAsia="仿宋_GB2312" w:cs="仿宋_GB2312"/>
          <w:b/>
          <w:bCs/>
          <w:sz w:val="28"/>
          <w:szCs w:val="28"/>
        </w:rPr>
      </w:pPr>
      <w:bookmarkStart w:id="6" w:name="_Toc256000004"/>
      <w:r>
        <w:rPr>
          <w:rFonts w:ascii="仿宋_GB2312" w:hAnsi="仿宋_GB2312" w:eastAsia="仿宋_GB2312" w:cs="仿宋_GB2312"/>
          <w:sz w:val="28"/>
          <w:szCs w:val="28"/>
        </w:rPr>
        <w:t>1.2.1项目建设思路</w:t>
      </w:r>
      <w:bookmarkEnd w:id="6"/>
    </w:p>
    <w:p>
      <w:pPr>
        <w:pStyle w:val="12"/>
        <w:spacing w:before="0" w:after="0" w:line="360" w:lineRule="auto"/>
        <w:ind w:firstLine="480"/>
        <w:rPr>
          <w:rFonts w:ascii="Times New Roman" w:hAnsi="Times New Roman" w:eastAsia="Times New Roman" w:cs="Times New Roman"/>
        </w:rPr>
      </w:pPr>
      <w:r>
        <w:rPr>
          <w:rFonts w:ascii="FangSong_GB2312" w:hAnsi="FangSong_GB2312" w:eastAsia="FangSong_GB2312" w:cs="FangSong_GB2312"/>
          <w:sz w:val="32"/>
          <w:szCs w:val="32"/>
        </w:rPr>
        <w:t>武汉市洪山区税务局坚持既要服务地方经济，办好惠民实事，又要助力优化税收营商环境，提升区域竞争整体实力。通过政府采购，择优选取专业服务团队承接《纳税咨询服务项目》，协助单位主管需求部门做好项目的设计、规划；全方位利用人工服务热线进行征纳互动，通过语音、网络等多种形式，向纳税人、缴费人提供各类税费政策咨询、缴费咨询、办税服务、涉税查询、投诉受理、税法宣传等涉税服务。</w:t>
      </w:r>
      <w:bookmarkStart w:id="49" w:name="_GoBack"/>
      <w:bookmarkEnd w:id="49"/>
    </w:p>
    <w:p>
      <w:pPr>
        <w:pStyle w:val="4"/>
        <w:keepNext w:val="0"/>
        <w:spacing w:before="0" w:after="0" w:line="360" w:lineRule="auto"/>
        <w:rPr>
          <w:rFonts w:ascii="仿宋_GB2312" w:hAnsi="仿宋_GB2312" w:eastAsia="仿宋_GB2312" w:cs="仿宋_GB2312"/>
          <w:b/>
          <w:bCs/>
          <w:sz w:val="28"/>
          <w:szCs w:val="28"/>
        </w:rPr>
      </w:pPr>
      <w:bookmarkStart w:id="7" w:name="_Toc256000005"/>
      <w:r>
        <w:rPr>
          <w:rFonts w:ascii="仿宋_GB2312" w:hAnsi="仿宋_GB2312" w:eastAsia="仿宋_GB2312" w:cs="仿宋_GB2312"/>
          <w:sz w:val="28"/>
          <w:szCs w:val="28"/>
        </w:rPr>
        <w:t>1.2.2采购内容</w:t>
      </w:r>
      <w:bookmarkEnd w:id="7"/>
    </w:p>
    <w:p>
      <w:pPr>
        <w:spacing w:before="0" w:after="0" w:line="360" w:lineRule="auto"/>
        <w:ind w:firstLine="480"/>
        <w:rPr>
          <w:rFonts w:ascii="FangSong_GB2312" w:hAnsi="FangSong_GB2312" w:eastAsia="FangSong_GB2312" w:cs="FangSong_GB2312"/>
          <w:sz w:val="32"/>
          <w:szCs w:val="32"/>
          <w:lang w:val="en-US" w:eastAsia="en-US" w:bidi="ar-SA"/>
        </w:rPr>
      </w:pPr>
      <w:r>
        <w:rPr>
          <w:rFonts w:ascii="FangSong_GB2312" w:hAnsi="FangSong_GB2312" w:eastAsia="FangSong_GB2312" w:cs="FangSong_GB2312"/>
          <w:sz w:val="32"/>
          <w:szCs w:val="32"/>
          <w:lang w:val="en-US" w:eastAsia="en-US" w:bidi="ar-SA"/>
        </w:rPr>
        <w:t>本项目主要内容是协助国家税务总局武汉市洪山区税务局为辖区纳税人、缴费人提供纳税咨询服务，2026年项目预算为180万元/年，本次采购最高限价为160万元/年。</w:t>
      </w:r>
    </w:p>
    <w:p>
      <w:pPr>
        <w:pStyle w:val="4"/>
        <w:keepNext w:val="0"/>
        <w:spacing w:before="0" w:after="0" w:line="360" w:lineRule="auto"/>
        <w:rPr>
          <w:rFonts w:ascii="仿宋_GB2312" w:hAnsi="仿宋_GB2312" w:eastAsia="仿宋_GB2312" w:cs="仿宋_GB2312"/>
          <w:b/>
          <w:bCs/>
          <w:sz w:val="28"/>
          <w:szCs w:val="28"/>
        </w:rPr>
      </w:pPr>
      <w:bookmarkStart w:id="8" w:name="_Toc256000006"/>
      <w:r>
        <w:rPr>
          <w:rFonts w:ascii="仿宋_GB2312" w:hAnsi="仿宋_GB2312" w:eastAsia="仿宋_GB2312" w:cs="仿宋_GB2312"/>
          <w:sz w:val="28"/>
          <w:szCs w:val="28"/>
        </w:rPr>
        <w:t>1.2.3项目实施要求</w:t>
      </w:r>
      <w:bookmarkEnd w:id="8"/>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1.2.3.1实施范围要求</w:t>
      </w:r>
    </w:p>
    <w:p>
      <w:pPr>
        <w:pStyle w:val="12"/>
        <w:spacing w:before="0" w:after="0" w:line="360" w:lineRule="auto"/>
        <w:rPr>
          <w:rFonts w:ascii="Times New Roman" w:hAnsi="Times New Roman" w:eastAsia="Times New Roman" w:cs="Times New Roman"/>
        </w:rPr>
      </w:pPr>
      <w:r>
        <w:rPr>
          <w:rFonts w:ascii="FangSong_GB2312" w:hAnsi="FangSong_GB2312" w:eastAsia="FangSong_GB2312" w:cs="FangSong_GB2312"/>
          <w:sz w:val="32"/>
          <w:szCs w:val="32"/>
        </w:rPr>
        <w:t xml:space="preserve">   国家税务总局武汉市洪山区税务局纳税咨询服务项目，实施服务范围主要是武汉市洪山区辖区的所有纳税人、缴费人（含行政事业单位、企业、社会团体、个体工商户、自然人等），通过专业团队向辖区内纳税人缴费人开展语音（包括自动语音咨询和人工坐席咨询）、网络咨询服务和征纳互动服务，及时响应纳税人缴费人多元化合理诉求，业务范围包括税费咨询、投诉受理、办税指南查询、自动语音留言回拨、办理涉税业务等。 </w:t>
      </w:r>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1.2.3.2实施时间要求</w:t>
      </w:r>
    </w:p>
    <w:p>
      <w:pPr>
        <w:pStyle w:val="12"/>
        <w:spacing w:before="0" w:after="0" w:line="360" w:lineRule="auto"/>
        <w:ind w:left="9" w:right="2" w:firstLine="480"/>
        <w:rPr>
          <w:rFonts w:ascii="Times New Roman" w:hAnsi="Times New Roman" w:eastAsia="Times New Roman" w:cs="Times New Roman"/>
        </w:rPr>
      </w:pPr>
      <w:r>
        <w:rPr>
          <w:rFonts w:ascii="FangSong_GB2312" w:hAnsi="FangSong_GB2312" w:eastAsia="FangSong_GB2312" w:cs="FangSong_GB2312"/>
          <w:spacing w:val="-5"/>
          <w:sz w:val="32"/>
          <w:szCs w:val="32"/>
        </w:rPr>
        <w:t>服务期为1年（连续12个月），即：自2026年4月1日至2027年</w:t>
      </w:r>
      <w:r>
        <w:rPr>
          <w:rFonts w:ascii="FangSong_GB2312" w:hAnsi="FangSong_GB2312" w:eastAsia="FangSong_GB2312" w:cs="FangSong_GB2312"/>
          <w:spacing w:val="-40"/>
          <w:sz w:val="32"/>
          <w:szCs w:val="32"/>
        </w:rPr>
        <w:t>3</w:t>
      </w:r>
      <w:r>
        <w:rPr>
          <w:rFonts w:ascii="FangSong_GB2312" w:hAnsi="FangSong_GB2312" w:eastAsia="FangSong_GB2312" w:cs="FangSong_GB2312"/>
          <w:spacing w:val="-5"/>
          <w:sz w:val="32"/>
          <w:szCs w:val="32"/>
        </w:rPr>
        <w:t>月31日，服务期满后，采购</w:t>
      </w:r>
      <w:r>
        <w:rPr>
          <w:rFonts w:ascii="FangSong_GB2312" w:hAnsi="FangSong_GB2312" w:eastAsia="FangSong_GB2312" w:cs="FangSong_GB2312"/>
          <w:spacing w:val="-6"/>
          <w:sz w:val="32"/>
          <w:szCs w:val="32"/>
        </w:rPr>
        <w:t>人可</w:t>
      </w:r>
      <w:r>
        <w:rPr>
          <w:rFonts w:ascii="FangSong_GB2312" w:hAnsi="FangSong_GB2312" w:eastAsia="FangSong_GB2312" w:cs="FangSong_GB2312"/>
          <w:sz w:val="32"/>
          <w:szCs w:val="32"/>
        </w:rPr>
        <w:t>视情况与中标单位签订下一年度的服务合同，续签</w:t>
      </w:r>
      <w:r>
        <w:rPr>
          <w:rFonts w:ascii="FangSong_GB2312" w:hAnsi="FangSong_GB2312" w:eastAsia="FangSong_GB2312" w:cs="FangSong_GB2312"/>
          <w:spacing w:val="-1"/>
          <w:sz w:val="32"/>
          <w:szCs w:val="32"/>
        </w:rPr>
        <w:t>年限最多不超过两年。</w:t>
      </w:r>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1.2.3.3实施地点要求</w:t>
      </w:r>
    </w:p>
    <w:p>
      <w:pPr>
        <w:pStyle w:val="12"/>
        <w:spacing w:before="0" w:after="0" w:line="360" w:lineRule="auto"/>
        <w:ind w:firstLine="480"/>
        <w:rPr>
          <w:rFonts w:ascii="Times New Roman" w:hAnsi="Times New Roman" w:eastAsia="Times New Roman" w:cs="Times New Roman"/>
        </w:rPr>
      </w:pPr>
      <w:r>
        <w:rPr>
          <w:rFonts w:ascii="FangSong_GB2312" w:hAnsi="FangSong_GB2312" w:eastAsia="FangSong_GB2312" w:cs="FangSong_GB2312"/>
          <w:sz w:val="32"/>
          <w:szCs w:val="32"/>
        </w:rPr>
        <w:t> 国家税务总局武汉市洪山区税务局，武汉市洪山区武珞路796号。</w:t>
      </w:r>
    </w:p>
    <w:p>
      <w:pPr>
        <w:pStyle w:val="3"/>
        <w:keepNext w:val="0"/>
        <w:spacing w:before="0" w:after="0" w:line="360" w:lineRule="auto"/>
        <w:rPr>
          <w:rFonts w:ascii="仿宋_GB2312" w:hAnsi="仿宋_GB2312" w:eastAsia="仿宋_GB2312" w:cs="仿宋_GB2312"/>
          <w:b/>
          <w:bCs/>
          <w:sz w:val="28"/>
          <w:szCs w:val="28"/>
        </w:rPr>
      </w:pPr>
      <w:bookmarkStart w:id="9" w:name="_Toc256000007"/>
      <w:r>
        <w:rPr>
          <w:rFonts w:ascii="仿宋_GB2312" w:hAnsi="仿宋_GB2312" w:eastAsia="仿宋_GB2312" w:cs="仿宋_GB2312"/>
          <w:i w:val="0"/>
          <w:iCs w:val="0"/>
        </w:rPr>
        <w:t>1.3其他要求</w:t>
      </w:r>
      <w:bookmarkEnd w:id="9"/>
    </w:p>
    <w:p>
      <w:pPr>
        <w:pStyle w:val="4"/>
        <w:keepNext w:val="0"/>
        <w:spacing w:before="0" w:after="0" w:line="360" w:lineRule="auto"/>
        <w:rPr>
          <w:rFonts w:ascii="仿宋_GB2312" w:hAnsi="仿宋_GB2312" w:eastAsia="仿宋_GB2312" w:cs="仿宋_GB2312"/>
          <w:b/>
          <w:bCs/>
          <w:sz w:val="28"/>
          <w:szCs w:val="28"/>
        </w:rPr>
      </w:pPr>
      <w:bookmarkStart w:id="10" w:name="_Toc256000008"/>
      <w:r>
        <w:rPr>
          <w:rFonts w:ascii="仿宋_GB2312" w:hAnsi="仿宋_GB2312" w:eastAsia="仿宋_GB2312" w:cs="仿宋_GB2312"/>
          <w:sz w:val="28"/>
          <w:szCs w:val="28"/>
        </w:rPr>
        <w:t>1.3.1采购标的需执行的相关标准规范</w:t>
      </w:r>
      <w:bookmarkEnd w:id="10"/>
    </w:p>
    <w:p>
      <w:pPr>
        <w:pStyle w:val="12"/>
        <w:spacing w:before="0" w:after="0" w:line="360" w:lineRule="auto"/>
        <w:rPr>
          <w:rFonts w:ascii="Times New Roman" w:hAnsi="Times New Roman" w:eastAsia="Times New Roman" w:cs="Times New Roman"/>
        </w:rPr>
      </w:pPr>
      <w:r>
        <w:rPr>
          <w:rFonts w:ascii="FangSong_GB2312" w:hAnsi="FangSong_GB2312" w:eastAsia="FangSong_GB2312" w:cs="FangSong_GB2312"/>
          <w:sz w:val="32"/>
          <w:szCs w:val="32"/>
        </w:rPr>
        <w:t>1.3.1.1 投标方为采购方交付的服务应符合招标（采购）文件所述的内容，如果没有提及适用标准，则应符合相应的国家标准。这些标准必须是有关机构发布的最新版本的标准。</w:t>
      </w:r>
    </w:p>
    <w:p>
      <w:pPr>
        <w:pStyle w:val="12"/>
        <w:spacing w:before="0" w:after="0" w:line="360" w:lineRule="auto"/>
        <w:rPr>
          <w:rFonts w:ascii="Times New Roman" w:hAnsi="Times New Roman" w:eastAsia="Times New Roman" w:cs="Times New Roman"/>
        </w:rPr>
      </w:pPr>
      <w:r>
        <w:rPr>
          <w:rFonts w:ascii="FangSong_GB2312" w:hAnsi="FangSong_GB2312" w:eastAsia="FangSong_GB2312" w:cs="FangSong_GB2312"/>
          <w:sz w:val="32"/>
          <w:szCs w:val="32"/>
        </w:rPr>
        <w:t>1.3.1.2 除非技术要求中另有规定，计量单位均采用中华人民共和国法定计量单位。</w:t>
      </w:r>
    </w:p>
    <w:p>
      <w:pPr>
        <w:pStyle w:val="12"/>
        <w:spacing w:before="0" w:after="0" w:line="360" w:lineRule="auto"/>
        <w:rPr>
          <w:rFonts w:ascii="Times New Roman" w:hAnsi="Times New Roman" w:eastAsia="Times New Roman" w:cs="Times New Roman"/>
        </w:rPr>
      </w:pPr>
      <w:r>
        <w:rPr>
          <w:rFonts w:ascii="FangSong_GB2312" w:hAnsi="FangSong_GB2312" w:eastAsia="FangSong_GB2312" w:cs="FangSong_GB2312"/>
          <w:sz w:val="32"/>
          <w:szCs w:val="32"/>
        </w:rPr>
        <w:t>1.3.1.3 服务还应符合国家有关安全、环保、卫生的相关规定。</w:t>
      </w:r>
    </w:p>
    <w:p>
      <w:pPr>
        <w:pStyle w:val="2"/>
        <w:keepNext w:val="0"/>
        <w:spacing w:before="0" w:after="0" w:line="360" w:lineRule="auto"/>
        <w:jc w:val="center"/>
        <w:rPr>
          <w:rFonts w:ascii="仿宋_GB2312" w:hAnsi="仿宋_GB2312" w:eastAsia="仿宋_GB2312" w:cs="仿宋_GB2312"/>
          <w:b/>
          <w:bCs/>
          <w:sz w:val="32"/>
          <w:szCs w:val="32"/>
        </w:rPr>
      </w:pPr>
      <w:bookmarkStart w:id="11" w:name="_Toc256000009"/>
      <w:r>
        <w:rPr>
          <w:rFonts w:ascii="仿宋_GB2312" w:hAnsi="仿宋_GB2312" w:eastAsia="仿宋_GB2312" w:cs="仿宋_GB2312"/>
          <w:kern w:val="36"/>
        </w:rPr>
        <w:t>2投标/响应要求</w:t>
      </w:r>
      <w:bookmarkEnd w:id="11"/>
    </w:p>
    <w:p>
      <w:pPr>
        <w:pStyle w:val="3"/>
        <w:keepNext w:val="0"/>
        <w:spacing w:before="0" w:after="0" w:line="360" w:lineRule="auto"/>
        <w:rPr>
          <w:rFonts w:ascii="仿宋_GB2312" w:hAnsi="仿宋_GB2312" w:eastAsia="仿宋_GB2312" w:cs="仿宋_GB2312"/>
          <w:b/>
          <w:bCs/>
          <w:sz w:val="28"/>
          <w:szCs w:val="28"/>
        </w:rPr>
      </w:pPr>
      <w:bookmarkStart w:id="12" w:name="_Toc256000010"/>
      <w:r>
        <w:rPr>
          <w:rFonts w:ascii="仿宋_GB2312" w:hAnsi="仿宋_GB2312" w:eastAsia="仿宋_GB2312" w:cs="仿宋_GB2312"/>
          <w:i w:val="0"/>
          <w:iCs w:val="0"/>
        </w:rPr>
        <w:t>2.1对供应商的要求</w:t>
      </w:r>
      <w:bookmarkEnd w:id="12"/>
    </w:p>
    <w:p>
      <w:pPr>
        <w:pStyle w:val="4"/>
        <w:keepNext w:val="0"/>
        <w:spacing w:before="0" w:after="0" w:line="360" w:lineRule="auto"/>
        <w:rPr>
          <w:rFonts w:ascii="仿宋_GB2312" w:hAnsi="仿宋_GB2312" w:eastAsia="仿宋_GB2312" w:cs="仿宋_GB2312"/>
          <w:b/>
          <w:bCs/>
          <w:sz w:val="28"/>
          <w:szCs w:val="28"/>
        </w:rPr>
      </w:pPr>
      <w:bookmarkStart w:id="13" w:name="_Toc256000011"/>
      <w:r>
        <w:rPr>
          <w:rFonts w:ascii="仿宋_GB2312" w:hAnsi="仿宋_GB2312" w:eastAsia="仿宋_GB2312" w:cs="仿宋_GB2312"/>
          <w:sz w:val="28"/>
          <w:szCs w:val="28"/>
        </w:rPr>
        <w:t>2.1.1必备资质</w:t>
      </w:r>
      <w:bookmarkEnd w:id="13"/>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2.1.1.1投标人应遵守有关国家法律、法规和条例,具备《中华人民共和国政府采购法》第二十二条的规定和本文件中规定的条件。</w:t>
      </w:r>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2.1.1.2本项目的特定资格要求</w:t>
      </w:r>
    </w:p>
    <w:p>
      <w:pPr>
        <w:pStyle w:val="4"/>
        <w:keepNext w:val="0"/>
        <w:spacing w:before="0" w:after="0" w:line="360" w:lineRule="auto"/>
        <w:rPr>
          <w:rFonts w:ascii="仿宋_GB2312" w:hAnsi="仿宋_GB2312" w:eastAsia="仿宋_GB2312" w:cs="仿宋_GB2312"/>
          <w:b/>
          <w:bCs/>
          <w:sz w:val="28"/>
          <w:szCs w:val="28"/>
        </w:rPr>
      </w:pPr>
      <w:bookmarkStart w:id="14" w:name="_Toc256000012"/>
      <w:r>
        <w:rPr>
          <w:rFonts w:ascii="仿宋_GB2312" w:hAnsi="仿宋_GB2312" w:eastAsia="仿宋_GB2312" w:cs="仿宋_GB2312"/>
          <w:sz w:val="28"/>
          <w:szCs w:val="28"/>
        </w:rPr>
        <w:t>2.1.2优选资质/优选指标</w:t>
      </w:r>
      <w:bookmarkEnd w:id="14"/>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2.1.2.1相关证书</w:t>
      </w:r>
    </w:p>
    <w:tbl>
      <w:tblPr>
        <w:tblStyle w:val="9"/>
        <w:tblW w:w="5000" w:type="pct"/>
        <w:tblInd w:w="30" w:type="dxa"/>
        <w:tblLayout w:type="autofit"/>
        <w:tblCellMar>
          <w:top w:w="15" w:type="dxa"/>
          <w:left w:w="15" w:type="dxa"/>
          <w:bottom w:w="15" w:type="dxa"/>
          <w:right w:w="15" w:type="dxa"/>
        </w:tblCellMar>
      </w:tblPr>
      <w:tblGrid>
        <w:gridCol w:w="906"/>
        <w:gridCol w:w="4082"/>
        <w:gridCol w:w="4082"/>
      </w:tblGrid>
      <w:tr>
        <w:tblPrEx>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序号</w:t>
            </w:r>
          </w:p>
        </w:tc>
        <w:tc>
          <w:tcPr>
            <w:tcW w:w="225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证书名称</w:t>
            </w:r>
          </w:p>
        </w:tc>
        <w:tc>
          <w:tcPr>
            <w:tcW w:w="225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备注</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质量管理体系认证证书</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环境管理体系认证证书</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职业健康安全管理体系认证证书</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bl>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2.1.2.2成功案例</w:t>
      </w:r>
    </w:p>
    <w:p>
      <w:pPr>
        <w:pStyle w:val="12"/>
        <w:spacing w:before="0" w:after="0" w:line="360" w:lineRule="auto"/>
        <w:ind w:firstLine="480"/>
        <w:rPr>
          <w:rFonts w:ascii="Times New Roman" w:hAnsi="Times New Roman" w:eastAsia="Times New Roman" w:cs="Times New Roman"/>
        </w:rPr>
      </w:pPr>
      <w:r>
        <w:rPr>
          <w:rFonts w:ascii="FangSong_GB2312" w:hAnsi="FangSong_GB2312" w:eastAsia="FangSong_GB2312" w:cs="FangSong_GB2312"/>
          <w:sz w:val="32"/>
          <w:szCs w:val="32"/>
        </w:rPr>
        <w:t>有效案例为2023年1月1日以来（以合同签订日期为准），供应商独立承担类似服务业务，且能提供业主评价。</w:t>
      </w:r>
    </w:p>
    <w:p>
      <w:pPr>
        <w:pStyle w:val="4"/>
        <w:keepNext w:val="0"/>
        <w:spacing w:before="0" w:after="0" w:line="360" w:lineRule="auto"/>
        <w:rPr>
          <w:rFonts w:ascii="仿宋_GB2312" w:hAnsi="仿宋_GB2312" w:eastAsia="仿宋_GB2312" w:cs="仿宋_GB2312"/>
          <w:b/>
          <w:bCs/>
          <w:sz w:val="28"/>
          <w:szCs w:val="28"/>
        </w:rPr>
      </w:pPr>
      <w:bookmarkStart w:id="15" w:name="_Toc256000013"/>
      <w:r>
        <w:rPr>
          <w:rFonts w:ascii="仿宋_GB2312" w:hAnsi="仿宋_GB2312" w:eastAsia="仿宋_GB2312" w:cs="仿宋_GB2312"/>
          <w:sz w:val="28"/>
          <w:szCs w:val="28"/>
        </w:rPr>
        <w:t>2.1.3是否允许联合体</w:t>
      </w:r>
      <w:bookmarkEnd w:id="15"/>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否</w:t>
      </w:r>
    </w:p>
    <w:p>
      <w:pPr>
        <w:pStyle w:val="4"/>
        <w:keepNext w:val="0"/>
        <w:spacing w:before="0" w:after="0" w:line="360" w:lineRule="auto"/>
        <w:rPr>
          <w:rFonts w:ascii="仿宋_GB2312" w:hAnsi="仿宋_GB2312" w:eastAsia="仿宋_GB2312" w:cs="仿宋_GB2312"/>
          <w:b/>
          <w:bCs/>
          <w:sz w:val="28"/>
          <w:szCs w:val="28"/>
        </w:rPr>
      </w:pPr>
      <w:bookmarkStart w:id="16" w:name="_Toc256000014"/>
      <w:r>
        <w:rPr>
          <w:rFonts w:ascii="仿宋_GB2312" w:hAnsi="仿宋_GB2312" w:eastAsia="仿宋_GB2312" w:cs="仿宋_GB2312"/>
          <w:sz w:val="28"/>
          <w:szCs w:val="28"/>
        </w:rPr>
        <w:t>2.1.4是否专门面向中小企业</w:t>
      </w:r>
      <w:bookmarkEnd w:id="16"/>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本项目专门面向中小企业采购项目</w:t>
      </w:r>
    </w:p>
    <w:p>
      <w:pPr>
        <w:pStyle w:val="4"/>
        <w:keepNext w:val="0"/>
        <w:spacing w:before="0" w:after="0" w:line="360" w:lineRule="auto"/>
        <w:rPr>
          <w:rFonts w:ascii="仿宋_GB2312" w:hAnsi="仿宋_GB2312" w:eastAsia="仿宋_GB2312" w:cs="仿宋_GB2312"/>
          <w:b/>
          <w:bCs/>
          <w:sz w:val="28"/>
          <w:szCs w:val="28"/>
        </w:rPr>
      </w:pPr>
      <w:bookmarkStart w:id="17" w:name="_Toc256000015"/>
      <w:r>
        <w:rPr>
          <w:rFonts w:ascii="仿宋_GB2312" w:hAnsi="仿宋_GB2312" w:eastAsia="仿宋_GB2312" w:cs="仿宋_GB2312"/>
          <w:sz w:val="28"/>
          <w:szCs w:val="28"/>
        </w:rPr>
        <w:t>2.1.5其他要求</w:t>
      </w:r>
      <w:bookmarkEnd w:id="17"/>
    </w:p>
    <w:p>
      <w:pPr>
        <w:pStyle w:val="12"/>
        <w:spacing w:before="0" w:after="0" w:line="360" w:lineRule="auto"/>
        <w:rPr>
          <w:rFonts w:ascii="Times New Roman" w:hAnsi="Times New Roman" w:eastAsia="Times New Roman" w:cs="Times New Roman"/>
        </w:rPr>
      </w:pPr>
      <w:r>
        <w:rPr>
          <w:rFonts w:ascii="FangSong_GB2312" w:hAnsi="FangSong_GB2312" w:eastAsia="FangSong_GB2312" w:cs="FangSong_GB2312"/>
          <w:sz w:val="32"/>
          <w:szCs w:val="32"/>
        </w:rPr>
        <w:t xml:space="preserve">2.1.5.1 本项目最高限价为160万元，超过此限价的投标视为无效。 </w:t>
      </w:r>
    </w:p>
    <w:p>
      <w:pPr>
        <w:pStyle w:val="12"/>
        <w:spacing w:before="0" w:after="0" w:line="360" w:lineRule="auto"/>
        <w:rPr>
          <w:rFonts w:ascii="Times New Roman" w:hAnsi="Times New Roman" w:eastAsia="Times New Roman" w:cs="Times New Roman"/>
        </w:rPr>
      </w:pPr>
      <w:r>
        <w:rPr>
          <w:rFonts w:ascii="FangSong_GB2312" w:hAnsi="FangSong_GB2312" w:eastAsia="FangSong_GB2312" w:cs="FangSong_GB2312"/>
          <w:sz w:val="32"/>
          <w:szCs w:val="32"/>
        </w:rPr>
        <w:t xml:space="preserve">2.1.5.2 本项目所有服务事项未经采购方同意不允许分包。 </w:t>
      </w:r>
    </w:p>
    <w:p>
      <w:pPr>
        <w:spacing w:before="0" w:after="0" w:line="360" w:lineRule="auto"/>
        <w:rPr>
          <w:rFonts w:ascii="Times New Roman" w:hAnsi="Times New Roman" w:eastAsia="Times New Roman" w:cs="Times New Roman"/>
        </w:rPr>
      </w:pPr>
      <w:r>
        <w:rPr>
          <w:rFonts w:ascii="FangSong_GB2312" w:hAnsi="FangSong_GB2312" w:eastAsia="FangSong_GB2312" w:cs="FangSong_GB2312"/>
          <w:sz w:val="32"/>
          <w:szCs w:val="32"/>
        </w:rPr>
        <w:t xml:space="preserve">2.1.5.3 投标报价应是供应商完成本项目所有服务范围和内容的总价，包括在提供服务过程中所发生的一切费用，含：人工工资、社会保险（含所有增涨部分）、福利费用（人员含交通费、伙食费、公积金、体检费等）、办公费用、管理费用（含培训费等）、企业利润、法定税费以及招标代理费等，服务人员的工作服、食宿及交通等费用由投标方自理，采购方不再另行支付其他关于项目的任何费用。 </w:t>
      </w:r>
    </w:p>
    <w:p>
      <w:pPr>
        <w:spacing w:before="0" w:after="0" w:line="360" w:lineRule="auto"/>
        <w:rPr>
          <w:rFonts w:ascii="Times New Roman" w:hAnsi="Times New Roman" w:eastAsia="Times New Roman" w:cs="Times New Roman"/>
        </w:rPr>
      </w:pPr>
      <w:r>
        <w:rPr>
          <w:rFonts w:ascii="FangSong_GB2312" w:hAnsi="FangSong_GB2312" w:eastAsia="FangSong_GB2312" w:cs="FangSong_GB2312"/>
          <w:sz w:val="32"/>
          <w:szCs w:val="32"/>
        </w:rPr>
        <w:t xml:space="preserve">2.1.5.4 采购服务费用在合同金额内根据实际服务质量以及考核验收标准据实核算。 </w:t>
      </w:r>
    </w:p>
    <w:p>
      <w:pPr>
        <w:spacing w:before="0" w:after="0" w:line="360" w:lineRule="auto"/>
        <w:rPr>
          <w:rFonts w:ascii="Times New Roman" w:hAnsi="Times New Roman" w:eastAsia="Times New Roman" w:cs="Times New Roman"/>
        </w:rPr>
      </w:pPr>
      <w:r>
        <w:rPr>
          <w:rFonts w:ascii="FangSong_GB2312" w:hAnsi="FangSong_GB2312" w:eastAsia="FangSong_GB2312" w:cs="FangSong_GB2312"/>
          <w:sz w:val="32"/>
          <w:szCs w:val="32"/>
        </w:rPr>
        <w:t>2.1.5.5 招标文件描述未尽内容，由双方在签订合同时补充完善。</w:t>
      </w:r>
    </w:p>
    <w:p>
      <w:pPr>
        <w:pStyle w:val="3"/>
        <w:keepNext w:val="0"/>
        <w:spacing w:before="0" w:after="0" w:line="360" w:lineRule="auto"/>
        <w:rPr>
          <w:rFonts w:ascii="仿宋_GB2312" w:hAnsi="仿宋_GB2312" w:eastAsia="仿宋_GB2312" w:cs="仿宋_GB2312"/>
          <w:b/>
          <w:bCs/>
          <w:sz w:val="28"/>
          <w:szCs w:val="28"/>
        </w:rPr>
      </w:pPr>
      <w:bookmarkStart w:id="18" w:name="_Toc256000016"/>
      <w:r>
        <w:rPr>
          <w:rFonts w:ascii="仿宋_GB2312" w:hAnsi="仿宋_GB2312" w:eastAsia="仿宋_GB2312" w:cs="仿宋_GB2312"/>
          <w:i w:val="0"/>
          <w:iCs w:val="0"/>
        </w:rPr>
        <w:t>2.2技术部分投标/响应内容</w:t>
      </w:r>
      <w:bookmarkEnd w:id="18"/>
    </w:p>
    <w:p>
      <w:pPr>
        <w:pStyle w:val="4"/>
        <w:keepNext w:val="0"/>
        <w:spacing w:before="0" w:after="0" w:line="360" w:lineRule="auto"/>
        <w:rPr>
          <w:rFonts w:ascii="仿宋_GB2312" w:hAnsi="仿宋_GB2312" w:eastAsia="仿宋_GB2312" w:cs="仿宋_GB2312"/>
          <w:b/>
          <w:bCs/>
          <w:sz w:val="28"/>
          <w:szCs w:val="28"/>
        </w:rPr>
      </w:pPr>
      <w:bookmarkStart w:id="19" w:name="_Toc256000017"/>
      <w:r>
        <w:rPr>
          <w:rFonts w:ascii="仿宋_GB2312" w:hAnsi="仿宋_GB2312" w:eastAsia="仿宋_GB2312" w:cs="仿宋_GB2312"/>
          <w:sz w:val="28"/>
          <w:szCs w:val="28"/>
        </w:rPr>
        <w:t>2.2.1技术投标/响应总要求</w:t>
      </w:r>
      <w:bookmarkEnd w:id="19"/>
    </w:p>
    <w:p>
      <w:pPr>
        <w:pStyle w:val="12"/>
        <w:spacing w:before="0" w:after="0" w:line="360" w:lineRule="auto"/>
        <w:ind w:firstLine="480"/>
        <w:rPr>
          <w:rFonts w:ascii="Times New Roman" w:hAnsi="Times New Roman" w:eastAsia="Times New Roman" w:cs="Times New Roman"/>
        </w:rPr>
      </w:pPr>
      <w:r>
        <w:rPr>
          <w:rFonts w:ascii="FangSong_GB2312" w:hAnsi="FangSong_GB2312" w:eastAsia="FangSong_GB2312" w:cs="FangSong_GB2312"/>
          <w:sz w:val="32"/>
          <w:szCs w:val="32"/>
        </w:rPr>
        <w:t>详见招标文件</w:t>
      </w:r>
    </w:p>
    <w:p>
      <w:pPr>
        <w:pStyle w:val="4"/>
        <w:keepNext w:val="0"/>
        <w:spacing w:before="0" w:after="0" w:line="360" w:lineRule="auto"/>
        <w:rPr>
          <w:rFonts w:ascii="仿宋_GB2312" w:hAnsi="仿宋_GB2312" w:eastAsia="仿宋_GB2312" w:cs="仿宋_GB2312"/>
          <w:b/>
          <w:bCs/>
          <w:sz w:val="28"/>
          <w:szCs w:val="28"/>
        </w:rPr>
      </w:pPr>
      <w:bookmarkStart w:id="20" w:name="_Toc256000018"/>
      <w:r>
        <w:rPr>
          <w:rFonts w:ascii="仿宋_GB2312" w:hAnsi="仿宋_GB2312" w:eastAsia="仿宋_GB2312" w:cs="仿宋_GB2312"/>
          <w:sz w:val="28"/>
          <w:szCs w:val="28"/>
        </w:rPr>
        <w:t>2.2.2投标/响应方案要求</w:t>
      </w:r>
      <w:bookmarkEnd w:id="20"/>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以下相关方案，若作为评审因素，则投标人应在满足★必备指标项要求的前提下，根据项目特点和采购需求，制定更为完整、详细、可操作性强的方案。</w:t>
      </w:r>
    </w:p>
    <w:p>
      <w:pPr>
        <w:pStyle w:val="12"/>
        <w:spacing w:before="0" w:after="0" w:line="360" w:lineRule="auto"/>
        <w:ind w:firstLine="480"/>
        <w:rPr>
          <w:rFonts w:ascii="Times New Roman" w:hAnsi="Times New Roman" w:eastAsia="Times New Roman" w:cs="Times New Roman"/>
        </w:rPr>
      </w:pPr>
      <w:r>
        <w:rPr>
          <w:rFonts w:ascii="FangSong_GB2312" w:hAnsi="FangSong_GB2312" w:eastAsia="FangSong_GB2312" w:cs="FangSong_GB2312"/>
          <w:sz w:val="32"/>
          <w:szCs w:val="32"/>
        </w:rPr>
        <w:t>供应商应在投标书中依据业务技术需求提供以下方面的方案及内容：</w:t>
      </w:r>
    </w:p>
    <w:p>
      <w:pPr>
        <w:pStyle w:val="12"/>
        <w:spacing w:before="0" w:after="0" w:line="360" w:lineRule="auto"/>
        <w:ind w:firstLine="480"/>
        <w:rPr>
          <w:rFonts w:ascii="Times New Roman" w:hAnsi="Times New Roman" w:eastAsia="Times New Roman" w:cs="Times New Roman"/>
        </w:rPr>
      </w:pPr>
      <w:r>
        <w:rPr>
          <w:rFonts w:ascii="FangSong_GB2312" w:hAnsi="FangSong_GB2312" w:eastAsia="FangSong_GB2312" w:cs="FangSong_GB2312"/>
          <w:sz w:val="32"/>
          <w:szCs w:val="32"/>
        </w:rPr>
        <w:t>2.2.2.1 项目需求理解：投标人对本项目需求的响应程度，包括但不限于12366纳税缴费服务热线工作性质、工作内容、工作方式、工作标准；</w:t>
      </w:r>
    </w:p>
    <w:p>
      <w:pPr>
        <w:pStyle w:val="12"/>
        <w:spacing w:before="0" w:after="0" w:line="360" w:lineRule="auto"/>
        <w:ind w:firstLine="480"/>
        <w:rPr>
          <w:rFonts w:ascii="Times New Roman" w:hAnsi="Times New Roman" w:eastAsia="Times New Roman" w:cs="Times New Roman"/>
        </w:rPr>
      </w:pPr>
      <w:r>
        <w:rPr>
          <w:rFonts w:ascii="FangSong_GB2312" w:hAnsi="FangSong_GB2312" w:eastAsia="FangSong_GB2312" w:cs="FangSong_GB2312"/>
          <w:sz w:val="32"/>
          <w:szCs w:val="32"/>
        </w:rPr>
        <w:t xml:space="preserve">2.2.2.2 人员配置保障方案：需提供包括但不限于本项目需求书“项目人员要求”及“坐席人员准备及培训要求”相关保障方案； </w:t>
      </w:r>
    </w:p>
    <w:p>
      <w:pPr>
        <w:pStyle w:val="12"/>
        <w:spacing w:before="0" w:after="0" w:line="360" w:lineRule="auto"/>
        <w:ind w:firstLine="480"/>
        <w:rPr>
          <w:rFonts w:ascii="Times New Roman" w:hAnsi="Times New Roman" w:eastAsia="Times New Roman" w:cs="Times New Roman"/>
        </w:rPr>
      </w:pPr>
      <w:r>
        <w:rPr>
          <w:rFonts w:ascii="FangSong_GB2312" w:hAnsi="FangSong_GB2312" w:eastAsia="FangSong_GB2312" w:cs="FangSong_GB2312"/>
          <w:sz w:val="32"/>
          <w:szCs w:val="32"/>
        </w:rPr>
        <w:t>2.2.2.3 服务质量保证措施：针对本项目，提出科学详细的服务质量保证措施方案；</w:t>
      </w:r>
    </w:p>
    <w:p>
      <w:pPr>
        <w:pStyle w:val="12"/>
        <w:spacing w:before="0" w:after="0" w:line="360" w:lineRule="auto"/>
        <w:ind w:firstLine="480"/>
        <w:rPr>
          <w:rFonts w:ascii="Times New Roman" w:hAnsi="Times New Roman" w:eastAsia="Times New Roman" w:cs="Times New Roman"/>
        </w:rPr>
      </w:pPr>
      <w:r>
        <w:rPr>
          <w:rFonts w:ascii="FangSong_GB2312" w:hAnsi="FangSong_GB2312" w:eastAsia="FangSong_GB2312" w:cs="FangSong_GB2312"/>
          <w:sz w:val="32"/>
          <w:szCs w:val="32"/>
        </w:rPr>
        <w:t>2.2.2.4 信息安全保障方案：投标人为本项目制定的信息安全保障方案，包括但不限于需求书中“信息安全要求”的相关要求；</w:t>
      </w:r>
    </w:p>
    <w:p>
      <w:pPr>
        <w:pStyle w:val="12"/>
        <w:spacing w:before="0" w:after="0" w:line="360" w:lineRule="auto"/>
        <w:ind w:firstLine="480"/>
        <w:rPr>
          <w:rFonts w:ascii="Times New Roman" w:hAnsi="Times New Roman" w:eastAsia="Times New Roman" w:cs="Times New Roman"/>
        </w:rPr>
      </w:pPr>
      <w:r>
        <w:rPr>
          <w:rFonts w:ascii="FangSong_GB2312" w:hAnsi="FangSong_GB2312" w:eastAsia="FangSong_GB2312" w:cs="FangSong_GB2312"/>
          <w:sz w:val="32"/>
          <w:szCs w:val="32"/>
        </w:rPr>
        <w:t>2.2.2.5 应急保障及人才储备方案：根据投标人针对本项目的要求提出的各种可能出现的突发状况，所指定的应急保障和人才储备方案进行评审，包括但不限于用户需求书“突发应急保障要求”相关要求；</w:t>
      </w:r>
    </w:p>
    <w:p>
      <w:pPr>
        <w:pStyle w:val="12"/>
        <w:spacing w:before="0" w:after="0" w:line="360" w:lineRule="auto"/>
        <w:ind w:firstLine="480"/>
        <w:rPr>
          <w:rFonts w:ascii="Times New Roman" w:hAnsi="Times New Roman" w:eastAsia="Times New Roman" w:cs="Times New Roman"/>
        </w:rPr>
      </w:pPr>
      <w:r>
        <w:rPr>
          <w:rFonts w:ascii="FangSong_GB2312" w:hAnsi="FangSong_GB2312" w:eastAsia="FangSong_GB2312" w:cs="FangSong_GB2312"/>
          <w:sz w:val="32"/>
          <w:szCs w:val="32"/>
        </w:rPr>
        <w:t>2.2.2.6 平滑过渡保障方案：为确保本项目在交接期间运营管理有序、对用户的服务不间断，不受影响，投标人提供的平滑过渡保障方案，包括但不限于人员、业务、培训、招聘等内容，提供保障方案及承诺函；</w:t>
      </w:r>
    </w:p>
    <w:p>
      <w:pPr>
        <w:pStyle w:val="12"/>
        <w:spacing w:before="0" w:after="0" w:line="360" w:lineRule="auto"/>
        <w:ind w:firstLine="480"/>
        <w:rPr>
          <w:rFonts w:ascii="Times New Roman" w:hAnsi="Times New Roman" w:eastAsia="Times New Roman" w:cs="Times New Roman"/>
        </w:rPr>
      </w:pPr>
      <w:r>
        <w:rPr>
          <w:rFonts w:ascii="FangSong_GB2312" w:hAnsi="FangSong_GB2312" w:eastAsia="FangSong_GB2312" w:cs="FangSong_GB2312"/>
          <w:sz w:val="32"/>
          <w:szCs w:val="32"/>
        </w:rPr>
        <w:t xml:space="preserve">2.2.2.7 预算编制：项目预算编制完整、合理，符合人岗位合理安排：编制科学、合理可行，符合行业成本测算标准； </w:t>
      </w:r>
    </w:p>
    <w:p>
      <w:pPr>
        <w:pStyle w:val="12"/>
        <w:spacing w:before="0" w:after="0" w:line="360" w:lineRule="auto"/>
        <w:ind w:firstLine="480"/>
        <w:rPr>
          <w:rFonts w:ascii="Times New Roman" w:hAnsi="Times New Roman" w:eastAsia="Times New Roman" w:cs="Times New Roman"/>
        </w:rPr>
      </w:pPr>
      <w:r>
        <w:rPr>
          <w:rFonts w:ascii="FangSong_GB2312" w:hAnsi="FangSong_GB2312" w:eastAsia="FangSong_GB2312" w:cs="FangSong_GB2312"/>
          <w:sz w:val="32"/>
          <w:szCs w:val="32"/>
        </w:rPr>
        <w:t>2.2.2.8 特色服务及承诺：针对本项目的服务要求，提出的创新特色服务，及为采购人提供的其他特色服务方案。</w:t>
      </w:r>
    </w:p>
    <w:p>
      <w:pPr>
        <w:pStyle w:val="2"/>
        <w:keepNext w:val="0"/>
        <w:spacing w:before="0" w:after="0" w:line="360" w:lineRule="auto"/>
        <w:jc w:val="center"/>
        <w:rPr>
          <w:rFonts w:ascii="仿宋_GB2312" w:hAnsi="仿宋_GB2312" w:eastAsia="仿宋_GB2312" w:cs="仿宋_GB2312"/>
          <w:b/>
          <w:bCs/>
          <w:sz w:val="32"/>
          <w:szCs w:val="32"/>
        </w:rPr>
      </w:pPr>
      <w:bookmarkStart w:id="21" w:name="_Toc256000019"/>
      <w:r>
        <w:rPr>
          <w:rFonts w:ascii="仿宋_GB2312" w:hAnsi="仿宋_GB2312" w:eastAsia="仿宋_GB2312" w:cs="仿宋_GB2312"/>
          <w:kern w:val="36"/>
        </w:rPr>
        <w:t>3项目需求</w:t>
      </w:r>
      <w:bookmarkEnd w:id="21"/>
    </w:p>
    <w:p>
      <w:pPr>
        <w:pStyle w:val="3"/>
        <w:keepNext w:val="0"/>
        <w:spacing w:before="0" w:after="0" w:line="360" w:lineRule="auto"/>
        <w:rPr>
          <w:rFonts w:ascii="仿宋_GB2312" w:hAnsi="仿宋_GB2312" w:eastAsia="仿宋_GB2312" w:cs="仿宋_GB2312"/>
          <w:b/>
          <w:bCs/>
          <w:sz w:val="28"/>
          <w:szCs w:val="28"/>
        </w:rPr>
      </w:pPr>
      <w:bookmarkStart w:id="22" w:name="_Toc256000020"/>
      <w:r>
        <w:rPr>
          <w:rFonts w:ascii="仿宋_GB2312" w:hAnsi="仿宋_GB2312" w:eastAsia="仿宋_GB2312" w:cs="仿宋_GB2312"/>
          <w:i w:val="0"/>
          <w:iCs w:val="0"/>
        </w:rPr>
        <w:t>3.1总体要求</w:t>
      </w:r>
      <w:bookmarkEnd w:id="22"/>
    </w:p>
    <w:p>
      <w:pPr>
        <w:pStyle w:val="12"/>
        <w:spacing w:before="0" w:after="0" w:line="360" w:lineRule="auto"/>
        <w:ind w:firstLine="480"/>
        <w:rPr>
          <w:rFonts w:ascii="Times New Roman" w:hAnsi="Times New Roman" w:eastAsia="Times New Roman" w:cs="Times New Roman"/>
        </w:rPr>
      </w:pPr>
      <w:r>
        <w:rPr>
          <w:rFonts w:ascii="FangSong_GB2312" w:hAnsi="FangSong_GB2312" w:eastAsia="FangSong_GB2312" w:cs="FangSong_GB2312"/>
          <w:sz w:val="32"/>
          <w:szCs w:val="32"/>
        </w:rPr>
        <w:t> 承接国家税务总局武汉市洪山区税务局纳税服务热线和征纳互动服务的业务功能，保证纳税人、缴费人通过电话、网络等各种渠道的请求服务能够快速响应。必须熟练掌握各类办税系统（包括但不限于电子税务局、自然人电子税务局、个人所得税APP、湖北省政务服务网等）的操作使用及疑难问题解决。立足于为纳税人、缴费人提供高效、便捷、规范的专业化服务，对系统操作、税收政策、社保非税业务、办税流程的咨询应准确及时解答；为纳税人提供人工互动、互动办理、互动查询等服务；通知公告、涉税提醒、税法宣传须快速准确传递；投诉举报、意见建议要规范受理传递；回访、调查等业务须规范有序开展。如遇可能影响热线通信或征纳互动服务运行的情况，应第一时间通知国家税务总局武汉市洪山区税务局。</w:t>
      </w:r>
    </w:p>
    <w:p>
      <w:pPr>
        <w:pStyle w:val="3"/>
        <w:keepNext w:val="0"/>
        <w:spacing w:before="0" w:after="0" w:line="360" w:lineRule="auto"/>
        <w:rPr>
          <w:rFonts w:ascii="仿宋_GB2312" w:hAnsi="仿宋_GB2312" w:eastAsia="仿宋_GB2312" w:cs="仿宋_GB2312"/>
          <w:b/>
          <w:bCs/>
          <w:sz w:val="28"/>
          <w:szCs w:val="28"/>
        </w:rPr>
      </w:pPr>
      <w:bookmarkStart w:id="23" w:name="_Toc256000021"/>
      <w:r>
        <w:rPr>
          <w:rFonts w:ascii="仿宋_GB2312" w:hAnsi="仿宋_GB2312" w:eastAsia="仿宋_GB2312" w:cs="仿宋_GB2312"/>
          <w:i w:val="0"/>
          <w:iCs w:val="0"/>
        </w:rPr>
        <w:t>3.2服务内容和要求</w:t>
      </w:r>
      <w:bookmarkEnd w:id="23"/>
    </w:p>
    <w:p>
      <w:pPr>
        <w:pStyle w:val="4"/>
        <w:keepNext w:val="0"/>
        <w:spacing w:before="0" w:after="0" w:line="360" w:lineRule="auto"/>
        <w:rPr>
          <w:rFonts w:ascii="仿宋_GB2312" w:hAnsi="仿宋_GB2312" w:eastAsia="仿宋_GB2312" w:cs="仿宋_GB2312"/>
          <w:b/>
          <w:bCs/>
          <w:sz w:val="28"/>
          <w:szCs w:val="28"/>
        </w:rPr>
      </w:pPr>
      <w:bookmarkStart w:id="24" w:name="_Toc256000022"/>
      <w:r>
        <w:rPr>
          <w:rFonts w:ascii="仿宋_GB2312" w:hAnsi="仿宋_GB2312" w:eastAsia="仿宋_GB2312" w:cs="仿宋_GB2312"/>
          <w:sz w:val="28"/>
          <w:szCs w:val="28"/>
        </w:rPr>
        <w:t>3.2.1技术和服务客观指标</w:t>
      </w:r>
      <w:bookmarkEnd w:id="24"/>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3.2.1.1服务1</w:t>
      </w:r>
    </w:p>
    <w:p>
      <w:pPr>
        <w:pStyle w:val="4"/>
        <w:keepNext w:val="0"/>
        <w:spacing w:before="0" w:after="0" w:line="360" w:lineRule="auto"/>
        <w:rPr>
          <w:rFonts w:ascii="仿宋_GB2312" w:hAnsi="仿宋_GB2312" w:eastAsia="仿宋_GB2312" w:cs="仿宋_GB2312"/>
          <w:b/>
          <w:bCs/>
          <w:sz w:val="28"/>
          <w:szCs w:val="28"/>
        </w:rPr>
      </w:pPr>
      <w:bookmarkStart w:id="25" w:name="_Toc256000023"/>
      <w:r>
        <w:rPr>
          <w:rFonts w:ascii="仿宋_GB2312" w:hAnsi="仿宋_GB2312" w:eastAsia="仿宋_GB2312" w:cs="仿宋_GB2312"/>
          <w:sz w:val="28"/>
          <w:szCs w:val="28"/>
        </w:rPr>
        <w:t>3.2.2技术和服务其他要求</w:t>
      </w:r>
      <w:bookmarkEnd w:id="25"/>
    </w:p>
    <w:p>
      <w:pPr>
        <w:pStyle w:val="12"/>
        <w:spacing w:before="0" w:after="0" w:line="360" w:lineRule="auto"/>
        <w:ind w:firstLine="480"/>
        <w:rPr>
          <w:rFonts w:ascii="Times New Roman" w:hAnsi="Times New Roman" w:eastAsia="Times New Roman" w:cs="Times New Roman"/>
        </w:rPr>
      </w:pPr>
      <w:r>
        <w:rPr>
          <w:rFonts w:ascii="FangSong_GB2312" w:hAnsi="FangSong_GB2312" w:eastAsia="FangSong_GB2312" w:cs="FangSong_GB2312"/>
          <w:sz w:val="32"/>
          <w:szCs w:val="32"/>
        </w:rPr>
        <w:t>3.2.2.1 利用纳税服务热线通过语音、网络等多种形式，提供专业化服务，包括但不限于：</w:t>
      </w:r>
    </w:p>
    <w:p>
      <w:pPr>
        <w:pStyle w:val="12"/>
        <w:spacing w:before="0" w:after="0" w:line="360" w:lineRule="auto"/>
        <w:ind w:firstLine="480"/>
        <w:rPr>
          <w:rFonts w:ascii="Times New Roman" w:hAnsi="Times New Roman" w:eastAsia="Times New Roman" w:cs="Times New Roman"/>
        </w:rPr>
      </w:pPr>
      <w:r>
        <w:rPr>
          <w:rFonts w:ascii="FangSong_GB2312" w:hAnsi="FangSong_GB2312" w:eastAsia="FangSong_GB2312" w:cs="FangSong_GB2312"/>
          <w:sz w:val="32"/>
          <w:szCs w:val="32"/>
        </w:rPr>
        <w:t>（1）纳税咨询：解答纳税人、缴费人及社会公众提出的税收法律法规、征管规定、办税流程、涉税系统操作等各类税收业务咨询。</w:t>
      </w:r>
    </w:p>
    <w:p>
      <w:pPr>
        <w:pStyle w:val="12"/>
        <w:spacing w:before="0" w:after="0" w:line="360" w:lineRule="auto"/>
        <w:ind w:firstLine="480"/>
        <w:rPr>
          <w:rFonts w:ascii="Times New Roman" w:hAnsi="Times New Roman" w:eastAsia="Times New Roman" w:cs="Times New Roman"/>
        </w:rPr>
      </w:pPr>
      <w:r>
        <w:rPr>
          <w:rFonts w:ascii="FangSong_GB2312" w:hAnsi="FangSong_GB2312" w:eastAsia="FangSong_GB2312" w:cs="FangSong_GB2312"/>
          <w:sz w:val="32"/>
          <w:szCs w:val="32"/>
        </w:rPr>
        <w:t>（2）缴费咨询：教育费附加、地方教育费附加、残保金、社保等非税业务缴费咨询。</w:t>
      </w:r>
    </w:p>
    <w:p>
      <w:pPr>
        <w:pStyle w:val="12"/>
        <w:spacing w:before="0" w:after="0" w:line="360" w:lineRule="auto"/>
        <w:ind w:firstLine="480"/>
        <w:rPr>
          <w:rFonts w:ascii="Times New Roman" w:hAnsi="Times New Roman" w:eastAsia="Times New Roman" w:cs="Times New Roman"/>
        </w:rPr>
      </w:pPr>
      <w:r>
        <w:rPr>
          <w:rFonts w:ascii="FangSong_GB2312" w:hAnsi="FangSong_GB2312" w:eastAsia="FangSong_GB2312" w:cs="FangSong_GB2312"/>
          <w:sz w:val="32"/>
          <w:szCs w:val="32"/>
        </w:rPr>
        <w:t>（3）税费服务：为纳税人及社会公众办理纳税人税务登记信息确认、申报纳税等涉税事项提供指导服务，为缴费人提供缴费渠道、办理缴费业务等指导服务。</w:t>
      </w:r>
    </w:p>
    <w:p>
      <w:pPr>
        <w:pStyle w:val="12"/>
        <w:spacing w:before="0" w:after="0" w:line="360" w:lineRule="auto"/>
        <w:ind w:firstLine="480"/>
        <w:rPr>
          <w:rFonts w:ascii="Times New Roman" w:hAnsi="Times New Roman" w:eastAsia="Times New Roman" w:cs="Times New Roman"/>
        </w:rPr>
      </w:pPr>
      <w:r>
        <w:rPr>
          <w:rFonts w:ascii="FangSong_GB2312" w:hAnsi="FangSong_GB2312" w:eastAsia="FangSong_GB2312" w:cs="FangSong_GB2312"/>
          <w:sz w:val="32"/>
          <w:szCs w:val="32"/>
        </w:rPr>
        <w:t>（4）税费查询：为纳税人、缴费人及社会公众提供税收法律法规、发票信息、缴费情况等各类税费信息查询。</w:t>
      </w:r>
    </w:p>
    <w:p>
      <w:pPr>
        <w:pStyle w:val="12"/>
        <w:spacing w:before="0" w:after="0" w:line="360" w:lineRule="auto"/>
        <w:ind w:firstLine="480"/>
        <w:rPr>
          <w:rFonts w:ascii="Times New Roman" w:hAnsi="Times New Roman" w:eastAsia="Times New Roman" w:cs="Times New Roman"/>
        </w:rPr>
      </w:pPr>
      <w:r>
        <w:rPr>
          <w:rFonts w:ascii="FangSong_GB2312" w:hAnsi="FangSong_GB2312" w:eastAsia="FangSong_GB2312" w:cs="FangSong_GB2312"/>
          <w:sz w:val="32"/>
          <w:szCs w:val="32"/>
        </w:rPr>
        <w:t>（5）投诉受理：受理纳税人、缴费人对税务机关服务质量的投诉。</w:t>
      </w:r>
    </w:p>
    <w:p>
      <w:pPr>
        <w:pStyle w:val="12"/>
        <w:spacing w:before="0" w:after="0" w:line="360" w:lineRule="auto"/>
        <w:ind w:firstLine="480"/>
        <w:rPr>
          <w:rFonts w:ascii="Times New Roman" w:hAnsi="Times New Roman" w:eastAsia="Times New Roman" w:cs="Times New Roman"/>
        </w:rPr>
      </w:pPr>
      <w:r>
        <w:rPr>
          <w:rFonts w:ascii="FangSong_GB2312" w:hAnsi="FangSong_GB2312" w:eastAsia="FangSong_GB2312" w:cs="FangSong_GB2312"/>
          <w:sz w:val="32"/>
          <w:szCs w:val="32"/>
        </w:rPr>
        <w:t>（6）税法宣传：通过接线情况，开展税收政策热点问题收集，为税法宣传提供参考依据。</w:t>
      </w:r>
    </w:p>
    <w:p>
      <w:pPr>
        <w:pStyle w:val="12"/>
        <w:spacing w:before="0" w:after="0" w:line="360" w:lineRule="auto"/>
        <w:ind w:firstLine="480"/>
        <w:rPr>
          <w:rFonts w:ascii="Times New Roman" w:hAnsi="Times New Roman" w:eastAsia="Times New Roman" w:cs="Times New Roman"/>
        </w:rPr>
      </w:pPr>
      <w:r>
        <w:rPr>
          <w:rFonts w:ascii="FangSong_GB2312" w:hAnsi="FangSong_GB2312" w:eastAsia="FangSong_GB2312" w:cs="FangSong_GB2312"/>
          <w:sz w:val="32"/>
          <w:szCs w:val="32"/>
        </w:rPr>
        <w:t>（7）需求收集：在为纳税人、缴费人提供各类服务过程中，收集纳税人、缴费人办税缴费需求，并按规定归集、分析、传递。</w:t>
      </w:r>
    </w:p>
    <w:p>
      <w:pPr>
        <w:pStyle w:val="12"/>
        <w:spacing w:before="0" w:after="0" w:line="360" w:lineRule="auto"/>
        <w:ind w:firstLine="480"/>
        <w:rPr>
          <w:rFonts w:ascii="Times New Roman" w:hAnsi="Times New Roman" w:eastAsia="Times New Roman" w:cs="Times New Roman"/>
        </w:rPr>
      </w:pPr>
      <w:r>
        <w:rPr>
          <w:rFonts w:ascii="FangSong_GB2312" w:hAnsi="FangSong_GB2312" w:eastAsia="FangSong_GB2312" w:cs="FangSong_GB2312"/>
          <w:sz w:val="32"/>
          <w:szCs w:val="32"/>
        </w:rPr>
        <w:t>3.2.2.2 利用征纳互动服务人工在线互动功能为纳税人、缴费人提供电子税务局系统操作指导、税费政策咨询、业务流程咨询、业务事项受理或办理等服务。</w:t>
      </w:r>
    </w:p>
    <w:p>
      <w:pPr>
        <w:pStyle w:val="12"/>
        <w:spacing w:before="0" w:after="0" w:line="360" w:lineRule="auto"/>
        <w:ind w:firstLine="480"/>
        <w:rPr>
          <w:rFonts w:ascii="Times New Roman" w:hAnsi="Times New Roman" w:eastAsia="Times New Roman" w:cs="Times New Roman"/>
        </w:rPr>
      </w:pPr>
      <w:r>
        <w:rPr>
          <w:rFonts w:ascii="FangSong_GB2312" w:hAnsi="FangSong_GB2312" w:eastAsia="FangSong_GB2312" w:cs="FangSong_GB2312"/>
          <w:sz w:val="32"/>
          <w:szCs w:val="32"/>
        </w:rPr>
        <w:t>3.2.2.3 完成国家税务总局武汉市洪山区税务局交办的其他服务事项。</w:t>
      </w:r>
    </w:p>
    <w:p>
      <w:pPr>
        <w:pStyle w:val="2"/>
        <w:keepNext w:val="0"/>
        <w:spacing w:before="0" w:after="0" w:line="360" w:lineRule="auto"/>
        <w:jc w:val="center"/>
        <w:rPr>
          <w:rFonts w:ascii="仿宋_GB2312" w:hAnsi="仿宋_GB2312" w:eastAsia="仿宋_GB2312" w:cs="仿宋_GB2312"/>
          <w:b/>
          <w:bCs/>
          <w:sz w:val="32"/>
          <w:szCs w:val="32"/>
        </w:rPr>
      </w:pPr>
      <w:bookmarkStart w:id="26" w:name="_Toc256000024"/>
      <w:r>
        <w:rPr>
          <w:rFonts w:ascii="仿宋_GB2312" w:hAnsi="仿宋_GB2312" w:eastAsia="仿宋_GB2312" w:cs="仿宋_GB2312"/>
          <w:kern w:val="36"/>
        </w:rPr>
        <w:t>4人员要求</w:t>
      </w:r>
      <w:bookmarkEnd w:id="26"/>
    </w:p>
    <w:p>
      <w:pPr>
        <w:pStyle w:val="3"/>
        <w:keepNext w:val="0"/>
        <w:spacing w:before="0" w:after="0" w:line="360" w:lineRule="auto"/>
        <w:rPr>
          <w:rFonts w:ascii="仿宋_GB2312" w:hAnsi="仿宋_GB2312" w:eastAsia="仿宋_GB2312" w:cs="仿宋_GB2312"/>
          <w:b/>
          <w:bCs/>
          <w:sz w:val="28"/>
          <w:szCs w:val="28"/>
        </w:rPr>
      </w:pPr>
      <w:bookmarkStart w:id="27" w:name="_Toc256000025"/>
      <w:r>
        <w:rPr>
          <w:rFonts w:ascii="仿宋_GB2312" w:hAnsi="仿宋_GB2312" w:eastAsia="仿宋_GB2312" w:cs="仿宋_GB2312"/>
          <w:i w:val="0"/>
          <w:iCs w:val="0"/>
        </w:rPr>
        <w:t>4.1总体要求</w:t>
      </w:r>
      <w:bookmarkEnd w:id="27"/>
    </w:p>
    <w:p>
      <w:pPr>
        <w:spacing w:before="0" w:after="0" w:line="360" w:lineRule="auto"/>
        <w:rPr>
          <w:rFonts w:ascii="Times New Roman" w:hAnsi="Times New Roman" w:eastAsia="Times New Roman" w:cs="Times New Roman"/>
        </w:rPr>
      </w:pPr>
      <w:r>
        <w:rPr>
          <w:rFonts w:ascii="FangSong_GB2312" w:hAnsi="FangSong_GB2312" w:eastAsia="FangSong_GB2312" w:cs="FangSong_GB2312"/>
          <w:b/>
          <w:bCs/>
          <w:sz w:val="32"/>
          <w:szCs w:val="32"/>
        </w:rPr>
        <w:t>4.1.1团队要求</w:t>
      </w:r>
    </w:p>
    <w:p>
      <w:pPr>
        <w:spacing w:before="0" w:after="0" w:line="360" w:lineRule="auto"/>
        <w:rPr>
          <w:rFonts w:ascii="Times New Roman" w:hAnsi="Times New Roman" w:eastAsia="Times New Roman" w:cs="Times New Roman"/>
        </w:rPr>
      </w:pPr>
      <w:r>
        <w:rPr>
          <w:rFonts w:ascii="FangSong_GB2312" w:hAnsi="FangSong_GB2312" w:eastAsia="FangSong_GB2312" w:cs="FangSong_GB2312"/>
          <w:sz w:val="32"/>
          <w:szCs w:val="32"/>
        </w:rPr>
        <w:t>    供应商对本项目需配备驻场管理岗1个、热线坐席服务岗16个（含分组组长），派驻的所有管理及业务技术服务人员要按照采购人要求的工作时间开展服务，如遇加班情况应无条件服从采购方的工作安排，由采购方根据工作实际安排加班费或调休。工作期间保证各岗位的人员配备到位，如有人员调整应及时报采购管理部门备案。</w:t>
      </w:r>
    </w:p>
    <w:p>
      <w:pPr>
        <w:spacing w:before="0" w:after="0" w:line="360" w:lineRule="auto"/>
        <w:rPr>
          <w:rFonts w:ascii="仿宋_GB2312" w:hAnsi="仿宋_GB2312" w:eastAsia="仿宋_GB2312" w:cs="仿宋_GB2312"/>
          <w:sz w:val="28"/>
          <w:szCs w:val="28"/>
        </w:rPr>
      </w:pPr>
      <w:r>
        <w:rPr>
          <w:rFonts w:ascii="FangSong_GB2312" w:hAnsi="FangSong_GB2312" w:eastAsia="FangSong_GB2312" w:cs="FangSong_GB2312"/>
          <w:sz w:val="32"/>
          <w:szCs w:val="32"/>
        </w:rPr>
        <w:t>4.1.1.1供应商参与本项目管理与服务的所有人员必须具备以下基本条件：</w:t>
      </w:r>
    </w:p>
    <w:p>
      <w:pPr>
        <w:pStyle w:val="12"/>
        <w:spacing w:before="0" w:after="0" w:line="360" w:lineRule="auto"/>
        <w:ind w:firstLine="480"/>
        <w:rPr>
          <w:rFonts w:ascii="Times New Roman" w:hAnsi="Times New Roman" w:eastAsia="Times New Roman" w:cs="Times New Roman"/>
        </w:rPr>
      </w:pPr>
      <w:r>
        <w:rPr>
          <w:rFonts w:ascii="FangSong_GB2312" w:hAnsi="FangSong_GB2312" w:eastAsia="FangSong_GB2312" w:cs="FangSong_GB2312"/>
          <w:sz w:val="32"/>
          <w:szCs w:val="32"/>
        </w:rPr>
        <w:t>（1）具有良好品行，大专及以上学历；</w:t>
      </w:r>
    </w:p>
    <w:p>
      <w:pPr>
        <w:pStyle w:val="12"/>
        <w:spacing w:before="0" w:after="0" w:line="360" w:lineRule="auto"/>
        <w:ind w:firstLine="480"/>
        <w:rPr>
          <w:rFonts w:ascii="Times New Roman" w:hAnsi="Times New Roman" w:eastAsia="Times New Roman" w:cs="Times New Roman"/>
        </w:rPr>
      </w:pPr>
      <w:r>
        <w:rPr>
          <w:rFonts w:ascii="FangSong_GB2312" w:hAnsi="FangSong_GB2312" w:eastAsia="FangSong_GB2312" w:cs="FangSong_GB2312"/>
          <w:sz w:val="32"/>
          <w:szCs w:val="32"/>
        </w:rPr>
        <w:t>（2）具有良好的税收基本业务知识；</w:t>
      </w:r>
    </w:p>
    <w:p>
      <w:pPr>
        <w:pStyle w:val="12"/>
        <w:spacing w:before="0" w:after="0" w:line="360" w:lineRule="auto"/>
        <w:ind w:firstLine="480"/>
        <w:rPr>
          <w:rFonts w:ascii="Times New Roman" w:hAnsi="Times New Roman" w:eastAsia="Times New Roman" w:cs="Times New Roman"/>
        </w:rPr>
      </w:pPr>
      <w:r>
        <w:rPr>
          <w:rFonts w:ascii="FangSong_GB2312" w:hAnsi="FangSong_GB2312" w:eastAsia="FangSong_GB2312" w:cs="FangSong_GB2312"/>
          <w:sz w:val="32"/>
          <w:szCs w:val="32"/>
        </w:rPr>
        <w:t>（3）普通话发音基本标准，语调自然，表达流畅；</w:t>
      </w:r>
    </w:p>
    <w:p>
      <w:pPr>
        <w:pStyle w:val="12"/>
        <w:spacing w:before="0" w:after="0" w:line="360" w:lineRule="auto"/>
        <w:ind w:firstLine="480"/>
        <w:rPr>
          <w:rFonts w:ascii="Times New Roman" w:hAnsi="Times New Roman" w:eastAsia="Times New Roman" w:cs="Times New Roman"/>
        </w:rPr>
      </w:pPr>
      <w:r>
        <w:rPr>
          <w:rFonts w:ascii="FangSong_GB2312" w:hAnsi="FangSong_GB2312" w:eastAsia="FangSong_GB2312" w:cs="FangSong_GB2312"/>
          <w:sz w:val="32"/>
          <w:szCs w:val="32"/>
        </w:rPr>
        <w:t>（4）具备较强的服务意识和良好的语言表达能力、沟通能力、学习能力和心理承受能力；</w:t>
      </w:r>
    </w:p>
    <w:p>
      <w:pPr>
        <w:pStyle w:val="12"/>
        <w:spacing w:before="0" w:after="0" w:line="360" w:lineRule="auto"/>
        <w:ind w:firstLine="480"/>
        <w:rPr>
          <w:rFonts w:ascii="Times New Roman" w:hAnsi="Times New Roman" w:eastAsia="Times New Roman" w:cs="Times New Roman"/>
        </w:rPr>
      </w:pPr>
      <w:r>
        <w:rPr>
          <w:rFonts w:ascii="FangSong_GB2312" w:hAnsi="FangSong_GB2312" w:eastAsia="FangSong_GB2312" w:cs="FangSong_GB2312"/>
          <w:sz w:val="32"/>
          <w:szCs w:val="32"/>
        </w:rPr>
        <w:t>（5）能熟练运用电脑办公软件及汉字录入速度不低于60字/分钟；</w:t>
      </w:r>
    </w:p>
    <w:p>
      <w:pPr>
        <w:pStyle w:val="12"/>
        <w:spacing w:before="0" w:after="0" w:line="360" w:lineRule="auto"/>
        <w:ind w:firstLine="480"/>
        <w:rPr>
          <w:rFonts w:ascii="Times New Roman" w:hAnsi="Times New Roman" w:eastAsia="Times New Roman" w:cs="Times New Roman"/>
        </w:rPr>
      </w:pPr>
      <w:r>
        <w:rPr>
          <w:rFonts w:ascii="FangSong_GB2312" w:hAnsi="FangSong_GB2312" w:eastAsia="FangSong_GB2312" w:cs="FangSong_GB2312"/>
          <w:sz w:val="32"/>
          <w:szCs w:val="32"/>
        </w:rPr>
        <w:t>（6）身体健康，无慢性病史、传染病史和精神病史，无犯罪记录；</w:t>
      </w:r>
    </w:p>
    <w:p>
      <w:pPr>
        <w:pStyle w:val="12"/>
        <w:spacing w:before="0" w:after="0" w:line="360" w:lineRule="auto"/>
        <w:ind w:firstLine="480"/>
        <w:rPr>
          <w:rFonts w:ascii="Times New Roman" w:hAnsi="Times New Roman" w:eastAsia="Times New Roman" w:cs="Times New Roman"/>
        </w:rPr>
      </w:pPr>
      <w:r>
        <w:rPr>
          <w:rFonts w:ascii="FangSong_GB2312" w:hAnsi="FangSong_GB2312" w:eastAsia="FangSong_GB2312" w:cs="FangSong_GB2312"/>
          <w:sz w:val="32"/>
          <w:szCs w:val="32"/>
        </w:rPr>
        <w:t>（7）未出现下列情形之一的：在虚开增值税专用发票、骗取出口退税、骗取税费优惠等案件中内外勾结、以税谋私的；经公安机关认定具有醉驾、赌博等违法行为的；经商办企业、在企业兼职（任职）领取报酬的；违反保密纪律、非法获取保</w:t>
      </w:r>
      <w:r>
        <w:rPr>
          <w:rFonts w:ascii="FangSong_GB2312" w:hAnsi="FangSong_GB2312" w:eastAsia="FangSong_GB2312" w:cs="FangSong_GB2312"/>
          <w:color w:val="000000"/>
          <w:sz w:val="32"/>
          <w:szCs w:val="32"/>
        </w:rPr>
        <w:t>密信息、泄露工作秘密、不如实或不及时提供个人信息，情节严重的；其他严重违规违纪违法行为或损害税务部门形象的。</w:t>
      </w:r>
    </w:p>
    <w:p>
      <w:pPr>
        <w:pStyle w:val="3"/>
        <w:keepNext w:val="0"/>
        <w:spacing w:before="0" w:after="0" w:line="360" w:lineRule="auto"/>
        <w:rPr>
          <w:rFonts w:ascii="仿宋_GB2312" w:hAnsi="仿宋_GB2312" w:eastAsia="仿宋_GB2312" w:cs="仿宋_GB2312"/>
          <w:b/>
          <w:bCs/>
          <w:sz w:val="28"/>
          <w:szCs w:val="28"/>
        </w:rPr>
      </w:pPr>
      <w:bookmarkStart w:id="28" w:name="_Toc256000026"/>
      <w:r>
        <w:rPr>
          <w:rFonts w:ascii="仿宋_GB2312" w:hAnsi="仿宋_GB2312" w:eastAsia="仿宋_GB2312" w:cs="仿宋_GB2312"/>
          <w:i w:val="0"/>
          <w:iCs w:val="0"/>
        </w:rPr>
        <w:t>4.2管理团队</w:t>
      </w:r>
      <w:bookmarkEnd w:id="28"/>
    </w:p>
    <w:p>
      <w:pPr>
        <w:pStyle w:val="4"/>
        <w:keepNext w:val="0"/>
        <w:spacing w:before="0" w:after="0" w:line="360" w:lineRule="auto"/>
        <w:rPr>
          <w:rFonts w:ascii="仿宋_GB2312" w:hAnsi="仿宋_GB2312" w:eastAsia="仿宋_GB2312" w:cs="仿宋_GB2312"/>
          <w:b/>
          <w:bCs/>
          <w:sz w:val="28"/>
          <w:szCs w:val="28"/>
        </w:rPr>
      </w:pPr>
      <w:bookmarkStart w:id="29" w:name="_Toc256000027"/>
      <w:r>
        <w:rPr>
          <w:rFonts w:ascii="仿宋_GB2312" w:hAnsi="仿宋_GB2312" w:eastAsia="仿宋_GB2312" w:cs="仿宋_GB2312"/>
          <w:sz w:val="28"/>
          <w:szCs w:val="28"/>
        </w:rPr>
        <w:t>4.2.1项目经理</w:t>
      </w:r>
      <w:bookmarkEnd w:id="29"/>
    </w:p>
    <w:p>
      <w:pPr>
        <w:pStyle w:val="4"/>
        <w:keepNext w:val="0"/>
        <w:spacing w:before="0" w:after="0" w:line="360" w:lineRule="auto"/>
        <w:rPr>
          <w:rFonts w:ascii="Times New Roman" w:hAnsi="Times New Roman" w:eastAsia="Times New Roman" w:cs="Times New Roman"/>
          <w:b/>
          <w:bCs/>
          <w:sz w:val="28"/>
          <w:szCs w:val="28"/>
        </w:rPr>
      </w:pPr>
      <w:bookmarkStart w:id="30" w:name="_Toc256000028"/>
      <w:r>
        <w:rPr>
          <w:rFonts w:ascii="FangSong_GB2312" w:hAnsi="FangSong_GB2312" w:eastAsia="FangSong_GB2312" w:cs="FangSong_GB2312"/>
          <w:sz w:val="32"/>
          <w:szCs w:val="32"/>
        </w:rPr>
        <w:t>项目支撑团队要求</w:t>
      </w:r>
      <w:bookmarkEnd w:id="30"/>
      <w:r>
        <w:rPr>
          <w:rFonts w:ascii="FangSong_GB2312" w:hAnsi="FangSong_GB2312" w:eastAsia="FangSong_GB2312" w:cs="FangSong_GB2312"/>
          <w:sz w:val="32"/>
          <w:szCs w:val="32"/>
        </w:rPr>
        <w:t xml:space="preserve"> </w:t>
      </w:r>
    </w:p>
    <w:p>
      <w:pPr>
        <w:pStyle w:val="12"/>
        <w:spacing w:before="0" w:after="0" w:line="360" w:lineRule="auto"/>
        <w:ind w:firstLine="480"/>
        <w:rPr>
          <w:rFonts w:ascii="Times New Roman" w:hAnsi="Times New Roman" w:eastAsia="Times New Roman" w:cs="Times New Roman"/>
        </w:rPr>
      </w:pPr>
      <w:r>
        <w:rPr>
          <w:rFonts w:ascii="FangSong_GB2312" w:hAnsi="FangSong_GB2312" w:eastAsia="FangSong_GB2312" w:cs="FangSong_GB2312"/>
          <w:sz w:val="32"/>
          <w:szCs w:val="32"/>
        </w:rPr>
        <w:t>1、供应商应为本项目配备一名项目经理或项目监理，</w:t>
      </w:r>
      <w:r>
        <w:rPr>
          <w:rFonts w:ascii="FangSong_GB2312" w:hAnsi="FangSong_GB2312" w:eastAsia="FangSong_GB2312" w:cs="FangSong_GB2312"/>
          <w:color w:val="000000"/>
          <w:sz w:val="32"/>
          <w:szCs w:val="32"/>
        </w:rPr>
        <w:t>对项目执行过程进行总体监督、管理，做好与采购人的项目沟通与对接工作，负责协助解决人员调配、绩效、薪酬、福利核算、社保公积金等服务，快速、及时地处理突发事项或是紧急情况等问题，协助采购人进行数据分析和相关决策的支撑工作。</w:t>
      </w:r>
    </w:p>
    <w:p>
      <w:pPr>
        <w:pStyle w:val="12"/>
        <w:spacing w:before="0" w:after="0" w:line="360" w:lineRule="auto"/>
        <w:ind w:firstLine="480"/>
        <w:rPr>
          <w:rFonts w:ascii="Times New Roman" w:hAnsi="Times New Roman" w:eastAsia="Times New Roman" w:cs="Times New Roman"/>
        </w:rPr>
      </w:pPr>
      <w:r>
        <w:rPr>
          <w:rFonts w:ascii="FangSong_GB2312" w:hAnsi="FangSong_GB2312" w:eastAsia="FangSong_GB2312" w:cs="FangSong_GB2312"/>
          <w:sz w:val="32"/>
          <w:szCs w:val="32"/>
        </w:rPr>
        <w:t>2、项目经理（项目监理）应具有三年以上项目管理经验，具备很强的业务协作沟通能力；具有良好品行；具有五年以上涉税管理经验，持有人力资源管理证书；可根据项目需要进行定期项目运营指导，对项目运营数据分析，对可能出现的偏差及时指导纠偏，保证项目顺利推进，确保项目高质量运行。</w:t>
      </w:r>
    </w:p>
    <w:p>
      <w:pPr>
        <w:pStyle w:val="3"/>
        <w:keepNext w:val="0"/>
        <w:spacing w:before="0" w:after="0" w:line="360" w:lineRule="auto"/>
        <w:rPr>
          <w:rFonts w:ascii="仿宋_GB2312" w:hAnsi="仿宋_GB2312" w:eastAsia="仿宋_GB2312" w:cs="仿宋_GB2312"/>
          <w:b/>
          <w:bCs/>
          <w:sz w:val="28"/>
          <w:szCs w:val="28"/>
        </w:rPr>
      </w:pPr>
      <w:bookmarkStart w:id="31" w:name="_Toc256000029"/>
      <w:r>
        <w:rPr>
          <w:rFonts w:ascii="仿宋_GB2312" w:hAnsi="仿宋_GB2312" w:eastAsia="仿宋_GB2312" w:cs="仿宋_GB2312"/>
          <w:i w:val="0"/>
          <w:iCs w:val="0"/>
        </w:rPr>
        <w:t>4.3技术团队</w:t>
      </w:r>
      <w:bookmarkEnd w:id="31"/>
    </w:p>
    <w:p>
      <w:pPr>
        <w:pStyle w:val="12"/>
        <w:spacing w:before="0" w:after="0" w:line="360" w:lineRule="auto"/>
        <w:rPr>
          <w:rFonts w:ascii="Times New Roman" w:hAnsi="Times New Roman" w:eastAsia="Times New Roman" w:cs="Times New Roman"/>
        </w:rPr>
      </w:pPr>
      <w:r>
        <w:rPr>
          <w:rFonts w:ascii="FangSong_GB2312" w:hAnsi="FangSong_GB2312" w:eastAsia="FangSong_GB2312" w:cs="FangSong_GB2312"/>
          <w:b/>
          <w:bCs/>
          <w:i w:val="0"/>
          <w:iCs w:val="0"/>
          <w:sz w:val="32"/>
          <w:szCs w:val="32"/>
        </w:rPr>
        <w:t>团队人员培训及技术保障</w:t>
      </w:r>
    </w:p>
    <w:p>
      <w:pPr>
        <w:spacing w:before="0" w:after="0" w:line="360" w:lineRule="auto"/>
        <w:jc w:val="left"/>
        <w:rPr>
          <w:rFonts w:ascii="Times New Roman" w:hAnsi="Times New Roman" w:eastAsia="Times New Roman" w:cs="Times New Roman"/>
        </w:rPr>
      </w:pPr>
      <w:r>
        <w:rPr>
          <w:rFonts w:ascii="FangSong_GB2312" w:hAnsi="FangSong_GB2312" w:eastAsia="FangSong_GB2312" w:cs="FangSong_GB2312"/>
          <w:b/>
          <w:bCs/>
          <w:sz w:val="32"/>
          <w:szCs w:val="32"/>
        </w:rPr>
        <w:t>（一）岗位人员准备及培训要求</w:t>
      </w:r>
    </w:p>
    <w:p>
      <w:pPr>
        <w:spacing w:before="0" w:after="0" w:line="360" w:lineRule="auto"/>
        <w:jc w:val="left"/>
        <w:rPr>
          <w:rFonts w:ascii="Times New Roman" w:hAnsi="Times New Roman" w:eastAsia="Times New Roman" w:cs="Times New Roman"/>
        </w:rPr>
      </w:pPr>
      <w:r>
        <w:rPr>
          <w:rFonts w:ascii="FangSong_GB2312" w:hAnsi="FangSong_GB2312" w:eastAsia="FangSong_GB2312" w:cs="FangSong_GB2312"/>
          <w:sz w:val="32"/>
          <w:szCs w:val="32"/>
        </w:rPr>
        <w:t>1、服务人员准备。投标方于采购合同签订后7日内完成服务人员的配备。</w:t>
      </w:r>
    </w:p>
    <w:p>
      <w:pPr>
        <w:spacing w:before="0" w:after="0" w:line="360" w:lineRule="auto"/>
        <w:jc w:val="left"/>
        <w:rPr>
          <w:rFonts w:ascii="Times New Roman" w:hAnsi="Times New Roman" w:eastAsia="Times New Roman" w:cs="Times New Roman"/>
        </w:rPr>
      </w:pPr>
      <w:r>
        <w:rPr>
          <w:rFonts w:ascii="FangSong_GB2312" w:hAnsi="FangSong_GB2312" w:eastAsia="FangSong_GB2312" w:cs="FangSong_GB2312"/>
          <w:sz w:val="32"/>
          <w:szCs w:val="32"/>
        </w:rPr>
        <w:t>2、岗前培训。对服务人员的岗前培训应在合同签订后7日内由投标方完成。培训费由投标方承担。培训完毕后，经国家税务总局武汉市洪山区税务局的相关管理部门考察核实，符合要求后方能上岗服务。</w:t>
      </w:r>
    </w:p>
    <w:p>
      <w:pPr>
        <w:spacing w:before="0" w:after="0" w:line="360" w:lineRule="auto"/>
        <w:jc w:val="left"/>
        <w:rPr>
          <w:rFonts w:ascii="Times New Roman" w:hAnsi="Times New Roman" w:eastAsia="Times New Roman" w:cs="Times New Roman"/>
        </w:rPr>
      </w:pPr>
      <w:r>
        <w:rPr>
          <w:rFonts w:ascii="FangSong_GB2312" w:hAnsi="FangSong_GB2312" w:eastAsia="FangSong_GB2312" w:cs="FangSong_GB2312"/>
          <w:sz w:val="32"/>
          <w:szCs w:val="32"/>
        </w:rPr>
        <w:t>3、在职培训。投标方应建立完善的日常培训体系，每季度不少于1次的专业知识培训，并进行业务测试以检验培训效果。需依据人员的在职时间及能力发展，分阶段分层级进行培养，强化服务能力。</w:t>
      </w:r>
    </w:p>
    <w:p>
      <w:pPr>
        <w:spacing w:before="0" w:after="0" w:line="360" w:lineRule="auto"/>
        <w:jc w:val="left"/>
        <w:rPr>
          <w:rFonts w:ascii="Times New Roman" w:hAnsi="Times New Roman" w:eastAsia="Times New Roman" w:cs="Times New Roman"/>
        </w:rPr>
      </w:pPr>
      <w:r>
        <w:rPr>
          <w:rFonts w:ascii="FangSong_GB2312" w:hAnsi="FangSong_GB2312" w:eastAsia="FangSong_GB2312" w:cs="FangSong_GB2312"/>
          <w:sz w:val="32"/>
          <w:szCs w:val="32"/>
        </w:rPr>
        <w:t>4、培训效果验收。采购方对投标方的培训效果进行验收，对不合格人员，采购方有权要求投标方及时更换。</w:t>
      </w:r>
    </w:p>
    <w:p>
      <w:pPr>
        <w:spacing w:before="0" w:after="0" w:line="360" w:lineRule="auto"/>
        <w:jc w:val="left"/>
        <w:rPr>
          <w:rFonts w:ascii="Times New Roman" w:hAnsi="Times New Roman" w:eastAsia="Times New Roman" w:cs="Times New Roman"/>
        </w:rPr>
      </w:pPr>
      <w:r>
        <w:rPr>
          <w:rFonts w:ascii="FangSong_GB2312" w:hAnsi="FangSong_GB2312" w:eastAsia="FangSong_GB2312" w:cs="FangSong_GB2312"/>
          <w:sz w:val="32"/>
          <w:szCs w:val="32"/>
        </w:rPr>
        <w:t>5、培训费用：本服务项目总费用已包含服务人员培训费用，员工入职前所产生的培训费用由投标方承担。</w:t>
      </w:r>
    </w:p>
    <w:p>
      <w:pPr>
        <w:spacing w:before="0" w:after="0" w:line="360" w:lineRule="auto"/>
        <w:jc w:val="left"/>
        <w:rPr>
          <w:rFonts w:ascii="Times New Roman" w:hAnsi="Times New Roman" w:eastAsia="Times New Roman" w:cs="Times New Roman"/>
        </w:rPr>
      </w:pPr>
      <w:r>
        <w:rPr>
          <w:rFonts w:ascii="FangSong_GB2312" w:hAnsi="FangSong_GB2312" w:eastAsia="FangSong_GB2312" w:cs="FangSong_GB2312"/>
          <w:b/>
          <w:bCs/>
          <w:sz w:val="32"/>
          <w:szCs w:val="32"/>
        </w:rPr>
        <w:t>（二）人员业务衔接及技术保障要求</w:t>
      </w:r>
    </w:p>
    <w:p>
      <w:pPr>
        <w:pStyle w:val="12"/>
        <w:spacing w:before="0" w:after="0" w:line="360" w:lineRule="auto"/>
        <w:ind w:firstLine="448"/>
        <w:jc w:val="left"/>
        <w:rPr>
          <w:rFonts w:ascii="Times New Roman" w:hAnsi="Times New Roman" w:eastAsia="Times New Roman" w:cs="Times New Roman"/>
        </w:rPr>
      </w:pPr>
      <w:r>
        <w:rPr>
          <w:rFonts w:ascii="FangSong_GB2312" w:hAnsi="FangSong_GB2312" w:eastAsia="FangSong_GB2312" w:cs="FangSong_GB2312"/>
          <w:sz w:val="32"/>
          <w:szCs w:val="32"/>
        </w:rPr>
        <w:t>本项目对服务人员的业务能力和要求较高，为确保本项目在交接期间运营管理有序，服务不断档，要求过渡期间的人员需具备快速上岗的能力。保证70%以上人员具备一年及以上业务服务经验，本项目现有岗位服务人员已具备相关业务能力，投标人在同等条件下，应优先录用愿意留任的服务人员，并按规定办理相应的离职、入职手续。</w:t>
      </w:r>
    </w:p>
    <w:p>
      <w:pPr>
        <w:pStyle w:val="3"/>
        <w:keepNext w:val="0"/>
        <w:spacing w:before="0" w:after="0" w:line="360" w:lineRule="auto"/>
        <w:rPr>
          <w:rFonts w:ascii="仿宋_GB2312" w:hAnsi="仿宋_GB2312" w:eastAsia="仿宋_GB2312" w:cs="仿宋_GB2312"/>
          <w:b/>
          <w:bCs/>
          <w:sz w:val="28"/>
          <w:szCs w:val="28"/>
        </w:rPr>
      </w:pPr>
      <w:bookmarkStart w:id="32" w:name="_Toc256000030"/>
      <w:r>
        <w:rPr>
          <w:rFonts w:ascii="仿宋_GB2312" w:hAnsi="仿宋_GB2312" w:eastAsia="仿宋_GB2312" w:cs="仿宋_GB2312"/>
          <w:i w:val="0"/>
          <w:iCs w:val="0"/>
        </w:rPr>
        <w:t>4.4优选资质/优选指标</w:t>
      </w:r>
      <w:bookmarkEnd w:id="32"/>
    </w:p>
    <w:tbl>
      <w:tblPr>
        <w:tblStyle w:val="9"/>
        <w:tblW w:w="5000" w:type="pct"/>
        <w:tblInd w:w="30" w:type="dxa"/>
        <w:tblLayout w:type="autofit"/>
        <w:tblCellMar>
          <w:top w:w="15" w:type="dxa"/>
          <w:left w:w="15" w:type="dxa"/>
          <w:bottom w:w="15" w:type="dxa"/>
          <w:right w:w="15" w:type="dxa"/>
        </w:tblCellMar>
      </w:tblPr>
      <w:tblGrid>
        <w:gridCol w:w="926"/>
        <w:gridCol w:w="2036"/>
        <w:gridCol w:w="2036"/>
        <w:gridCol w:w="2036"/>
        <w:gridCol w:w="2036"/>
      </w:tblGrid>
      <w:tr>
        <w:tblPrEx>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序号</w:t>
            </w:r>
          </w:p>
        </w:tc>
        <w:tc>
          <w:tcPr>
            <w:tcW w:w="11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人员类别</w:t>
            </w:r>
          </w:p>
        </w:tc>
        <w:tc>
          <w:tcPr>
            <w:tcW w:w="11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人员岗位</w:t>
            </w:r>
          </w:p>
        </w:tc>
        <w:tc>
          <w:tcPr>
            <w:tcW w:w="11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人员要求</w:t>
            </w:r>
          </w:p>
        </w:tc>
        <w:tc>
          <w:tcPr>
            <w:tcW w:w="11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是否作为加分项</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现场管理人员</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管理岗</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具有会计、税务相关证书的优先</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接线坐席</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接线坐席岗</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具有会计、税务相关证书的优先</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bl>
    <w:p>
      <w:pPr>
        <w:pStyle w:val="2"/>
        <w:keepNext w:val="0"/>
        <w:spacing w:before="0" w:after="0" w:line="360" w:lineRule="auto"/>
        <w:jc w:val="center"/>
        <w:rPr>
          <w:rFonts w:ascii="仿宋_GB2312" w:hAnsi="仿宋_GB2312" w:eastAsia="仿宋_GB2312" w:cs="仿宋_GB2312"/>
          <w:b/>
          <w:bCs/>
          <w:sz w:val="32"/>
          <w:szCs w:val="32"/>
        </w:rPr>
      </w:pPr>
      <w:bookmarkStart w:id="33" w:name="_Toc256000031"/>
      <w:r>
        <w:rPr>
          <w:rFonts w:ascii="仿宋_GB2312" w:hAnsi="仿宋_GB2312" w:eastAsia="仿宋_GB2312" w:cs="仿宋_GB2312"/>
          <w:kern w:val="36"/>
        </w:rPr>
        <w:t>5管理实施要求</w:t>
      </w:r>
      <w:bookmarkEnd w:id="33"/>
    </w:p>
    <w:p>
      <w:pPr>
        <w:pStyle w:val="3"/>
        <w:keepNext w:val="0"/>
        <w:spacing w:before="0" w:after="0" w:line="360" w:lineRule="auto"/>
        <w:rPr>
          <w:rFonts w:ascii="Times New Roman" w:hAnsi="Times New Roman" w:eastAsia="Times New Roman" w:cs="Times New Roman"/>
          <w:b/>
          <w:bCs/>
          <w:sz w:val="36"/>
          <w:szCs w:val="36"/>
        </w:rPr>
      </w:pPr>
      <w:bookmarkStart w:id="34" w:name="_Toc256000032"/>
      <w:r>
        <w:rPr>
          <w:rFonts w:ascii="FangSong_GB2312" w:hAnsi="FangSong_GB2312" w:eastAsia="FangSong_GB2312" w:cs="FangSong_GB2312"/>
          <w:i w:val="0"/>
          <w:iCs w:val="0"/>
          <w:sz w:val="32"/>
          <w:szCs w:val="32"/>
        </w:rPr>
        <w:t>5.1基本管理要求</w:t>
      </w:r>
      <w:bookmarkEnd w:id="34"/>
    </w:p>
    <w:p>
      <w:pPr>
        <w:pStyle w:val="12"/>
        <w:spacing w:before="0" w:after="0" w:line="360" w:lineRule="auto"/>
        <w:rPr>
          <w:rFonts w:ascii="Times New Roman" w:hAnsi="Times New Roman" w:eastAsia="Times New Roman" w:cs="Times New Roman"/>
        </w:rPr>
      </w:pPr>
      <w:r>
        <w:rPr>
          <w:rFonts w:ascii="FangSong_GB2312" w:hAnsi="FangSong_GB2312" w:eastAsia="FangSong_GB2312" w:cs="FangSong_GB2312"/>
          <w:sz w:val="32"/>
          <w:szCs w:val="32"/>
        </w:rPr>
        <w:t>5.1.1 投标人自觉遵守国家法律法规，按要求执行国家税务总局武汉市洪山区税务局相关制度及对该服务项目的作业指导。投标人负责与其服务人员签订劳动合同、按期发放薪酬，依照现行国家法律法规及行业规范为在本项目服务的所有人员购买社会保险及提供相关福利。如因用工不当给采购方及服务人员造成的损失或纠纷，由投标人承担。投标人与服务人员解除合同，其经济补偿及社会保险的赔付由投标人承担，与采购方不发生任何经济法律关系。</w:t>
      </w:r>
    </w:p>
    <w:p>
      <w:pPr>
        <w:pStyle w:val="12"/>
        <w:spacing w:before="0" w:after="0" w:line="360" w:lineRule="auto"/>
        <w:rPr>
          <w:rFonts w:ascii="Times New Roman" w:hAnsi="Times New Roman" w:eastAsia="Times New Roman" w:cs="Times New Roman"/>
        </w:rPr>
      </w:pPr>
      <w:r>
        <w:rPr>
          <w:rFonts w:ascii="FangSong_GB2312" w:hAnsi="FangSong_GB2312" w:eastAsia="FangSong_GB2312" w:cs="FangSong_GB2312"/>
          <w:sz w:val="32"/>
          <w:szCs w:val="32"/>
        </w:rPr>
        <w:t>5.1.2 投标人需根据采购方实际需求配备合适、充足的服务人员，保证采购方服务事项高质高效完成。</w:t>
      </w:r>
    </w:p>
    <w:p>
      <w:pPr>
        <w:pStyle w:val="12"/>
        <w:spacing w:before="0" w:after="0" w:line="360" w:lineRule="auto"/>
        <w:rPr>
          <w:rFonts w:ascii="Times New Roman" w:hAnsi="Times New Roman" w:eastAsia="Times New Roman" w:cs="Times New Roman"/>
        </w:rPr>
      </w:pPr>
      <w:r>
        <w:rPr>
          <w:rFonts w:ascii="FangSong_GB2312" w:hAnsi="FangSong_GB2312" w:eastAsia="FangSong_GB2312" w:cs="FangSong_GB2312"/>
          <w:sz w:val="32"/>
          <w:szCs w:val="32"/>
        </w:rPr>
        <w:t>5.1.3 投标人定期对服务人员开展相关知识培训，并进行业务测试。培训内容涵盖服务礼仪、沟通技巧、税收政策、系统操作、保密规定等，能够根据工作需求及时开展，保证新政新规及时培训到人。服务人员应自觉遵守采购方单位各项规章制度，按时到岗、统一着装、规范服务、高效办理，严格遵守保密规定，严禁泄露在工作中接触到的任何涉税信息。服务人员在履行岗位职责中被发现存在违法违纪行为的，投标方应承担相应责任，并按所负责任进行赔偿。</w:t>
      </w:r>
    </w:p>
    <w:p>
      <w:pPr>
        <w:pStyle w:val="12"/>
        <w:spacing w:before="0" w:after="0" w:line="360" w:lineRule="auto"/>
        <w:rPr>
          <w:rFonts w:ascii="Times New Roman" w:hAnsi="Times New Roman" w:eastAsia="Times New Roman" w:cs="Times New Roman"/>
        </w:rPr>
      </w:pPr>
      <w:r>
        <w:rPr>
          <w:rFonts w:ascii="FangSong_GB2312" w:hAnsi="FangSong_GB2312" w:eastAsia="FangSong_GB2312" w:cs="FangSong_GB2312"/>
          <w:sz w:val="32"/>
          <w:szCs w:val="32"/>
        </w:rPr>
        <w:t>5.1.4 建立量化指标考核体系，完备的工作制度和工作措施。综合运用考勤、工作纪律巡查情况、工作量统计、业务测试结果等进行服务人员的考核，并建立奖惩机制。相关考核体系建立过程中应充分考虑采购方的需求部门与管理部门的意见。</w:t>
      </w:r>
    </w:p>
    <w:p>
      <w:pPr>
        <w:pStyle w:val="12"/>
        <w:spacing w:before="0" w:after="0" w:line="360" w:lineRule="auto"/>
        <w:rPr>
          <w:rFonts w:ascii="Times New Roman" w:hAnsi="Times New Roman" w:eastAsia="Times New Roman" w:cs="Times New Roman"/>
        </w:rPr>
      </w:pPr>
      <w:r>
        <w:rPr>
          <w:rFonts w:ascii="FangSong_GB2312" w:hAnsi="FangSong_GB2312" w:eastAsia="FangSong_GB2312" w:cs="FangSong_GB2312"/>
          <w:sz w:val="32"/>
          <w:szCs w:val="32"/>
        </w:rPr>
        <w:t>5.1.5 投标人负责对服务人员进行日常安全法制教育和廉政警示教育，防止安全事故和涉税违法违规行为发生，并及时与采购方有关人员进行沟通和交流。投标人管理的服务人员在采购方场所工作期间所发生的一切人身意外事故、劳动争议纠纷均由投标方负责。</w:t>
      </w:r>
    </w:p>
    <w:p>
      <w:pPr>
        <w:pStyle w:val="12"/>
        <w:spacing w:before="0" w:after="0" w:line="360" w:lineRule="auto"/>
        <w:rPr>
          <w:rFonts w:ascii="Times New Roman" w:hAnsi="Times New Roman" w:eastAsia="Times New Roman" w:cs="Times New Roman"/>
        </w:rPr>
      </w:pPr>
      <w:r>
        <w:rPr>
          <w:rFonts w:ascii="FangSong_GB2312" w:hAnsi="FangSong_GB2312" w:eastAsia="FangSong_GB2312" w:cs="FangSong_GB2312"/>
          <w:sz w:val="32"/>
          <w:szCs w:val="32"/>
        </w:rPr>
        <w:t>5.1.6 投标人提供的服务质量要符合采购方的需求，对采购方提出的意见和建议，要认真及时加以整改，对不符合工作要求的人员要及时进行更换。服务期间应保证各岗位人员的流动性保持在一个较低的水平，减少人员的频繁调整，平稳完成人员和工作的交接，以避免人员流动过大，造成工作脱节。</w:t>
      </w:r>
    </w:p>
    <w:p>
      <w:pPr>
        <w:pStyle w:val="12"/>
        <w:spacing w:before="0" w:after="0" w:line="360" w:lineRule="auto"/>
        <w:rPr>
          <w:rFonts w:ascii="Times New Roman" w:hAnsi="Times New Roman" w:eastAsia="Times New Roman" w:cs="Times New Roman"/>
        </w:rPr>
      </w:pPr>
      <w:r>
        <w:rPr>
          <w:rFonts w:ascii="FangSong_GB2312" w:hAnsi="FangSong_GB2312" w:eastAsia="FangSong_GB2312" w:cs="FangSong_GB2312"/>
          <w:sz w:val="32"/>
          <w:szCs w:val="32"/>
        </w:rPr>
        <w:t>5.1.7 投标人必须保证在本项目服务的所有人员工资福利按期按标准发放到位，切实遵照本地区同期的社保标准按月缴齐服务人员的五险费用（养老、医疗、失业、生育、工伤）等相关费用，服务期间因地方政策调整的所有保险费用的增长部分都由成交投标方负责补缴，采购人不再另行支付其他任何费用。</w:t>
      </w:r>
    </w:p>
    <w:p>
      <w:pPr>
        <w:pStyle w:val="3"/>
        <w:keepNext w:val="0"/>
        <w:spacing w:before="0" w:after="0" w:line="360" w:lineRule="auto"/>
        <w:rPr>
          <w:rFonts w:ascii="Times New Roman" w:hAnsi="Times New Roman" w:eastAsia="Times New Roman" w:cs="Times New Roman"/>
          <w:b/>
          <w:bCs/>
          <w:sz w:val="36"/>
          <w:szCs w:val="36"/>
        </w:rPr>
      </w:pPr>
      <w:bookmarkStart w:id="35" w:name="_Toc256000033"/>
      <w:r>
        <w:rPr>
          <w:rFonts w:ascii="FangSong_GB2312" w:hAnsi="FangSong_GB2312" w:eastAsia="FangSong_GB2312" w:cs="FangSong_GB2312"/>
          <w:i w:val="0"/>
          <w:iCs w:val="0"/>
          <w:sz w:val="32"/>
          <w:szCs w:val="32"/>
        </w:rPr>
        <w:t>5.2 服务运行报告要求</w:t>
      </w:r>
      <w:bookmarkEnd w:id="35"/>
    </w:p>
    <w:p>
      <w:pPr>
        <w:pStyle w:val="12"/>
        <w:spacing w:before="0" w:after="0" w:line="360" w:lineRule="auto"/>
        <w:rPr>
          <w:rFonts w:ascii="Times New Roman" w:hAnsi="Times New Roman" w:eastAsia="Times New Roman" w:cs="Times New Roman"/>
        </w:rPr>
      </w:pPr>
      <w:r>
        <w:rPr>
          <w:rFonts w:ascii="FangSong_GB2312" w:hAnsi="FangSong_GB2312" w:eastAsia="FangSong_GB2312" w:cs="FangSong_GB2312"/>
          <w:sz w:val="32"/>
          <w:szCs w:val="32"/>
        </w:rPr>
        <w:t>5.2.1 中标人应密切监控服务情况，做好质量跟踪、绩效反馈、数据分析、质量提升、沟通协调等工作。</w:t>
      </w:r>
    </w:p>
    <w:p>
      <w:pPr>
        <w:pStyle w:val="12"/>
        <w:spacing w:before="0" w:after="0" w:line="360" w:lineRule="auto"/>
        <w:rPr>
          <w:rFonts w:ascii="Times New Roman" w:hAnsi="Times New Roman" w:eastAsia="Times New Roman" w:cs="Times New Roman"/>
        </w:rPr>
      </w:pPr>
      <w:r>
        <w:rPr>
          <w:rFonts w:ascii="FangSong_GB2312" w:hAnsi="FangSong_GB2312" w:eastAsia="FangSong_GB2312" w:cs="FangSong_GB2312"/>
          <w:sz w:val="32"/>
          <w:szCs w:val="32"/>
        </w:rPr>
        <w:t>5.2.2 根据采购人需要配合提供本项目相关数据，服务工作结束后需提交总结报告，由采购人进行评估验收。</w:t>
      </w:r>
    </w:p>
    <w:p>
      <w:pPr>
        <w:pStyle w:val="3"/>
        <w:keepNext w:val="0"/>
        <w:spacing w:before="0" w:after="0" w:line="360" w:lineRule="auto"/>
        <w:rPr>
          <w:rFonts w:ascii="Times New Roman" w:hAnsi="Times New Roman" w:eastAsia="Times New Roman" w:cs="Times New Roman"/>
          <w:b/>
          <w:bCs/>
          <w:sz w:val="36"/>
          <w:szCs w:val="36"/>
        </w:rPr>
      </w:pPr>
      <w:bookmarkStart w:id="36" w:name="_Toc256000034"/>
      <w:r>
        <w:rPr>
          <w:rFonts w:ascii="FangSong_GB2312" w:hAnsi="FangSong_GB2312" w:eastAsia="FangSong_GB2312" w:cs="FangSong_GB2312"/>
          <w:i w:val="0"/>
          <w:iCs w:val="0"/>
          <w:sz w:val="32"/>
          <w:szCs w:val="32"/>
        </w:rPr>
        <w:t>5.3 服务质量考核要求</w:t>
      </w:r>
      <w:bookmarkEnd w:id="36"/>
    </w:p>
    <w:p>
      <w:pPr>
        <w:pStyle w:val="12"/>
        <w:spacing w:before="0" w:after="0" w:line="360" w:lineRule="auto"/>
        <w:ind w:firstLine="480"/>
        <w:rPr>
          <w:rFonts w:ascii="Times New Roman" w:hAnsi="Times New Roman" w:eastAsia="Times New Roman" w:cs="Times New Roman"/>
        </w:rPr>
      </w:pPr>
      <w:r>
        <w:rPr>
          <w:rFonts w:ascii="FangSong_GB2312" w:hAnsi="FangSong_GB2312" w:eastAsia="FangSong_GB2312" w:cs="FangSong_GB2312"/>
          <w:sz w:val="32"/>
          <w:szCs w:val="32"/>
        </w:rPr>
        <w:t>采购方按月度对投标人进行考核，保证服务项目整体服务水平持续稳定、提高项目服务质量。</w:t>
      </w:r>
    </w:p>
    <w:p>
      <w:pPr>
        <w:pStyle w:val="2"/>
        <w:keepNext w:val="0"/>
        <w:spacing w:before="0" w:after="0" w:line="360" w:lineRule="auto"/>
        <w:jc w:val="center"/>
        <w:rPr>
          <w:rFonts w:ascii="仿宋_GB2312" w:hAnsi="仿宋_GB2312" w:eastAsia="仿宋_GB2312" w:cs="仿宋_GB2312"/>
          <w:b/>
          <w:bCs/>
          <w:sz w:val="32"/>
          <w:szCs w:val="32"/>
        </w:rPr>
      </w:pPr>
      <w:bookmarkStart w:id="37" w:name="_Toc256000035"/>
      <w:r>
        <w:rPr>
          <w:rFonts w:ascii="仿宋_GB2312" w:hAnsi="仿宋_GB2312" w:eastAsia="仿宋_GB2312" w:cs="仿宋_GB2312"/>
          <w:kern w:val="36"/>
        </w:rPr>
        <w:t>6风险管控要求</w:t>
      </w:r>
      <w:bookmarkEnd w:id="37"/>
    </w:p>
    <w:p>
      <w:pPr>
        <w:pStyle w:val="12"/>
        <w:spacing w:before="0" w:after="0" w:line="360" w:lineRule="auto"/>
        <w:ind w:firstLine="480"/>
        <w:rPr>
          <w:rFonts w:ascii="Times New Roman" w:hAnsi="Times New Roman" w:eastAsia="Times New Roman" w:cs="Times New Roman"/>
        </w:rPr>
      </w:pPr>
      <w:r>
        <w:rPr>
          <w:rFonts w:ascii="FangSong_GB2312" w:hAnsi="FangSong_GB2312" w:eastAsia="FangSong_GB2312" w:cs="FangSong_GB2312"/>
          <w:sz w:val="32"/>
          <w:szCs w:val="32"/>
        </w:rPr>
        <w:t>6.1 为最大限度减少突发事件对热线和征纳互动服务正常咨询、办理等服务秩序的影响，投标人需根据可能发生的各类影响服务的情况，制定应急方案和应对措施，确保突发事件应对及时有效，服务达到考核标准。</w:t>
      </w:r>
    </w:p>
    <w:p>
      <w:pPr>
        <w:spacing w:before="0" w:after="0" w:line="360" w:lineRule="auto"/>
        <w:rPr>
          <w:rFonts w:ascii="Times New Roman" w:hAnsi="Times New Roman" w:eastAsia="Times New Roman" w:cs="Times New Roman"/>
        </w:rPr>
      </w:pPr>
      <w:r>
        <w:rPr>
          <w:rFonts w:ascii="FangSong_GB2312" w:hAnsi="FangSong_GB2312" w:eastAsia="FangSong_GB2312" w:cs="FangSong_GB2312"/>
          <w:sz w:val="32"/>
          <w:szCs w:val="32"/>
        </w:rPr>
        <w:t>   6.2 投标人应教导其员工严格按照采购方岗位要求进行工作，投标人员工发生任何意外、劳动争议或员工伤亡，或者员工在服务过程中造成第三人伤亡的，由投标人承担责任，采购方不承担任何责任。</w:t>
      </w:r>
    </w:p>
    <w:p>
      <w:pPr>
        <w:spacing w:before="0" w:after="0" w:line="360" w:lineRule="auto"/>
        <w:rPr>
          <w:rFonts w:ascii="Times New Roman" w:hAnsi="Times New Roman" w:eastAsia="Times New Roman" w:cs="Times New Roman"/>
        </w:rPr>
      </w:pPr>
      <w:r>
        <w:rPr>
          <w:rFonts w:ascii="FangSong_GB2312" w:hAnsi="FangSong_GB2312" w:eastAsia="FangSong_GB2312" w:cs="FangSong_GB2312"/>
          <w:sz w:val="32"/>
          <w:szCs w:val="32"/>
        </w:rPr>
        <w:t>   6.3 投标人经费独立核算，自负盈亏，部分办公用品用具自备，服务人员在岗位时必须规范着装。</w:t>
      </w:r>
    </w:p>
    <w:p>
      <w:pPr>
        <w:spacing w:before="0" w:after="0" w:line="360" w:lineRule="auto"/>
        <w:rPr>
          <w:rFonts w:ascii="Times New Roman" w:hAnsi="Times New Roman" w:eastAsia="Times New Roman" w:cs="Times New Roman"/>
        </w:rPr>
      </w:pPr>
      <w:r>
        <w:rPr>
          <w:rFonts w:ascii="FangSong_GB2312" w:hAnsi="FangSong_GB2312" w:eastAsia="FangSong_GB2312" w:cs="FangSong_GB2312"/>
          <w:sz w:val="32"/>
          <w:szCs w:val="32"/>
        </w:rPr>
        <w:t>   6.4 投标人应具有专业的服务能力，并完全服从和接受采购人的统一监督管理，若出现投标人未按照响应方案内容进行履约或者不服从采购人的安排，采购人发现一次扣除1%的当月服务费并要求整改，拒不改正的，采购人有权无条件终止采购合同，并要求投标人退还所有已支付的合同款项，同时赔偿30%的违约金。</w:t>
      </w:r>
    </w:p>
    <w:p>
      <w:pPr>
        <w:spacing w:before="0" w:after="0" w:line="360" w:lineRule="auto"/>
        <w:rPr>
          <w:rFonts w:ascii="Times New Roman" w:hAnsi="Times New Roman" w:eastAsia="Times New Roman" w:cs="Times New Roman"/>
        </w:rPr>
      </w:pPr>
      <w:r>
        <w:rPr>
          <w:rFonts w:ascii="FangSong_GB2312" w:hAnsi="FangSong_GB2312" w:eastAsia="FangSong_GB2312" w:cs="FangSong_GB2312"/>
          <w:sz w:val="32"/>
          <w:szCs w:val="32"/>
        </w:rPr>
        <w:t>   6.5 如因投标人服务人员在履行职务过程中的疏忽、失职、过错或者过失原因给采购方造成损失或侵害，包括但不限于采购方本身的财产损失、由此而导致的采购方对任何第三方的法律责任等，投标方对此应承担全部赔偿责任。</w:t>
      </w:r>
    </w:p>
    <w:p>
      <w:pPr>
        <w:spacing w:before="0" w:after="0" w:line="360" w:lineRule="auto"/>
        <w:rPr>
          <w:rFonts w:ascii="Times New Roman" w:hAnsi="Times New Roman" w:eastAsia="Times New Roman" w:cs="Times New Roman"/>
        </w:rPr>
      </w:pPr>
      <w:r>
        <w:rPr>
          <w:rFonts w:ascii="FangSong_GB2312" w:hAnsi="FangSong_GB2312" w:eastAsia="FangSong_GB2312" w:cs="FangSong_GB2312"/>
          <w:sz w:val="32"/>
          <w:szCs w:val="32"/>
        </w:rPr>
        <w:t>   6.6 合同履行期间，如遇不可抗力或采购人单位政策性要求，须终止该项目服务合同或者要求减少服务内容和岗位数量的情形，采购人可提前一个月通知成交服务商，协商终止合同或按减少的服务量（即岗位数）比例，调减合同支付金额，投标商必须配合。</w:t>
      </w:r>
    </w:p>
    <w:p>
      <w:pPr>
        <w:pStyle w:val="2"/>
        <w:keepNext w:val="0"/>
        <w:spacing w:before="0" w:after="0" w:line="360" w:lineRule="auto"/>
        <w:jc w:val="center"/>
        <w:rPr>
          <w:rFonts w:ascii="仿宋_GB2312" w:hAnsi="仿宋_GB2312" w:eastAsia="仿宋_GB2312" w:cs="仿宋_GB2312"/>
          <w:b/>
          <w:bCs/>
          <w:sz w:val="32"/>
          <w:szCs w:val="32"/>
        </w:rPr>
      </w:pPr>
      <w:bookmarkStart w:id="38" w:name="_Toc256000036"/>
      <w:r>
        <w:rPr>
          <w:rFonts w:ascii="仿宋_GB2312" w:hAnsi="仿宋_GB2312" w:eastAsia="仿宋_GB2312" w:cs="仿宋_GB2312"/>
          <w:kern w:val="36"/>
        </w:rPr>
        <w:t>7履约验收要求</w:t>
      </w:r>
      <w:bookmarkEnd w:id="38"/>
    </w:p>
    <w:p>
      <w:pPr>
        <w:pStyle w:val="3"/>
        <w:keepNext w:val="0"/>
        <w:spacing w:before="0" w:after="0" w:line="360" w:lineRule="auto"/>
        <w:rPr>
          <w:rFonts w:ascii="仿宋_GB2312" w:hAnsi="仿宋_GB2312" w:eastAsia="仿宋_GB2312" w:cs="仿宋_GB2312"/>
          <w:b/>
          <w:bCs/>
          <w:sz w:val="28"/>
          <w:szCs w:val="28"/>
        </w:rPr>
      </w:pPr>
      <w:bookmarkStart w:id="39" w:name="_Toc256000037"/>
      <w:r>
        <w:rPr>
          <w:rFonts w:ascii="仿宋_GB2312" w:hAnsi="仿宋_GB2312" w:eastAsia="仿宋_GB2312" w:cs="仿宋_GB2312"/>
          <w:i w:val="0"/>
          <w:iCs w:val="0"/>
        </w:rPr>
        <w:t>7.1总体要求</w:t>
      </w:r>
      <w:bookmarkEnd w:id="39"/>
    </w:p>
    <w:tbl>
      <w:tblPr>
        <w:tblStyle w:val="9"/>
        <w:tblW w:w="5000" w:type="pct"/>
        <w:tblInd w:w="30" w:type="dxa"/>
        <w:tblLayout w:type="autofit"/>
        <w:tblCellMar>
          <w:top w:w="15" w:type="dxa"/>
          <w:left w:w="15" w:type="dxa"/>
          <w:bottom w:w="15" w:type="dxa"/>
          <w:right w:w="15" w:type="dxa"/>
        </w:tblCellMar>
      </w:tblPr>
      <w:tblGrid>
        <w:gridCol w:w="4535"/>
        <w:gridCol w:w="4535"/>
      </w:tblGrid>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验收名称</w:t>
            </w:r>
          </w:p>
        </w:tc>
        <w:tc>
          <w:tcPr>
            <w:tcW w:w="2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验收要求</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第1次验收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按月验收：采购人于次月 5 日内按照服务合同及考核细则具体内容，填写《验收报告》完成上月服务质量考核。</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第2次验收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按月验收：采购人于次月 5 日内按照服务合同及考核细则具体内容，填写《验收报告》完成上月服务质量考核。</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第3次验收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按月验收：采购人于次月 5 日内按照服务合同及考核细则具体内容，填写《验收报告》完成上月服务质量考核。</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第4次验收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按月验收：采购人于次月 5 日内按照服务合同及考核细则具体内容，填写《验收报告》完成上月服务质量考核。</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第5次验收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按月验收：采购人于次月 5 日内按照服务合同及考核细则具体内容，填写《验收报告》完成上月服务质量考核。</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第6次验收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按月验收：采购人于次月 5 日内按照服务合同及考核细则具体内容，填写《验收报告》完成上月服务质量考核。</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第7次验收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按月验收：采购人于次月 5 日内按照服务合同及考核细则具体内容，填写《验收报告》完成上月服务质量考核。</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第8次验收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按月验收：采购人于次月 5 日内按照服务合同及考核细则具体内容，填写《验收报告》完成上月服务质量考核。</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第9次验收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按月验收：采购人于次月 5 日内按照服务合同及考核细则具体内容，填写《验收报告》完成上月服务质量考核。</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第10次验收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按月验收：采购人于次月 5 日内按照服务合同及考核细则具体内容，填写《验收报告》完成上月服务质量考核。</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第11次验收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按月验收：采购人于次月 5 日内按照服务合同及考核细则具体内容，填写《验收报告》完成上月服务质量考核。</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第12次验收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按月验收：采购人于次月 5 日内按照服务合同及考核细则具体内容，填写《验收报告》完成上月服务质量考核。</w:t>
            </w:r>
          </w:p>
        </w:tc>
      </w:tr>
    </w:tbl>
    <w:p>
      <w:pPr>
        <w:pStyle w:val="3"/>
        <w:keepNext w:val="0"/>
        <w:spacing w:before="0" w:after="0" w:line="360" w:lineRule="auto"/>
        <w:rPr>
          <w:rFonts w:ascii="仿宋_GB2312" w:hAnsi="仿宋_GB2312" w:eastAsia="仿宋_GB2312" w:cs="仿宋_GB2312"/>
          <w:b/>
          <w:bCs/>
          <w:sz w:val="28"/>
          <w:szCs w:val="28"/>
        </w:rPr>
      </w:pPr>
      <w:bookmarkStart w:id="40" w:name="_Toc256000038"/>
      <w:r>
        <w:rPr>
          <w:rFonts w:ascii="仿宋_GB2312" w:hAnsi="仿宋_GB2312" w:eastAsia="仿宋_GB2312" w:cs="仿宋_GB2312"/>
          <w:i w:val="0"/>
          <w:iCs w:val="0"/>
        </w:rPr>
        <w:t>7.2具体要求</w:t>
      </w:r>
      <w:bookmarkEnd w:id="40"/>
    </w:p>
    <w:p>
      <w:pPr>
        <w:pStyle w:val="12"/>
        <w:spacing w:before="0" w:after="0" w:line="360" w:lineRule="auto"/>
        <w:ind w:firstLine="480"/>
        <w:jc w:val="left"/>
        <w:rPr>
          <w:rFonts w:ascii="Times New Roman" w:hAnsi="Times New Roman" w:eastAsia="Times New Roman" w:cs="Times New Roman"/>
        </w:rPr>
      </w:pPr>
      <w:r>
        <w:rPr>
          <w:rFonts w:ascii="FangSong_GB2312" w:hAnsi="FangSong_GB2312" w:eastAsia="FangSong_GB2312" w:cs="FangSong_GB2312"/>
          <w:color w:val="000000"/>
          <w:sz w:val="32"/>
          <w:szCs w:val="32"/>
        </w:rPr>
        <w:t xml:space="preserve">按月验收：按照纳税咨询服务合同及工作考核细则进行验收，包含但不限于《纳税咨询服务验收报告》相关内容有： </w:t>
      </w:r>
    </w:p>
    <w:p>
      <w:pPr>
        <w:pStyle w:val="12"/>
        <w:spacing w:before="0" w:after="0" w:line="360" w:lineRule="auto"/>
        <w:ind w:firstLine="480"/>
        <w:jc w:val="left"/>
        <w:rPr>
          <w:rFonts w:ascii="Times New Roman" w:hAnsi="Times New Roman" w:eastAsia="Times New Roman" w:cs="Times New Roman"/>
        </w:rPr>
      </w:pPr>
      <w:r>
        <w:rPr>
          <w:rFonts w:ascii="FangSong_GB2312" w:hAnsi="FangSong_GB2312" w:eastAsia="FangSong_GB2312" w:cs="FangSong_GB2312"/>
          <w:color w:val="000000"/>
          <w:sz w:val="32"/>
          <w:szCs w:val="32"/>
        </w:rPr>
        <w:t xml:space="preserve">7.2.1 总体管理。包括人员数量、人员稳定、绩效规范执行、工资依规发放、请休假严格管理等。 </w:t>
      </w:r>
    </w:p>
    <w:p>
      <w:pPr>
        <w:pStyle w:val="12"/>
        <w:spacing w:before="0" w:after="0" w:line="360" w:lineRule="auto"/>
        <w:ind w:firstLine="480"/>
        <w:jc w:val="left"/>
        <w:rPr>
          <w:rFonts w:ascii="Times New Roman" w:hAnsi="Times New Roman" w:eastAsia="Times New Roman" w:cs="Times New Roman"/>
        </w:rPr>
      </w:pPr>
      <w:r>
        <w:rPr>
          <w:rFonts w:ascii="FangSong_GB2312" w:hAnsi="FangSong_GB2312" w:eastAsia="FangSong_GB2312" w:cs="FangSong_GB2312"/>
          <w:color w:val="000000"/>
          <w:sz w:val="32"/>
          <w:szCs w:val="32"/>
        </w:rPr>
        <w:t xml:space="preserve">7.2.2 日常巡查。包括仪容仪表合规、遵守工作纪律、严守廉政纪律等。 </w:t>
      </w:r>
    </w:p>
    <w:p>
      <w:pPr>
        <w:pStyle w:val="12"/>
        <w:spacing w:before="0" w:after="0" w:line="360" w:lineRule="auto"/>
        <w:ind w:firstLine="480"/>
        <w:jc w:val="left"/>
        <w:rPr>
          <w:rFonts w:ascii="Times New Roman" w:hAnsi="Times New Roman" w:eastAsia="Times New Roman" w:cs="Times New Roman"/>
        </w:rPr>
      </w:pPr>
      <w:r>
        <w:rPr>
          <w:rFonts w:ascii="FangSong_GB2312" w:hAnsi="FangSong_GB2312" w:eastAsia="FangSong_GB2312" w:cs="FangSong_GB2312"/>
          <w:color w:val="000000"/>
          <w:sz w:val="32"/>
          <w:szCs w:val="32"/>
        </w:rPr>
        <w:t xml:space="preserve">7.2.3 培训考核。包括定期业务培训、定期业务考核等。 </w:t>
      </w:r>
    </w:p>
    <w:p>
      <w:pPr>
        <w:pStyle w:val="12"/>
        <w:spacing w:before="0" w:after="0" w:line="360" w:lineRule="auto"/>
        <w:ind w:firstLine="480"/>
        <w:jc w:val="left"/>
        <w:rPr>
          <w:rFonts w:ascii="Times New Roman" w:hAnsi="Times New Roman" w:eastAsia="Times New Roman" w:cs="Times New Roman"/>
        </w:rPr>
      </w:pPr>
      <w:r>
        <w:rPr>
          <w:rFonts w:ascii="FangSong_GB2312" w:hAnsi="FangSong_GB2312" w:eastAsia="FangSong_GB2312" w:cs="FangSong_GB2312"/>
          <w:color w:val="000000"/>
          <w:sz w:val="32"/>
          <w:szCs w:val="32"/>
        </w:rPr>
        <w:t>7.2.4 服务质效。包括服务质量优、服务效率高、服从管理意识强等。  </w:t>
      </w:r>
    </w:p>
    <w:p>
      <w:pPr>
        <w:pStyle w:val="12"/>
        <w:spacing w:before="0" w:after="0" w:line="360" w:lineRule="auto"/>
        <w:ind w:firstLine="480"/>
        <w:jc w:val="left"/>
        <w:rPr>
          <w:rFonts w:ascii="Times New Roman" w:hAnsi="Times New Roman" w:eastAsia="Times New Roman" w:cs="Times New Roman"/>
        </w:rPr>
      </w:pPr>
      <w:r>
        <w:rPr>
          <w:rFonts w:ascii="FangSong_GB2312" w:hAnsi="FangSong_GB2312" w:eastAsia="FangSong_GB2312" w:cs="FangSong_GB2312"/>
          <w:color w:val="000000"/>
          <w:sz w:val="32"/>
          <w:szCs w:val="32"/>
        </w:rPr>
        <w:t>7.2.5 其他考核。包括乙方员工在各类明察暗访、督导检查中被通报等。</w:t>
      </w:r>
    </w:p>
    <w:p>
      <w:pPr>
        <w:pStyle w:val="2"/>
        <w:keepNext w:val="0"/>
        <w:spacing w:before="0" w:after="0" w:line="360" w:lineRule="auto"/>
        <w:jc w:val="center"/>
        <w:rPr>
          <w:rFonts w:ascii="仿宋_GB2312" w:hAnsi="仿宋_GB2312" w:eastAsia="仿宋_GB2312" w:cs="仿宋_GB2312"/>
          <w:b/>
          <w:bCs/>
          <w:sz w:val="32"/>
          <w:szCs w:val="32"/>
        </w:rPr>
      </w:pPr>
      <w:bookmarkStart w:id="41" w:name="_Toc256000039"/>
      <w:r>
        <w:rPr>
          <w:rFonts w:ascii="仿宋_GB2312" w:hAnsi="仿宋_GB2312" w:eastAsia="仿宋_GB2312" w:cs="仿宋_GB2312"/>
          <w:kern w:val="36"/>
        </w:rPr>
        <w:t>8其他要求</w:t>
      </w:r>
      <w:bookmarkEnd w:id="41"/>
    </w:p>
    <w:p>
      <w:pPr>
        <w:pStyle w:val="3"/>
        <w:keepNext w:val="0"/>
        <w:spacing w:before="0" w:after="0" w:line="360" w:lineRule="auto"/>
        <w:rPr>
          <w:rFonts w:ascii="仿宋_GB2312" w:hAnsi="仿宋_GB2312" w:eastAsia="仿宋_GB2312" w:cs="仿宋_GB2312"/>
          <w:b/>
          <w:bCs/>
          <w:sz w:val="28"/>
          <w:szCs w:val="28"/>
        </w:rPr>
      </w:pPr>
      <w:bookmarkStart w:id="42" w:name="_Toc256000040"/>
      <w:r>
        <w:rPr>
          <w:rFonts w:ascii="仿宋_GB2312" w:hAnsi="仿宋_GB2312" w:eastAsia="仿宋_GB2312" w:cs="仿宋_GB2312"/>
          <w:i w:val="0"/>
          <w:iCs w:val="0"/>
        </w:rPr>
        <w:t>8.1必备要求</w:t>
      </w:r>
      <w:bookmarkEnd w:id="42"/>
    </w:p>
    <w:p>
      <w:pPr>
        <w:pStyle w:val="4"/>
        <w:keepNext w:val="0"/>
        <w:spacing w:before="0" w:after="0" w:line="360" w:lineRule="auto"/>
        <w:rPr>
          <w:rFonts w:ascii="仿宋_GB2312" w:hAnsi="仿宋_GB2312" w:eastAsia="仿宋_GB2312" w:cs="仿宋_GB2312"/>
          <w:b/>
          <w:bCs/>
          <w:sz w:val="28"/>
          <w:szCs w:val="28"/>
        </w:rPr>
      </w:pPr>
      <w:bookmarkStart w:id="43" w:name="_Toc256000041"/>
      <w:r>
        <w:rPr>
          <w:rFonts w:ascii="仿宋_GB2312" w:hAnsi="仿宋_GB2312" w:eastAsia="仿宋_GB2312" w:cs="仿宋_GB2312"/>
          <w:sz w:val="28"/>
          <w:szCs w:val="28"/>
        </w:rPr>
        <w:t>8.1.1通用必备要求</w:t>
      </w:r>
      <w:bookmarkEnd w:id="43"/>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 xml:space="preserve">1.本项目中如涉及商品包装和快递包装的，其包装需求标准应不低于《关于印发&lt;商品包装政府采购需求标准（试行）&gt;、&lt;快递包装政府采购需求标准（试行）&gt;的通知》（财办库〔2020〕123 号）规定的包装要求，如有其他包装需求，详见采购文件技术部分相关章节。 </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 xml:space="preserve">2.本项目中如涉及网络关键设备或网络安全专用产品的，应严格执行国家互联网信息办公室、工业和信息化部、公安部、财政部和国家认证认可监督管理委员会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 </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 xml:space="preserve">3.本项目中如涉及国家强制性产品认证证书（CCC 认证证书）、电信设备进网许可证、无线电发射设备核准证等市场准入类资质的，应严格执行国家相关法律法规的要求。 </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以上相关要求，由供应商在响应时应答，在履约验收中，采购人将按照采购文件、中标/成交供应商响应文件、采购合同等对中标/成交供应商提供的货物和服务进行验收，必要时依法依规开展相应检测、认证。</w:t>
      </w:r>
    </w:p>
    <w:p>
      <w:pPr>
        <w:pStyle w:val="3"/>
        <w:keepNext w:val="0"/>
        <w:spacing w:before="0" w:after="0" w:line="360" w:lineRule="auto"/>
        <w:rPr>
          <w:rFonts w:ascii="仿宋_GB2312" w:hAnsi="仿宋_GB2312" w:eastAsia="仿宋_GB2312" w:cs="仿宋_GB2312"/>
          <w:b/>
          <w:bCs/>
          <w:sz w:val="28"/>
          <w:szCs w:val="28"/>
        </w:rPr>
      </w:pPr>
      <w:bookmarkStart w:id="44" w:name="_Toc256000042"/>
      <w:r>
        <w:rPr>
          <w:rFonts w:ascii="仿宋_GB2312" w:hAnsi="仿宋_GB2312" w:eastAsia="仿宋_GB2312" w:cs="仿宋_GB2312"/>
          <w:i w:val="0"/>
          <w:iCs w:val="0"/>
        </w:rPr>
        <w:t>8.2付款安排建议</w:t>
      </w:r>
      <w:bookmarkEnd w:id="44"/>
    </w:p>
    <w:tbl>
      <w:tblPr>
        <w:tblStyle w:val="9"/>
        <w:tblW w:w="5000" w:type="pct"/>
        <w:tblInd w:w="30" w:type="dxa"/>
        <w:tblLayout w:type="autofit"/>
        <w:tblCellMar>
          <w:top w:w="15" w:type="dxa"/>
          <w:left w:w="15" w:type="dxa"/>
          <w:bottom w:w="15" w:type="dxa"/>
          <w:right w:w="15" w:type="dxa"/>
        </w:tblCellMar>
      </w:tblPr>
      <w:tblGrid>
        <w:gridCol w:w="1814"/>
        <w:gridCol w:w="5442"/>
        <w:gridCol w:w="1814"/>
      </w:tblGrid>
      <w:tr>
        <w:tblPrEx>
          <w:tblCellMar>
            <w:top w:w="15" w:type="dxa"/>
            <w:left w:w="15" w:type="dxa"/>
            <w:bottom w:w="15" w:type="dxa"/>
            <w:right w:w="15" w:type="dxa"/>
          </w:tblCellMar>
        </w:tblPrEx>
        <w:tc>
          <w:tcPr>
            <w:tcW w:w="1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付款名称</w:t>
            </w:r>
          </w:p>
        </w:tc>
        <w:tc>
          <w:tcPr>
            <w:tcW w:w="3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付款要求</w:t>
            </w:r>
          </w:p>
        </w:tc>
        <w:tc>
          <w:tcPr>
            <w:tcW w:w="1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付款比例(%)</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第1次付款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按月支付，按照考核结果，于供应商提供正式发票后 10日内支付月度服务费。</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8.33</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第2次付款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按月支付，按照考核结果，于供应商提供正式发票后 10日内支付月度服务费。</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8.33</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第3次付款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按月支付，按照考核结果，于供应商提供正式发票后 10日内支付月度服务费。</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8.33</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第4次付款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按月支付，按照考核结果，于供应商提供正式发票后 10日内支付月度服务费。</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8.33</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第5次付款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按月支付，按照考核结果，于供应商提供正式发票后 10日内支付月度服务费。</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8.33</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第6次付款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按月支付，按照考核结果，于供应商提供正式发票后 10日内支付月度服务费。</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8.33</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第7次付款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按月支付，按照考核结果，于供应商提供正式发票后 10日内支付月度服务费。</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8.33</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第8次付款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按月支付，按照考核结果，于供应商提供正式发票后 10日内支付月度服务费。</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8.33</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第9次付款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按月支付，按照考核结果，于供应商提供正式发票后 10日内支付月度服务费。</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8.33</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第10次付款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按月支付，按照考核结果，于供应商提供正式发票后 10日内支付月度服务费。</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8.33</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第11次付款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按月支付，按照考核结果，于供应商提供正式发票后 10日内支付月度服务费。</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8.33</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第12次付款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按月支付，按照考核结果，于供应商提供正式发票后 10日内支付月度服务费。</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8.37</w:t>
            </w:r>
          </w:p>
        </w:tc>
      </w:tr>
    </w:tbl>
    <w:p>
      <w:pPr>
        <w:pStyle w:val="3"/>
        <w:keepNext w:val="0"/>
        <w:spacing w:before="0" w:after="0" w:line="360" w:lineRule="auto"/>
        <w:rPr>
          <w:rFonts w:ascii="仿宋_GB2312" w:hAnsi="仿宋_GB2312" w:eastAsia="仿宋_GB2312" w:cs="仿宋_GB2312"/>
          <w:b/>
          <w:bCs/>
          <w:sz w:val="28"/>
          <w:szCs w:val="28"/>
        </w:rPr>
      </w:pPr>
      <w:bookmarkStart w:id="45" w:name="_Toc256000043"/>
      <w:r>
        <w:rPr>
          <w:rFonts w:ascii="仿宋_GB2312" w:hAnsi="仿宋_GB2312" w:eastAsia="仿宋_GB2312" w:cs="仿宋_GB2312"/>
          <w:i w:val="0"/>
          <w:iCs w:val="0"/>
        </w:rPr>
        <w:t>8.3其他要求</w:t>
      </w:r>
      <w:bookmarkEnd w:id="45"/>
    </w:p>
    <w:p>
      <w:pPr>
        <w:pStyle w:val="4"/>
        <w:keepNext w:val="0"/>
        <w:spacing w:before="0" w:after="0" w:line="360" w:lineRule="auto"/>
        <w:rPr>
          <w:rFonts w:ascii="仿宋_GB2312" w:hAnsi="仿宋_GB2312" w:eastAsia="仿宋_GB2312" w:cs="仿宋_GB2312"/>
          <w:b/>
          <w:bCs/>
          <w:sz w:val="28"/>
          <w:szCs w:val="28"/>
        </w:rPr>
      </w:pPr>
      <w:bookmarkStart w:id="46" w:name="_Toc256000044"/>
      <w:r>
        <w:rPr>
          <w:rFonts w:ascii="仿宋_GB2312" w:hAnsi="仿宋_GB2312" w:eastAsia="仿宋_GB2312" w:cs="仿宋_GB2312"/>
          <w:sz w:val="28"/>
          <w:szCs w:val="28"/>
        </w:rPr>
        <w:t>8.3.1保密要求</w:t>
      </w:r>
      <w:bookmarkEnd w:id="46"/>
    </w:p>
    <w:p>
      <w:pPr>
        <w:pStyle w:val="12"/>
        <w:spacing w:before="0" w:after="0" w:line="360" w:lineRule="auto"/>
        <w:ind w:firstLine="480"/>
        <w:jc w:val="left"/>
        <w:rPr>
          <w:rFonts w:ascii="Times New Roman" w:hAnsi="Times New Roman" w:eastAsia="Times New Roman" w:cs="Times New Roman"/>
        </w:rPr>
      </w:pPr>
      <w:r>
        <w:rPr>
          <w:rFonts w:ascii="FangSong_GB2312" w:hAnsi="FangSong_GB2312" w:eastAsia="FangSong_GB2312" w:cs="FangSong_GB2312"/>
          <w:color w:val="000000"/>
          <w:sz w:val="32"/>
          <w:szCs w:val="32"/>
        </w:rPr>
        <w:t xml:space="preserve">8.3.1.1 双方应对在本合同签订或履行过程中所接触的对方信息，包括但不限于知识产权、技术资料、技术诀窍、内部管理及其他相关信息，负有保密义务。 </w:t>
      </w:r>
    </w:p>
    <w:p>
      <w:pPr>
        <w:pStyle w:val="12"/>
        <w:spacing w:before="0" w:after="0" w:line="360" w:lineRule="auto"/>
        <w:ind w:firstLine="480"/>
        <w:jc w:val="left"/>
        <w:rPr>
          <w:rFonts w:ascii="Times New Roman" w:hAnsi="Times New Roman" w:eastAsia="Times New Roman" w:cs="Times New Roman"/>
        </w:rPr>
      </w:pPr>
      <w:r>
        <w:rPr>
          <w:rFonts w:ascii="FangSong_GB2312" w:hAnsi="FangSong_GB2312" w:eastAsia="FangSong_GB2312" w:cs="FangSong_GB2312"/>
          <w:color w:val="000000"/>
          <w:sz w:val="32"/>
          <w:szCs w:val="32"/>
        </w:rPr>
        <w:t xml:space="preserve">8.3.1.2 采购方为投标方及其服务人员提供的数据、程序、用户名、口令、资料及采购方的相关的业务和技术文档，包括但不限于税收政策、方案设计细节、程序文件、数据结构，以及相关业务系统的硬软件、文档、测试和测试产生的数据均属于保密信息，投标方应遵循以下规定： </w:t>
      </w:r>
    </w:p>
    <w:p>
      <w:pPr>
        <w:pStyle w:val="12"/>
        <w:spacing w:before="0" w:after="0" w:line="360" w:lineRule="auto"/>
        <w:ind w:firstLine="480"/>
        <w:jc w:val="left"/>
        <w:rPr>
          <w:rFonts w:ascii="Times New Roman" w:hAnsi="Times New Roman" w:eastAsia="Times New Roman" w:cs="Times New Roman"/>
        </w:rPr>
      </w:pPr>
      <w:r>
        <w:rPr>
          <w:rFonts w:ascii="FangSong_GB2312" w:hAnsi="FangSong_GB2312" w:eastAsia="FangSong_GB2312" w:cs="FangSong_GB2312"/>
          <w:color w:val="000000"/>
          <w:sz w:val="32"/>
          <w:szCs w:val="32"/>
        </w:rPr>
        <w:t xml:space="preserve">（1）应以审慎态度避免泄漏、公开或传播采购方的保密信息； </w:t>
      </w:r>
    </w:p>
    <w:p>
      <w:pPr>
        <w:pStyle w:val="12"/>
        <w:spacing w:before="0" w:after="0" w:line="360" w:lineRule="auto"/>
        <w:ind w:firstLine="480"/>
        <w:jc w:val="left"/>
        <w:rPr>
          <w:rFonts w:ascii="Times New Roman" w:hAnsi="Times New Roman" w:eastAsia="Times New Roman" w:cs="Times New Roman"/>
        </w:rPr>
      </w:pPr>
      <w:r>
        <w:rPr>
          <w:rFonts w:ascii="FangSong_GB2312" w:hAnsi="FangSong_GB2312" w:eastAsia="FangSong_GB2312" w:cs="FangSong_GB2312"/>
          <w:color w:val="000000"/>
          <w:sz w:val="32"/>
          <w:szCs w:val="32"/>
        </w:rPr>
        <w:t xml:space="preserve">（2）未经采购方书面许可，不得对有关信息进行修改、补充、复制； </w:t>
      </w:r>
    </w:p>
    <w:p>
      <w:pPr>
        <w:pStyle w:val="12"/>
        <w:spacing w:before="0" w:after="0" w:line="360" w:lineRule="auto"/>
        <w:ind w:firstLine="480"/>
        <w:jc w:val="left"/>
        <w:rPr>
          <w:rFonts w:ascii="Times New Roman" w:hAnsi="Times New Roman" w:eastAsia="Times New Roman" w:cs="Times New Roman"/>
        </w:rPr>
      </w:pPr>
      <w:r>
        <w:rPr>
          <w:rFonts w:ascii="FangSong_GB2312" w:hAnsi="FangSong_GB2312" w:eastAsia="FangSong_GB2312" w:cs="FangSong_GB2312"/>
          <w:color w:val="000000"/>
          <w:sz w:val="32"/>
          <w:szCs w:val="32"/>
        </w:rPr>
        <w:t xml:space="preserve">（3）未经采购方书面许可，不得将信息以任何方式（如E-mail）携带出采购方场所； </w:t>
      </w:r>
    </w:p>
    <w:p>
      <w:pPr>
        <w:pStyle w:val="12"/>
        <w:spacing w:before="0" w:after="0" w:line="360" w:lineRule="auto"/>
        <w:ind w:firstLine="480"/>
        <w:jc w:val="left"/>
        <w:rPr>
          <w:rFonts w:ascii="Times New Roman" w:hAnsi="Times New Roman" w:eastAsia="Times New Roman" w:cs="Times New Roman"/>
        </w:rPr>
      </w:pPr>
      <w:r>
        <w:rPr>
          <w:rFonts w:ascii="FangSong_GB2312" w:hAnsi="FangSong_GB2312" w:eastAsia="FangSong_GB2312" w:cs="FangSong_GB2312"/>
          <w:color w:val="000000"/>
          <w:sz w:val="32"/>
          <w:szCs w:val="32"/>
        </w:rPr>
        <w:t xml:space="preserve">（4）未经采购方书面许可，不得将信息透露给任何其他人； </w:t>
      </w:r>
    </w:p>
    <w:p>
      <w:pPr>
        <w:pStyle w:val="12"/>
        <w:spacing w:before="0" w:after="0" w:line="360" w:lineRule="auto"/>
        <w:ind w:firstLine="480"/>
        <w:jc w:val="left"/>
        <w:rPr>
          <w:rFonts w:ascii="Times New Roman" w:hAnsi="Times New Roman" w:eastAsia="Times New Roman" w:cs="Times New Roman"/>
        </w:rPr>
      </w:pPr>
      <w:r>
        <w:rPr>
          <w:rFonts w:ascii="FangSong_GB2312" w:hAnsi="FangSong_GB2312" w:eastAsia="FangSong_GB2312" w:cs="FangSong_GB2312"/>
          <w:color w:val="000000"/>
          <w:sz w:val="32"/>
          <w:szCs w:val="32"/>
        </w:rPr>
        <w:t xml:space="preserve">（5）采购方以书面形式提出的其他保密措施。 </w:t>
      </w:r>
    </w:p>
    <w:p>
      <w:pPr>
        <w:pStyle w:val="12"/>
        <w:spacing w:before="0" w:after="0" w:line="360" w:lineRule="auto"/>
        <w:ind w:firstLine="480"/>
        <w:jc w:val="left"/>
        <w:rPr>
          <w:rFonts w:ascii="Times New Roman" w:hAnsi="Times New Roman" w:eastAsia="Times New Roman" w:cs="Times New Roman"/>
        </w:rPr>
      </w:pPr>
      <w:r>
        <w:rPr>
          <w:rFonts w:ascii="FangSong_GB2312" w:hAnsi="FangSong_GB2312" w:eastAsia="FangSong_GB2312" w:cs="FangSong_GB2312"/>
          <w:color w:val="000000"/>
          <w:sz w:val="32"/>
          <w:szCs w:val="32"/>
        </w:rPr>
        <w:t xml:space="preserve">8.3.1.3 保密期限不受合同有效期的限制，在合同有效期结束后，信息接受方仍应承担保密义务，直至该信息成为公开信息为止。 </w:t>
      </w:r>
    </w:p>
    <w:p>
      <w:pPr>
        <w:pStyle w:val="12"/>
        <w:spacing w:before="0" w:after="0" w:line="360" w:lineRule="auto"/>
        <w:ind w:firstLine="480"/>
        <w:jc w:val="left"/>
        <w:rPr>
          <w:rFonts w:ascii="Times New Roman" w:hAnsi="Times New Roman" w:eastAsia="Times New Roman" w:cs="Times New Roman"/>
        </w:rPr>
      </w:pPr>
      <w:r>
        <w:rPr>
          <w:rFonts w:ascii="FangSong_GB2312" w:hAnsi="FangSong_GB2312" w:eastAsia="FangSong_GB2312" w:cs="FangSong_GB2312"/>
          <w:color w:val="000000"/>
          <w:sz w:val="32"/>
          <w:szCs w:val="32"/>
        </w:rPr>
        <w:t>8.3.1.4 双方如出现泄密行为，泄密方应承担相关的法律责任，包括但是不限于对由此给对方造成的经济损失进行赔偿。</w:t>
      </w:r>
    </w:p>
    <w:p>
      <w:pPr>
        <w:pStyle w:val="4"/>
        <w:keepNext w:val="0"/>
        <w:spacing w:before="0" w:after="0" w:line="360" w:lineRule="auto"/>
        <w:rPr>
          <w:rFonts w:ascii="仿宋_GB2312" w:hAnsi="仿宋_GB2312" w:eastAsia="仿宋_GB2312" w:cs="仿宋_GB2312"/>
          <w:b/>
          <w:bCs/>
          <w:sz w:val="28"/>
          <w:szCs w:val="28"/>
        </w:rPr>
      </w:pPr>
      <w:bookmarkStart w:id="47" w:name="_Toc256000045"/>
      <w:r>
        <w:rPr>
          <w:rFonts w:ascii="仿宋_GB2312" w:hAnsi="仿宋_GB2312" w:eastAsia="仿宋_GB2312" w:cs="仿宋_GB2312"/>
          <w:sz w:val="28"/>
          <w:szCs w:val="28"/>
        </w:rPr>
        <w:t>8.3.2知识转移要求</w:t>
      </w:r>
      <w:bookmarkEnd w:id="47"/>
    </w:p>
    <w:p>
      <w:pPr>
        <w:pStyle w:val="12"/>
        <w:spacing w:before="0" w:after="0" w:line="360" w:lineRule="auto"/>
        <w:ind w:firstLine="480"/>
        <w:jc w:val="left"/>
        <w:rPr>
          <w:rFonts w:ascii="Times New Roman" w:hAnsi="Times New Roman" w:eastAsia="Times New Roman" w:cs="Times New Roman"/>
        </w:rPr>
      </w:pPr>
      <w:r>
        <w:rPr>
          <w:rFonts w:ascii="FangSong_GB2312" w:hAnsi="FangSong_GB2312" w:eastAsia="FangSong_GB2312" w:cs="FangSong_GB2312"/>
          <w:color w:val="000000"/>
          <w:sz w:val="32"/>
          <w:szCs w:val="32"/>
        </w:rPr>
        <w:t>采购方委托投标方开发的产品，采购方享有知识产权，未经采购方许可不得转让任何第三人。</w:t>
      </w:r>
    </w:p>
    <w:p>
      <w:pPr>
        <w:pStyle w:val="4"/>
        <w:keepNext w:val="0"/>
        <w:spacing w:before="0" w:after="0" w:line="360" w:lineRule="auto"/>
        <w:rPr>
          <w:rFonts w:ascii="仿宋_GB2312" w:hAnsi="仿宋_GB2312" w:eastAsia="仿宋_GB2312" w:cs="仿宋_GB2312"/>
          <w:b/>
          <w:bCs/>
          <w:sz w:val="28"/>
          <w:szCs w:val="28"/>
        </w:rPr>
      </w:pPr>
      <w:bookmarkStart w:id="48" w:name="_Toc256000046"/>
      <w:r>
        <w:rPr>
          <w:rFonts w:ascii="仿宋_GB2312" w:hAnsi="仿宋_GB2312" w:eastAsia="仿宋_GB2312" w:cs="仿宋_GB2312"/>
          <w:sz w:val="28"/>
          <w:szCs w:val="28"/>
        </w:rPr>
        <w:t>8.3.3知识产权要求</w:t>
      </w:r>
      <w:bookmarkEnd w:id="48"/>
    </w:p>
    <w:p>
      <w:pPr>
        <w:pStyle w:val="12"/>
        <w:spacing w:before="0" w:after="0" w:line="360" w:lineRule="auto"/>
        <w:ind w:firstLine="480"/>
        <w:jc w:val="left"/>
        <w:rPr>
          <w:rFonts w:ascii="Times New Roman" w:hAnsi="Times New Roman" w:eastAsia="Times New Roman" w:cs="Times New Roman"/>
        </w:rPr>
      </w:pPr>
      <w:r>
        <w:rPr>
          <w:rFonts w:ascii="FangSong_GB2312" w:hAnsi="FangSong_GB2312" w:eastAsia="FangSong_GB2312" w:cs="FangSong_GB2312"/>
          <w:color w:val="000000"/>
          <w:sz w:val="32"/>
          <w:szCs w:val="32"/>
        </w:rPr>
        <w:t>投标方应保证所提供的服务免受第三方提出侵犯其知识产权（专利权、商标权、版权等）的起诉。因侵害他人知识产权而产生的法律责任，全部由投标方承担。</w:t>
      </w:r>
    </w:p>
    <w:p>
      <w:pPr>
        <w:spacing w:before="0" w:after="0" w:line="360" w:lineRule="auto"/>
        <w:rPr>
          <w:rFonts w:ascii="仿宋_GB2312" w:hAnsi="仿宋_GB2312" w:eastAsia="仿宋_GB2312" w:cs="仿宋_GB2312"/>
          <w:sz w:val="28"/>
          <w:szCs w:val="28"/>
        </w:rPr>
      </w:pPr>
    </w:p>
    <w:sectPr>
      <w:foot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CC"/>
    <w:family w:val="swiss"/>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360" w:lineRule="auto"/>
      <w:jc w:val="center"/>
    </w:pPr>
    <w:r>
      <w:fldChar w:fldCharType="begin"/>
    </w:r>
    <w:r>
      <w:instrText xml:space="preserve"> PAGE </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A77B3E"/>
    <w:rsid w:val="00CA2A55"/>
    <w:rsid w:val="09BC3229"/>
    <w:rsid w:val="190C4484"/>
    <w:rsid w:val="44C06C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0"/>
    <w:pPr>
      <w:keepNext/>
      <w:spacing w:before="240" w:after="60"/>
      <w:outlineLvl w:val="0"/>
    </w:pPr>
    <w:rPr>
      <w:rFonts w:ascii="Arial" w:hAnsi="Arial" w:cs="Arial"/>
      <w:b/>
      <w:bCs/>
      <w:kern w:val="32"/>
      <w:sz w:val="32"/>
      <w:szCs w:val="32"/>
    </w:rPr>
  </w:style>
  <w:style w:type="paragraph" w:styleId="3">
    <w:name w:val="heading 2"/>
    <w:basedOn w:val="1"/>
    <w:next w:val="1"/>
    <w:qFormat/>
    <w:uiPriority w:val="0"/>
    <w:pPr>
      <w:keepNext/>
      <w:spacing w:before="240" w:after="60"/>
      <w:outlineLvl w:val="1"/>
    </w:pPr>
    <w:rPr>
      <w:rFonts w:ascii="Arial" w:hAnsi="Arial" w:cs="Arial"/>
      <w:b/>
      <w:bCs/>
      <w:i/>
      <w:iCs/>
      <w:sz w:val="28"/>
      <w:szCs w:val="28"/>
    </w:rPr>
  </w:style>
  <w:style w:type="paragraph" w:styleId="4">
    <w:name w:val="heading 3"/>
    <w:basedOn w:val="1"/>
    <w:next w:val="1"/>
    <w:qFormat/>
    <w:uiPriority w:val="0"/>
    <w:pPr>
      <w:keepNext/>
      <w:spacing w:before="240" w:after="60"/>
      <w:outlineLvl w:val="2"/>
    </w:pPr>
    <w:rPr>
      <w:rFonts w:ascii="Arial" w:hAnsi="Arial" w:cs="Arial"/>
      <w:b/>
      <w:bCs/>
      <w:sz w:val="26"/>
      <w:szCs w:val="26"/>
    </w:rPr>
  </w:style>
  <w:style w:type="paragraph" w:styleId="5">
    <w:name w:val="heading 4"/>
    <w:basedOn w:val="1"/>
    <w:next w:val="1"/>
    <w:qFormat/>
    <w:uiPriority w:val="0"/>
    <w:pPr>
      <w:keepNext/>
      <w:spacing w:before="240" w:after="60"/>
      <w:outlineLvl w:val="3"/>
    </w:pPr>
    <w:rPr>
      <w:b/>
      <w:bCs/>
      <w:sz w:val="28"/>
      <w:szCs w:val="28"/>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toc 3"/>
    <w:basedOn w:val="1"/>
    <w:next w:val="1"/>
    <w:qFormat/>
    <w:uiPriority w:val="0"/>
    <w:pPr>
      <w:ind w:left="480"/>
    </w:pPr>
  </w:style>
  <w:style w:type="paragraph" w:styleId="7">
    <w:name w:val="toc 1"/>
    <w:basedOn w:val="1"/>
    <w:next w:val="1"/>
    <w:qFormat/>
    <w:uiPriority w:val="0"/>
  </w:style>
  <w:style w:type="paragraph" w:styleId="8">
    <w:name w:val="toc 2"/>
    <w:basedOn w:val="1"/>
    <w:next w:val="1"/>
    <w:qFormat/>
    <w:uiPriority w:val="0"/>
    <w:pPr>
      <w:ind w:left="240"/>
    </w:pPr>
  </w:style>
  <w:style w:type="character" w:styleId="11">
    <w:name w:val="Hyperlink"/>
    <w:basedOn w:val="10"/>
    <w:qFormat/>
    <w:uiPriority w:val="0"/>
    <w:rPr>
      <w:color w:val="0000FF"/>
      <w:u w:val="single"/>
    </w:rPr>
  </w:style>
  <w:style w:type="paragraph" w:customStyle="1" w:styleId="12">
    <w:name w:val="MsoNormal"/>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20</Pages>
  <Words>0</Words>
  <Characters>0</Characters>
  <Lines>1</Lines>
  <Paragraphs>1</Paragraphs>
  <TotalTime>2</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2025-11-14T08:24:52Z</dcterms:created>
  <dc:creator>Administrator</dc:creator>
  <cp:lastModifiedBy>姚中尚</cp:lastModifiedBy>
  <dcterms:modified xsi:type="dcterms:W3CDTF">2025-11-14T08:27:08Z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