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国家税务总局黄冈市税务局系统2026年政府采购</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项目招标代理机构比选方案</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为落实好总局及省局政府采购管理模式改革试点工作相关要求，进一步加强全市政府采购管理工作，规范项目采购程序，提高采购工作效率，拟通过比选方式，择优选择招标代理机构，具体方案如下：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一、采购人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333333"/>
          <w:kern w:val="0"/>
          <w:sz w:val="28"/>
          <w:szCs w:val="28"/>
          <w:lang w:val="en-US" w:eastAsia="zh-CN" w:bidi="ar"/>
        </w:rPr>
        <w:t xml:space="preserve">    </w:t>
      </w:r>
      <w:r>
        <w:rPr>
          <w:rFonts w:hint="eastAsia" w:ascii="仿宋_GB2312" w:hAnsi="仿宋_GB2312" w:eastAsia="仿宋_GB2312" w:cs="仿宋_GB2312"/>
          <w:kern w:val="2"/>
          <w:sz w:val="28"/>
          <w:szCs w:val="28"/>
          <w:lang w:val="en-US" w:eastAsia="zh-CN" w:bidi="ar-SA"/>
        </w:rPr>
        <w:t>国家税务总局黄冈市税务局及下属预算单位。</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i w:val="0"/>
          <w:iCs w:val="0"/>
          <w:color w:val="333333"/>
          <w:kern w:val="0"/>
          <w:sz w:val="28"/>
          <w:szCs w:val="28"/>
          <w:lang w:val="en-US" w:eastAsia="zh-CN" w:bidi="ar"/>
        </w:rPr>
      </w:pPr>
      <w:r>
        <w:rPr>
          <w:rFonts w:hint="eastAsia" w:ascii="仿宋_GB2312" w:hAnsi="仿宋_GB2312" w:eastAsia="仿宋_GB2312" w:cs="仿宋_GB2312"/>
          <w:b/>
          <w:bCs/>
          <w:i w:val="0"/>
          <w:iCs w:val="0"/>
          <w:color w:val="333333"/>
          <w:kern w:val="0"/>
          <w:sz w:val="28"/>
          <w:szCs w:val="28"/>
          <w:lang w:val="en-US" w:eastAsia="zh-CN" w:bidi="ar"/>
        </w:rPr>
        <w:t>采购项目</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黄冈市税务局机关政府采购项目</w:t>
      </w:r>
    </w:p>
    <w:p>
      <w:pPr>
        <w:pStyle w:val="2"/>
        <w:numPr>
          <w:ilvl w:val="0"/>
          <w:numId w:val="0"/>
        </w:numPr>
        <w:rPr>
          <w:rFonts w:hint="eastAsia" w:ascii="仿宋_GB2312" w:hAnsi="仿宋_GB2312" w:eastAsia="仿宋_GB2312" w:cs="仿宋_GB2312"/>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kern w:val="2"/>
          <w:sz w:val="28"/>
          <w:szCs w:val="28"/>
          <w:lang w:val="en-US" w:eastAsia="zh-CN" w:bidi="ar-SA"/>
        </w:rPr>
        <w:t xml:space="preserve">  包括物业、食堂食材、餐饮服务等。</w:t>
      </w:r>
    </w:p>
    <w:p>
      <w:pPr>
        <w:numPr>
          <w:ilvl w:val="0"/>
          <w:numId w:val="2"/>
        </w:numPr>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提级采购项目</w:t>
      </w:r>
    </w:p>
    <w:p>
      <w:pPr>
        <w:pStyle w:val="2"/>
        <w:numPr>
          <w:ilvl w:val="0"/>
          <w:numId w:val="0"/>
        </w:numPr>
        <w:ind w:left="0" w:leftChars="0" w:firstLine="420" w:firstLineChars="200"/>
        <w:rPr>
          <w:rFonts w:hint="default" w:ascii="仿宋_GB2312" w:hAnsi="仿宋_GB2312" w:eastAsia="仿宋_GB2312" w:cs="仿宋_GB2312"/>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kern w:val="2"/>
          <w:sz w:val="28"/>
          <w:szCs w:val="28"/>
          <w:lang w:val="en-US" w:eastAsia="zh-CN" w:bidi="ar-SA"/>
        </w:rPr>
        <w:t>按照总局及省局提级采购要求需要提级采购的物业、食堂食材、餐饮服务等。</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三、比选原则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本次比选工作采用综合评分法，坚持依法依规、公开、公平、公正原则，实行科学评估，择优选择3家招标代理机构。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四、比选方式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（一）评审小组采取综合评分方式，客观、公正评审参选方提交的文件，对参选方的业绩、交易平台经验、人员情况等方面综合评构的综合评分，最终评审得分以评审小组成员有效评分之和的算术平均值计算。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（二）候选资格按评审得分由高到低顺序排列，得分相同的，按业绩分由高到低顺序排列，根据得分排名且能满足比选文件实质性响应要求的前3名参选人取得入围黄冈市税务局政府采购项目招标代理资格。</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color w:val="333333"/>
          <w:kern w:val="0"/>
          <w:sz w:val="28"/>
          <w:szCs w:val="28"/>
          <w:lang w:val="en-US" w:eastAsia="zh-CN" w:bidi="ar"/>
        </w:rPr>
      </w:pPr>
      <w:r>
        <w:rPr>
          <w:rFonts w:hint="eastAsia" w:ascii="仿宋_GB2312" w:hAnsi="仿宋_GB2312" w:eastAsia="仿宋_GB2312" w:cs="仿宋_GB2312"/>
          <w:b/>
          <w:bCs/>
          <w:color w:val="333333"/>
          <w:kern w:val="0"/>
          <w:sz w:val="28"/>
          <w:szCs w:val="28"/>
          <w:lang w:val="en-US" w:eastAsia="zh-CN" w:bidi="ar"/>
        </w:rPr>
        <w:t>五、比选方案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（一）评审小组</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市局政府采购领导小组成员单位代表、采购人单位代表1-2人。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（二）评审原则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遵循公开、公平、公正和诚信的原则，择优选取。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（三）评审方法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采用100分制，由评审小组成员根据《评审分值表》逐项评定打分，确定参与比选的政府采购代理机构的综合评分，评分过程中采用四舍五入法，小数点后保留2位。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（四）资格条件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1.具有独立承担民事责任的能力。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提供合格有效的工商营业执照。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2.具有健全的财务会计制度和良好的商业信誉。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提供2024年度第三方财务审计报告或2025年1月至今基本开户银行出具的资信证明。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3.具有依法缴纳税收和社会保障资金的良好记录。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提供2025年1月至今任意1个月依法缴纳税收和社会保障资金的有效证明材料。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4.具有履行合同所必须的专业技术能力。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提供具有履行合同所必需的设备和专业技术能力的承诺（自行承诺，格式自行拟定，须加盖公章）。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5.特殊资格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提供中国政府采购网或湖北省政府采购网备案登记成功的截图。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比选人信用信息：对列入失信被执行人、重大税收违法案件当事人名单、政府采购严重违法失信行为记录名单且还在执行期的供应商，拒绝其参与本次比选活动。信用记录查询渠道为“信用中国”网站（www.creditchina.gov.cn）和中国政府采购网（www.ccgp.gov.cn），比选人须提供查询记录截图并加盖公章，作为信用信息查询记录和证据编入比选文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7.其他资料（按评分标准提供）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（五）评审分值表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70"/>
        <w:gridCol w:w="538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序号</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评审内容</w:t>
            </w:r>
          </w:p>
        </w:tc>
        <w:tc>
          <w:tcPr>
            <w:tcW w:w="5385"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评审标准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分值</w:t>
            </w:r>
          </w:p>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业绩</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numPr>
                <w:ilvl w:val="0"/>
                <w:numId w:val="0"/>
              </w:numPr>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.1提供2022年1月1日至今代理的已完成的政府部门、事业单位业绩进行评价。每提供一个</w:t>
            </w:r>
            <w:r>
              <w:rPr>
                <w:rFonts w:hint="eastAsia" w:asciiTheme="minorEastAsia" w:hAnsiTheme="minorEastAsia" w:cstheme="minorEastAsia"/>
                <w:color w:val="auto"/>
                <w:kern w:val="0"/>
                <w:sz w:val="21"/>
                <w:szCs w:val="21"/>
                <w:lang w:val="en-US" w:eastAsia="zh-CN" w:bidi="ar"/>
              </w:rPr>
              <w:t>物业、食材或餐饮服务外包</w:t>
            </w:r>
            <w:r>
              <w:rPr>
                <w:rFonts w:hint="eastAsia" w:asciiTheme="minorEastAsia" w:hAnsiTheme="minorEastAsia" w:eastAsiaTheme="minorEastAsia" w:cstheme="minorEastAsia"/>
                <w:color w:val="auto"/>
                <w:kern w:val="0"/>
                <w:sz w:val="21"/>
                <w:szCs w:val="21"/>
                <w:lang w:val="en-US" w:eastAsia="zh-CN" w:bidi="ar"/>
              </w:rPr>
              <w:t>有效业绩得2分，最高得</w:t>
            </w:r>
            <w:r>
              <w:rPr>
                <w:rFonts w:hint="eastAsia" w:asciiTheme="minorEastAsia" w:hAnsiTheme="minorEastAsia" w:cstheme="minorEastAsia"/>
                <w:color w:val="auto"/>
                <w:kern w:val="0"/>
                <w:sz w:val="21"/>
                <w:szCs w:val="21"/>
                <w:lang w:val="en-US" w:eastAsia="zh-CN" w:bidi="ar"/>
              </w:rPr>
              <w:t>26</w:t>
            </w:r>
            <w:bookmarkStart w:id="0" w:name="_GoBack"/>
            <w:bookmarkEnd w:id="0"/>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注：提供委托代理合同（协议）或者委托函或者委托证明、中标（成交）公告或中标（成交）通知书，未提供不得分。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26</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2</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固定办</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公场所</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.1公司有固定办公场所（4分）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办公场所面积：1000㎡以上（含1000㎡），得</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4分； 办公场所面积：500㎡至1000㎡（含500㎡），</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得3分； 办公场所的总面积：300㎡至500㎡（含300</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㎡）得2分； 办公场所的总面积不足300㎡得1分。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.2办公场所配置独立开标室得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.3独立评标室得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.4独立档案室得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.5独立监控室得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注：提供办公场所的实景照片；代理机构自有物业须提供产权证，非代理机构自有物业须提供 办公场所租赁合同。</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12</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4</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针对本</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项目的</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专项服</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务团队</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.1项目负责人（6分）：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.1.1拟派项目负责人具有中级及以上职称得</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分，没有不得分；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.1.2从事政府采 购工作满3年及以上的得3分，满6年及以上的得5 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注：提供身份证复印件、相关证书复印件、2025年任意1个月的社保缴纳证明复印件加盖投标单位公章，未提供或提供资料不全的不得分。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.2项目组成员（</w:t>
            </w:r>
            <w:r>
              <w:rPr>
                <w:rFonts w:hint="eastAsia" w:asciiTheme="minorEastAsia" w:hAnsiTheme="minorEastAsia" w:cstheme="minorEastAsia"/>
                <w:color w:val="auto"/>
                <w:kern w:val="0"/>
                <w:sz w:val="21"/>
                <w:szCs w:val="21"/>
                <w:lang w:val="en-US" w:eastAsia="zh-CN" w:bidi="ar"/>
              </w:rPr>
              <w:t>8</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.2.1除项目负责人外，拟派的项目组成员不少于2人，在此基础上，每增加1人 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分，满分</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.2.2除项目负责人外，项目组成员中每具有一名中级以上职称人员得</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分，最多得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注：提供人员清单、身份证复印件、相关证书复印件、202</w:t>
            </w:r>
            <w:r>
              <w:rPr>
                <w:rFonts w:hint="eastAsia" w:asciiTheme="minorEastAsia" w:hAnsi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val="en-US" w:eastAsia="zh-CN" w:bidi="ar"/>
              </w:rPr>
              <w:t>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.3以上项目组成员同时具有招标采购专职从业人员能力考评证书或中国招标投标协会所发招标师证的，每人加</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分，最高得4分。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注：提供人员清单、身份证复印件、相关证书复印件、2025年任意1个月的社保缴纳证明复印件加盖投标单位公章，未提供或提供资料不全的不得分。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.4公司具有法律专业人员或与律师事务所签订法律咨询协议（有效期内）的得</w:t>
            </w: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分，无不得分。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注：聘有法律顾问的需提供法律顾问法 律职业资格证书及劳动合同复印件；聘有兼职法律 顾问的需提供代理机构与律师事务所签订的合作协议复印件，提供以上证书或证明材料复印件加盖单位公章，未提供不得分。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lang w:val="en-US" w:eastAsia="zh-CN" w:bidi="ar"/>
              </w:rPr>
              <w:t>21</w:t>
            </w:r>
            <w:r>
              <w:rPr>
                <w:rFonts w:hint="eastAsia" w:asciiTheme="minorEastAsia" w:hAnsiTheme="minorEastAsia" w:eastAsiaTheme="minorEastAsia" w:cstheme="minorEastAsia"/>
                <w:color w:val="auto"/>
                <w:kern w:val="0"/>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4</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代理服务方案</w:t>
            </w:r>
          </w:p>
        </w:tc>
        <w:tc>
          <w:tcPr>
            <w:tcW w:w="5385" w:type="dxa"/>
            <w:vAlign w:val="center"/>
          </w:tcPr>
          <w:p>
            <w:pPr>
              <w:keepNext w:val="0"/>
              <w:keepLines w:val="0"/>
              <w:widowControl/>
              <w:suppressLineNumbers w:val="0"/>
              <w:jc w:val="left"/>
              <w:rPr>
                <w:rFonts w:hint="eastAsia" w:asciiTheme="minorEastAsia" w:hAnsi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招标代理方案、项目流程细则评价分</w:t>
            </w:r>
            <w:r>
              <w:rPr>
                <w:rFonts w:hint="eastAsia" w:asciiTheme="minorEastAsia" w:hAnsi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包含但不仅限于</w:t>
            </w:r>
            <w:r>
              <w:rPr>
                <w:rFonts w:hint="eastAsia"/>
                <w:color w:val="auto"/>
                <w:sz w:val="21"/>
                <w:szCs w:val="21"/>
                <w:lang w:val="en-US" w:eastAsia="zh-CN"/>
              </w:rPr>
              <w:t>①</w:t>
            </w:r>
            <w:r>
              <w:rPr>
                <w:rFonts w:hint="eastAsia" w:asciiTheme="minorEastAsia" w:hAnsiTheme="minorEastAsia" w:eastAsiaTheme="minorEastAsia" w:cstheme="minorEastAsia"/>
                <w:color w:val="auto"/>
                <w:kern w:val="0"/>
                <w:sz w:val="21"/>
                <w:szCs w:val="21"/>
                <w:lang w:val="en-US" w:eastAsia="zh-CN" w:bidi="ar"/>
              </w:rPr>
              <w:t>整体服务方案、</w:t>
            </w:r>
            <w:r>
              <w:rPr>
                <w:rFonts w:hint="eastAsia"/>
                <w:color w:val="auto"/>
                <w:sz w:val="21"/>
                <w:szCs w:val="21"/>
                <w:lang w:val="en-US" w:eastAsia="zh-CN"/>
              </w:rPr>
              <w:t>②</w:t>
            </w:r>
            <w:r>
              <w:rPr>
                <w:rFonts w:hint="eastAsia" w:asciiTheme="minorEastAsia" w:hAnsiTheme="minorEastAsia" w:eastAsiaTheme="minorEastAsia" w:cstheme="minorEastAsia"/>
                <w:color w:val="auto"/>
                <w:kern w:val="0"/>
                <w:sz w:val="21"/>
                <w:szCs w:val="21"/>
                <w:lang w:val="en-US" w:eastAsia="zh-CN" w:bidi="ar"/>
              </w:rPr>
              <w:t>项目实施进度保障措施、</w:t>
            </w:r>
            <w:r>
              <w:rPr>
                <w:rFonts w:hint="eastAsia"/>
                <w:color w:val="auto"/>
                <w:sz w:val="21"/>
                <w:szCs w:val="21"/>
                <w:lang w:val="en-US" w:eastAsia="zh-CN"/>
              </w:rPr>
              <w:t>③</w:t>
            </w:r>
            <w:r>
              <w:rPr>
                <w:rFonts w:hint="eastAsia" w:asciiTheme="minorEastAsia" w:hAnsiTheme="minorEastAsia" w:eastAsiaTheme="minorEastAsia" w:cstheme="minorEastAsia"/>
                <w:color w:val="auto"/>
                <w:kern w:val="0"/>
                <w:sz w:val="21"/>
                <w:szCs w:val="21"/>
                <w:lang w:val="en-US" w:eastAsia="zh-CN" w:bidi="ar"/>
              </w:rPr>
              <w:t>质量保障措施、</w:t>
            </w:r>
            <w:r>
              <w:rPr>
                <w:rFonts w:hint="eastAsia"/>
                <w:color w:val="auto"/>
                <w:sz w:val="21"/>
                <w:szCs w:val="21"/>
                <w:lang w:val="en-US" w:eastAsia="zh-CN"/>
              </w:rPr>
              <w:t>④</w:t>
            </w:r>
            <w:r>
              <w:rPr>
                <w:rFonts w:hint="eastAsia" w:asciiTheme="minorEastAsia" w:hAnsiTheme="minorEastAsia" w:eastAsiaTheme="minorEastAsia" w:cstheme="minorEastAsia"/>
                <w:color w:val="auto"/>
                <w:kern w:val="0"/>
                <w:sz w:val="21"/>
                <w:szCs w:val="21"/>
                <w:lang w:val="en-US" w:eastAsia="zh-CN" w:bidi="ar"/>
              </w:rPr>
              <w:t>招标代理工作管理制度、</w:t>
            </w:r>
            <w:r>
              <w:rPr>
                <w:rFonts w:hint="eastAsia" w:ascii="宋体" w:hAnsi="宋体" w:cs="Times New Roman"/>
                <w:color w:val="auto"/>
                <w:kern w:val="2"/>
                <w:sz w:val="21"/>
                <w:szCs w:val="21"/>
                <w:lang w:val="en-US" w:eastAsia="zh-CN" w:bidi="ar-SA"/>
              </w:rPr>
              <w:t>⑤</w:t>
            </w:r>
            <w:r>
              <w:rPr>
                <w:rFonts w:hint="eastAsia" w:asciiTheme="minorEastAsia" w:hAnsiTheme="minorEastAsia" w:eastAsiaTheme="minorEastAsia" w:cstheme="minorEastAsia"/>
                <w:color w:val="auto"/>
                <w:kern w:val="0"/>
                <w:sz w:val="21"/>
                <w:szCs w:val="21"/>
                <w:lang w:val="en-US" w:eastAsia="zh-CN" w:bidi="ar"/>
              </w:rPr>
              <w:t>档案管理制度等内容</w:t>
            </w:r>
            <w:r>
              <w:rPr>
                <w:rFonts w:hint="eastAsia" w:asciiTheme="minorEastAsia" w:hAnsi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评审小组成员对投标文件编制的内容和质量进行打分</w:t>
            </w:r>
            <w:r>
              <w:rPr>
                <w:rFonts w:hint="eastAsia" w:asciiTheme="minorEastAsia" w:hAnsiTheme="minorEastAsia" w:cstheme="minorEastAsia"/>
                <w:color w:val="auto"/>
                <w:kern w:val="0"/>
                <w:sz w:val="21"/>
                <w:szCs w:val="21"/>
                <w:lang w:val="en-US" w:eastAsia="zh-CN" w:bidi="ar"/>
              </w:rPr>
              <w:t>。</w:t>
            </w:r>
          </w:p>
          <w:p>
            <w:pPr>
              <w:keepNext w:val="0"/>
              <w:keepLines w:val="0"/>
              <w:widowControl/>
              <w:suppressLineNumbers w:val="0"/>
              <w:jc w:val="left"/>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评分标准：根据供应商针对以上 5个方面所编制方案的完整性、合理性、针对性进行评审。每提供 1个方面描述完整、合理、具有针对性得</w:t>
            </w:r>
            <w:r>
              <w:rPr>
                <w:rFonts w:hint="eastAsia" w:asciiTheme="minorEastAsia" w:hAnsi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val="en-US" w:eastAsia="zh-CN" w:bidi="ar"/>
              </w:rPr>
              <w:t>分；每个方面表达不够完整合理存在缺陷得</w:t>
            </w:r>
            <w:r>
              <w:rPr>
                <w:rFonts w:hint="eastAsia" w:asciiTheme="minorEastAsia" w:hAnsiTheme="minorEastAsia" w:cstheme="minorEastAsia"/>
                <w:color w:val="auto"/>
                <w:kern w:val="0"/>
                <w:sz w:val="21"/>
                <w:szCs w:val="21"/>
                <w:lang w:val="en-US" w:eastAsia="zh-CN" w:bidi="ar"/>
              </w:rPr>
              <w:t>2.5</w:t>
            </w:r>
            <w:r>
              <w:rPr>
                <w:rFonts w:hint="eastAsia" w:asciiTheme="minorEastAsia" w:hAnsiTheme="minorEastAsia" w:eastAsiaTheme="minorEastAsia" w:cstheme="minorEastAsia"/>
                <w:color w:val="auto"/>
                <w:kern w:val="0"/>
                <w:sz w:val="21"/>
                <w:szCs w:val="21"/>
                <w:lang w:val="en-US" w:eastAsia="zh-CN" w:bidi="ar"/>
              </w:rPr>
              <w:t>分；</w:t>
            </w:r>
            <w:r>
              <w:rPr>
                <w:rFonts w:hint="eastAsia" w:asciiTheme="minorEastAsia" w:hAnsiTheme="minorEastAsia" w:cstheme="minorEastAsia"/>
                <w:color w:val="auto"/>
                <w:kern w:val="0"/>
                <w:sz w:val="21"/>
                <w:szCs w:val="21"/>
                <w:lang w:val="en-US" w:eastAsia="zh-CN" w:bidi="ar"/>
              </w:rPr>
              <w:t>最高得25分。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完整性：方案需结合</w:t>
            </w:r>
            <w:r>
              <w:rPr>
                <w:rFonts w:hint="eastAsia" w:asciiTheme="minorEastAsia" w:hAnsiTheme="minorEastAsia" w:cstheme="minorEastAsia"/>
                <w:color w:val="auto"/>
                <w:kern w:val="0"/>
                <w:sz w:val="21"/>
                <w:szCs w:val="21"/>
                <w:lang w:val="en-US" w:eastAsia="zh-CN" w:bidi="ar"/>
              </w:rPr>
              <w:t>采购项目</w:t>
            </w:r>
            <w:r>
              <w:rPr>
                <w:rFonts w:hint="eastAsia" w:asciiTheme="minorEastAsia" w:hAnsiTheme="minorEastAsia" w:eastAsiaTheme="minorEastAsia" w:cstheme="minorEastAsia"/>
                <w:color w:val="auto"/>
                <w:kern w:val="0"/>
                <w:sz w:val="21"/>
                <w:szCs w:val="21"/>
                <w:lang w:val="en-US" w:eastAsia="zh-CN" w:bidi="ar"/>
              </w:rPr>
              <w:t>整体</w:t>
            </w:r>
            <w:r>
              <w:rPr>
                <w:rFonts w:hint="eastAsia" w:asciiTheme="minorEastAsia" w:hAnsiTheme="minorEastAsia" w:cstheme="minorEastAsia"/>
                <w:color w:val="auto"/>
                <w:kern w:val="0"/>
                <w:sz w:val="21"/>
                <w:szCs w:val="21"/>
                <w:lang w:val="en-US" w:eastAsia="zh-CN" w:bidi="ar"/>
              </w:rPr>
              <w:t>流程</w:t>
            </w:r>
            <w:r>
              <w:rPr>
                <w:rFonts w:hint="eastAsia" w:asciiTheme="minorEastAsia" w:hAnsiTheme="minorEastAsia" w:eastAsiaTheme="minorEastAsia" w:cstheme="minorEastAsia"/>
                <w:color w:val="auto"/>
                <w:kern w:val="0"/>
                <w:sz w:val="21"/>
                <w:szCs w:val="21"/>
                <w:lang w:val="en-US" w:eastAsia="zh-CN" w:bidi="ar"/>
              </w:rPr>
              <w:t>，进行全方面的阐述，不得存在阐述缺项；</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合理性：方案需依据项目要求</w:t>
            </w:r>
            <w:r>
              <w:rPr>
                <w:rFonts w:hint="eastAsia" w:asciiTheme="minorEastAsia" w:hAnsiTheme="minorEastAsia" w:cstheme="minorEastAsia"/>
                <w:color w:val="auto"/>
                <w:kern w:val="0"/>
                <w:sz w:val="21"/>
                <w:szCs w:val="21"/>
                <w:lang w:val="en-US" w:eastAsia="zh-CN" w:bidi="ar"/>
              </w:rPr>
              <w:t>及</w:t>
            </w:r>
            <w:r>
              <w:rPr>
                <w:rFonts w:hint="eastAsia" w:asciiTheme="minorEastAsia" w:hAnsiTheme="minorEastAsia" w:eastAsiaTheme="minorEastAsia" w:cstheme="minorEastAsia"/>
                <w:color w:val="auto"/>
                <w:kern w:val="0"/>
                <w:sz w:val="21"/>
                <w:szCs w:val="21"/>
                <w:lang w:val="en-US" w:eastAsia="zh-CN" w:bidi="ar"/>
              </w:rPr>
              <w:t>相关标准规范，要求方案合理可落地；</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针对性：方案需对以上内容进行充分响应，不得提供与本评标项无关内容；（缺陷是指:存在不适用该项目实际情况的情形、凭空编造、内容前后不一致、前后逻辑错误、涉及的规范及标准错误、地点区域错误、内容缺失、不符合</w:t>
            </w:r>
            <w:r>
              <w:rPr>
                <w:rFonts w:hint="eastAsia" w:asciiTheme="minorEastAsia" w:hAnsiTheme="minorEastAsia" w:cstheme="minorEastAsia"/>
                <w:color w:val="auto"/>
                <w:kern w:val="0"/>
                <w:sz w:val="21"/>
                <w:szCs w:val="21"/>
                <w:lang w:val="en-US" w:eastAsia="zh-CN" w:bidi="ar"/>
              </w:rPr>
              <w:t>项目</w:t>
            </w:r>
            <w:r>
              <w:rPr>
                <w:rFonts w:hint="eastAsia" w:asciiTheme="minorEastAsia" w:hAnsiTheme="minorEastAsia" w:eastAsiaTheme="minorEastAsia" w:cstheme="minorEastAsia"/>
                <w:color w:val="auto"/>
                <w:kern w:val="0"/>
                <w:sz w:val="21"/>
                <w:szCs w:val="21"/>
                <w:lang w:val="en-US" w:eastAsia="zh-CN" w:bidi="ar"/>
              </w:rPr>
              <w:t>需求的任意一项）</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25</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default"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5</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服务承诺</w:t>
            </w: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5.1</w:t>
            </w:r>
            <w:r>
              <w:rPr>
                <w:rFonts w:hint="eastAsia" w:asciiTheme="minorEastAsia" w:hAnsiTheme="minorEastAsia" w:eastAsiaTheme="minorEastAsia" w:cstheme="minorEastAsia"/>
                <w:color w:val="auto"/>
                <w:kern w:val="0"/>
                <w:sz w:val="21"/>
                <w:szCs w:val="21"/>
                <w:lang w:val="en-US" w:eastAsia="zh-CN" w:bidi="ar"/>
              </w:rPr>
              <w:t>代理机构针对本系统代理服务内容和要求编制服务承诺，包括</w:t>
            </w:r>
            <w:r>
              <w:rPr>
                <w:rFonts w:hint="eastAsia"/>
                <w:color w:val="auto"/>
                <w:sz w:val="21"/>
                <w:szCs w:val="21"/>
                <w:lang w:val="en-US" w:eastAsia="zh-CN"/>
              </w:rPr>
              <w:t>①</w:t>
            </w:r>
            <w:r>
              <w:rPr>
                <w:rFonts w:hint="eastAsia" w:asciiTheme="minorEastAsia" w:hAnsiTheme="minorEastAsia" w:eastAsiaTheme="minorEastAsia" w:cstheme="minorEastAsia"/>
                <w:color w:val="auto"/>
                <w:kern w:val="0"/>
                <w:sz w:val="21"/>
                <w:szCs w:val="21"/>
                <w:lang w:val="en-US" w:eastAsia="zh-CN" w:bidi="ar"/>
              </w:rPr>
              <w:t>落实政府采购政策承诺</w:t>
            </w:r>
            <w:r>
              <w:rPr>
                <w:rFonts w:hint="eastAsia" w:asciiTheme="minorEastAsia" w:hAnsiTheme="minorEastAsia" w:cstheme="minorEastAsia"/>
                <w:color w:val="auto"/>
                <w:kern w:val="0"/>
                <w:sz w:val="21"/>
                <w:szCs w:val="21"/>
                <w:lang w:val="en-US" w:eastAsia="zh-CN" w:bidi="ar"/>
              </w:rPr>
              <w:t>、</w:t>
            </w:r>
            <w:r>
              <w:rPr>
                <w:rFonts w:hint="eastAsia"/>
                <w:color w:val="auto"/>
                <w:sz w:val="21"/>
                <w:szCs w:val="21"/>
                <w:lang w:val="en-US" w:eastAsia="zh-CN"/>
              </w:rPr>
              <w:t>②</w:t>
            </w:r>
            <w:r>
              <w:rPr>
                <w:rFonts w:hint="eastAsia" w:asciiTheme="minorEastAsia" w:hAnsiTheme="minorEastAsia" w:eastAsiaTheme="minorEastAsia" w:cstheme="minorEastAsia"/>
                <w:color w:val="auto"/>
                <w:kern w:val="0"/>
                <w:sz w:val="21"/>
                <w:szCs w:val="21"/>
                <w:lang w:val="en-US" w:eastAsia="zh-CN" w:bidi="ar"/>
              </w:rPr>
              <w:t>执行税务系统政府采购相关规定的承诺</w:t>
            </w:r>
            <w:r>
              <w:rPr>
                <w:rFonts w:hint="eastAsia" w:asciiTheme="minorEastAsia" w:hAnsiTheme="minorEastAsia" w:cstheme="minorEastAsia"/>
                <w:color w:val="auto"/>
                <w:kern w:val="0"/>
                <w:sz w:val="21"/>
                <w:szCs w:val="21"/>
                <w:lang w:val="en-US" w:eastAsia="zh-CN" w:bidi="ar"/>
              </w:rPr>
              <w:t>、</w:t>
            </w:r>
            <w:r>
              <w:rPr>
                <w:rFonts w:hint="eastAsia"/>
                <w:color w:val="auto"/>
                <w:sz w:val="21"/>
                <w:szCs w:val="21"/>
                <w:lang w:val="en-US" w:eastAsia="zh-CN"/>
              </w:rPr>
              <w:t>③</w:t>
            </w:r>
            <w:r>
              <w:rPr>
                <w:rFonts w:hint="eastAsia" w:asciiTheme="minorEastAsia" w:hAnsiTheme="minorEastAsia" w:eastAsiaTheme="minorEastAsia" w:cstheme="minorEastAsia"/>
                <w:color w:val="auto"/>
                <w:kern w:val="0"/>
                <w:sz w:val="21"/>
                <w:szCs w:val="21"/>
                <w:lang w:val="en-US" w:eastAsia="zh-CN" w:bidi="ar"/>
              </w:rPr>
              <w:t>廉洁自律、遵纪守法方面的承诺、</w:t>
            </w:r>
            <w:r>
              <w:rPr>
                <w:rFonts w:hint="eastAsia"/>
                <w:color w:val="auto"/>
                <w:sz w:val="21"/>
                <w:szCs w:val="21"/>
                <w:lang w:val="en-US" w:eastAsia="zh-CN"/>
              </w:rPr>
              <w:t>④</w:t>
            </w:r>
            <w:r>
              <w:rPr>
                <w:rFonts w:hint="eastAsia" w:asciiTheme="minorEastAsia" w:hAnsiTheme="minorEastAsia" w:eastAsiaTheme="minorEastAsia" w:cstheme="minorEastAsia"/>
                <w:color w:val="auto"/>
                <w:kern w:val="0"/>
                <w:sz w:val="21"/>
                <w:szCs w:val="21"/>
                <w:lang w:val="en-US" w:eastAsia="zh-CN" w:bidi="ar"/>
              </w:rPr>
              <w:t>评审过程及内容保密方面的承诺，上述4项内容最高得</w:t>
            </w:r>
            <w:r>
              <w:rPr>
                <w:rFonts w:hint="eastAsia" w:asciiTheme="minorEastAsia" w:hAnsiTheme="minorEastAsia" w:cstheme="minorEastAsia"/>
                <w:color w:val="auto"/>
                <w:kern w:val="0"/>
                <w:sz w:val="21"/>
                <w:szCs w:val="21"/>
                <w:lang w:val="en-US" w:eastAsia="zh-CN" w:bidi="ar"/>
              </w:rPr>
              <w:t>16</w:t>
            </w:r>
            <w:r>
              <w:rPr>
                <w:rFonts w:hint="eastAsia" w:asciiTheme="minorEastAsia" w:hAnsiTheme="minorEastAsia" w:eastAsiaTheme="minorEastAsia" w:cstheme="minorEastAsia"/>
                <w:color w:val="auto"/>
                <w:kern w:val="0"/>
                <w:sz w:val="21"/>
                <w:szCs w:val="21"/>
                <w:lang w:val="en-US" w:eastAsia="zh-CN" w:bidi="ar"/>
              </w:rPr>
              <w:t>分。每一项承诺描述清晰、详尽具体，具有可行性、合理性的得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分；有承诺但描述不清晰的得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分；承诺与本项目无关或未提供承诺的则不得分。</w:t>
            </w:r>
          </w:p>
        </w:tc>
        <w:tc>
          <w:tcPr>
            <w:tcW w:w="1238" w:type="dxa"/>
            <w:vAlign w:val="center"/>
          </w:tcPr>
          <w:p>
            <w:pPr>
              <w:keepNext w:val="0"/>
              <w:keepLines w:val="0"/>
              <w:widowControl/>
              <w:suppressLineNumbers w:val="0"/>
              <w:jc w:val="center"/>
              <w:rPr>
                <w:rFonts w:hint="default" w:asciiTheme="minorEastAsia" w:hAnsi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16</w:t>
            </w:r>
          </w:p>
        </w:tc>
      </w:tr>
    </w:tbl>
    <w:p>
      <w:pPr>
        <w:keepNext w:val="0"/>
        <w:keepLines w:val="0"/>
        <w:widowControl/>
        <w:suppressLineNumbers w:val="0"/>
        <w:jc w:val="left"/>
        <w:rPr>
          <w:rFonts w:hint="eastAsia" w:ascii="微软雅黑" w:hAnsi="微软雅黑" w:eastAsia="微软雅黑" w:cs="微软雅黑"/>
          <w:color w:val="333333"/>
          <w:kern w:val="0"/>
          <w:sz w:val="19"/>
          <w:szCs w:val="19"/>
          <w:lang w:val="en-US" w:eastAsia="zh-CN" w:bidi="ar"/>
        </w:rPr>
      </w:pPr>
    </w:p>
    <w:p>
      <w:pPr>
        <w:keepNext w:val="0"/>
        <w:keepLines w:val="0"/>
        <w:widowControl/>
        <w:suppressLineNumbers w:val="0"/>
        <w:jc w:val="left"/>
        <w:rPr>
          <w:rFonts w:hint="eastAsia" w:ascii="微软雅黑" w:hAnsi="微软雅黑" w:eastAsia="微软雅黑" w:cs="微软雅黑"/>
          <w:color w:val="333333"/>
          <w:kern w:val="0"/>
          <w:sz w:val="19"/>
          <w:szCs w:val="19"/>
          <w:lang w:val="en-US" w:eastAsia="zh-CN" w:bidi="ar"/>
        </w:rPr>
      </w:pPr>
    </w:p>
    <w:p>
      <w:pPr>
        <w:ind w:left="420" w:leftChars="0" w:firstLine="42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97313"/>
    <w:multiLevelType w:val="singleLevel"/>
    <w:tmpl w:val="34A97313"/>
    <w:lvl w:ilvl="0" w:tentative="0">
      <w:start w:val="1"/>
      <w:numFmt w:val="chineseCounting"/>
      <w:suff w:val="nothing"/>
      <w:lvlText w:val="（%1）"/>
      <w:lvlJc w:val="left"/>
      <w:rPr>
        <w:rFonts w:hint="eastAsia"/>
      </w:rPr>
    </w:lvl>
  </w:abstractNum>
  <w:abstractNum w:abstractNumId="1">
    <w:nsid w:val="3F738195"/>
    <w:multiLevelType w:val="singleLevel"/>
    <w:tmpl w:val="3F73819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WJiNzE5YTIyOGM0MTI2ZTc3YzAyNjI4MTlkMWIifQ=="/>
  </w:docVars>
  <w:rsids>
    <w:rsidRoot w:val="1E6D0777"/>
    <w:rsid w:val="05F730E0"/>
    <w:rsid w:val="090A1BE6"/>
    <w:rsid w:val="0C0C61CB"/>
    <w:rsid w:val="0DF802D1"/>
    <w:rsid w:val="14E04414"/>
    <w:rsid w:val="1E6D0777"/>
    <w:rsid w:val="255430D4"/>
    <w:rsid w:val="267E014C"/>
    <w:rsid w:val="3D033C3B"/>
    <w:rsid w:val="40361679"/>
    <w:rsid w:val="4BC55463"/>
    <w:rsid w:val="4EE63211"/>
    <w:rsid w:val="4FD57F21"/>
    <w:rsid w:val="5BBB066F"/>
    <w:rsid w:val="5E0968E1"/>
    <w:rsid w:val="61041039"/>
    <w:rsid w:val="7A4F7F95"/>
    <w:rsid w:val="7E10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2025-10-28T02:46:00Z</dcterms:created>
  <dc:creator>末末</dc:creator>
  <cp:lastModifiedBy>周宏伟</cp:lastModifiedBy>
  <cp:lastPrinted>2025-11-13T01:37:00Z</cp:lastPrinted>
  <dcterms:modified xsi:type="dcterms:W3CDTF">2025-11-17T09:20:37Z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7A314C49F36F4F0B94599E7FB30432B8_11</vt:lpwstr>
  </property>
</Properties>
</file>