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autoSpaceDE w:val="0"/>
        <w:autoSpaceDN w:val="0"/>
        <w:jc w:val="center"/>
        <w:rPr>
          <w:rFonts w:cs="宋体"/>
          <w:b/>
          <w:sz w:val="32"/>
          <w:szCs w:val="32"/>
          <w:highlight w:val="none"/>
        </w:rPr>
      </w:pPr>
    </w:p>
    <w:p>
      <w:pPr>
        <w:pStyle w:val="11"/>
        <w:rPr>
          <w:rFonts w:cs="宋体"/>
          <w:b/>
          <w:sz w:val="32"/>
          <w:szCs w:val="32"/>
          <w:highlight w:val="none"/>
        </w:rPr>
      </w:pPr>
    </w:p>
    <w:p>
      <w:pPr>
        <w:rPr>
          <w:rFonts w:cs="宋体"/>
          <w:highlight w:val="none"/>
        </w:rPr>
      </w:pPr>
    </w:p>
    <w:p>
      <w:pPr>
        <w:topLinePunct/>
        <w:autoSpaceDE w:val="0"/>
        <w:autoSpaceDN w:val="0"/>
        <w:jc w:val="center"/>
        <w:rPr>
          <w:rFonts w:cs="宋体"/>
          <w:b/>
          <w:sz w:val="84"/>
          <w:szCs w:val="84"/>
          <w:highlight w:val="none"/>
        </w:rPr>
      </w:pPr>
      <w:r>
        <w:rPr>
          <w:rFonts w:hint="eastAsia" w:cs="宋体"/>
          <w:b/>
          <w:sz w:val="84"/>
          <w:szCs w:val="84"/>
          <w:highlight w:val="none"/>
        </w:rPr>
        <w:t>招标文件</w:t>
      </w:r>
    </w:p>
    <w:p>
      <w:pPr>
        <w:rPr>
          <w:highlight w:val="none"/>
        </w:rPr>
      </w:pPr>
    </w:p>
    <w:p>
      <w:pPr>
        <w:topLinePunct/>
        <w:autoSpaceDE w:val="0"/>
        <w:autoSpaceDN w:val="0"/>
        <w:spacing w:line="60" w:lineRule="exact"/>
        <w:jc w:val="center"/>
        <w:rPr>
          <w:rFonts w:cs="宋体"/>
          <w:bCs/>
          <w:sz w:val="32"/>
          <w:szCs w:val="32"/>
          <w:highlight w:val="none"/>
        </w:rPr>
      </w:pPr>
    </w:p>
    <w:p>
      <w:pPr>
        <w:topLinePunct/>
        <w:autoSpaceDE w:val="0"/>
        <w:autoSpaceDN w:val="0"/>
        <w:snapToGrid w:val="0"/>
        <w:jc w:val="center"/>
        <w:rPr>
          <w:rFonts w:cs="宋体"/>
          <w:bCs/>
          <w:sz w:val="32"/>
          <w:szCs w:val="32"/>
          <w:highlight w:val="none"/>
        </w:rPr>
      </w:pPr>
      <w:r>
        <w:rPr>
          <w:rFonts w:hint="eastAsia" w:cs="宋体"/>
          <w:bCs/>
          <w:sz w:val="32"/>
          <w:szCs w:val="32"/>
          <w:highlight w:val="none"/>
        </w:rPr>
        <w:t>（商务部分）</w:t>
      </w:r>
    </w:p>
    <w:p>
      <w:pPr>
        <w:topLinePunct/>
        <w:autoSpaceDE w:val="0"/>
        <w:autoSpaceDN w:val="0"/>
        <w:snapToGrid w:val="0"/>
        <w:rPr>
          <w:rFonts w:cs="宋体"/>
          <w:bCs/>
          <w:sz w:val="32"/>
          <w:szCs w:val="32"/>
          <w:highlight w:val="none"/>
        </w:rPr>
      </w:pPr>
    </w:p>
    <w:p>
      <w:pPr>
        <w:jc w:val="center"/>
        <w:rPr>
          <w:rFonts w:cs="宋体"/>
          <w:highlight w:val="none"/>
        </w:rPr>
      </w:pPr>
    </w:p>
    <w:p>
      <w:pPr>
        <w:pStyle w:val="13"/>
        <w:snapToGrid w:val="0"/>
        <w:spacing w:line="480" w:lineRule="auto"/>
        <w:ind w:left="2760" w:leftChars="400" w:right="-1061" w:rightChars="-442" w:hanging="1800" w:hangingChars="643"/>
        <w:rPr>
          <w:rFonts w:hAnsi="宋体" w:cs="宋体"/>
          <w:sz w:val="28"/>
          <w:szCs w:val="28"/>
          <w:highlight w:val="none"/>
        </w:rPr>
      </w:pPr>
      <w:r>
        <w:rPr>
          <w:rFonts w:hint="eastAsia" w:hAnsi="宋体" w:cs="宋体"/>
          <w:sz w:val="28"/>
          <w:szCs w:val="28"/>
          <w:highlight w:val="none"/>
        </w:rPr>
        <w:t>项目名称：国家税务总局十堰市税务局2025年度食堂餐饮服务项目</w:t>
      </w:r>
    </w:p>
    <w:p>
      <w:pPr>
        <w:pStyle w:val="13"/>
        <w:snapToGrid w:val="0"/>
        <w:spacing w:line="480" w:lineRule="auto"/>
        <w:ind w:left="2760" w:leftChars="400" w:right="-1061" w:rightChars="-442" w:hanging="1800" w:hangingChars="643"/>
        <w:rPr>
          <w:rFonts w:hAnsi="宋体" w:cs="宋体"/>
          <w:sz w:val="28"/>
          <w:szCs w:val="28"/>
          <w:highlight w:val="none"/>
        </w:rPr>
      </w:pPr>
      <w:r>
        <w:rPr>
          <w:rFonts w:hint="eastAsia" w:hAnsi="宋体" w:cs="宋体"/>
          <w:sz w:val="28"/>
          <w:szCs w:val="28"/>
          <w:highlight w:val="none"/>
        </w:rPr>
        <w:t>项目编号：HB2025-DLGK-C0080-B00</w:t>
      </w:r>
    </w:p>
    <w:p>
      <w:pPr>
        <w:pStyle w:val="13"/>
        <w:snapToGrid w:val="0"/>
        <w:spacing w:line="480" w:lineRule="auto"/>
        <w:ind w:left="2760" w:leftChars="400" w:right="-1061" w:rightChars="-442" w:hanging="1800" w:hangingChars="643"/>
        <w:rPr>
          <w:rFonts w:hAnsi="宋体" w:cs="宋体"/>
          <w:sz w:val="28"/>
          <w:szCs w:val="28"/>
          <w:highlight w:val="none"/>
        </w:rPr>
      </w:pPr>
      <w:bookmarkStart w:id="0" w:name="_Toc13952"/>
      <w:r>
        <w:rPr>
          <w:rFonts w:hint="eastAsia" w:hAnsi="宋体" w:cs="宋体"/>
          <w:sz w:val="28"/>
          <w:szCs w:val="28"/>
          <w:highlight w:val="none"/>
        </w:rPr>
        <w:t>采购人：</w:t>
      </w:r>
      <w:bookmarkEnd w:id="0"/>
      <w:r>
        <w:rPr>
          <w:rFonts w:hint="eastAsia" w:hAnsi="宋体" w:cs="宋体"/>
          <w:sz w:val="28"/>
          <w:szCs w:val="28"/>
          <w:highlight w:val="none"/>
        </w:rPr>
        <w:t>国家税务总局十堰市税务局</w:t>
      </w:r>
    </w:p>
    <w:p>
      <w:pPr>
        <w:pStyle w:val="13"/>
        <w:snapToGrid w:val="0"/>
        <w:spacing w:line="480" w:lineRule="auto"/>
        <w:ind w:left="2760" w:leftChars="400" w:right="-1061" w:rightChars="-442" w:hanging="1800" w:hangingChars="643"/>
        <w:rPr>
          <w:rFonts w:hAnsi="宋体" w:cs="宋体"/>
          <w:sz w:val="28"/>
          <w:szCs w:val="28"/>
          <w:highlight w:val="none"/>
        </w:rPr>
      </w:pPr>
      <w:r>
        <w:rPr>
          <w:rFonts w:hint="eastAsia" w:hAnsi="宋体" w:cs="宋体"/>
          <w:sz w:val="28"/>
          <w:szCs w:val="28"/>
          <w:highlight w:val="none"/>
        </w:rPr>
        <w:t>采购代理机构：湖北普华工程咨询有限公司</w:t>
      </w:r>
    </w:p>
    <w:p>
      <w:pPr>
        <w:pStyle w:val="13"/>
        <w:ind w:left="2823" w:leftChars="600" w:right="-1061" w:rightChars="-442" w:hanging="1383" w:hangingChars="494"/>
        <w:rPr>
          <w:rFonts w:hAnsi="宋体" w:cs="宋体"/>
          <w:sz w:val="28"/>
          <w:szCs w:val="28"/>
          <w:highlight w:val="none"/>
        </w:rPr>
      </w:pPr>
    </w:p>
    <w:p>
      <w:pPr>
        <w:pStyle w:val="13"/>
        <w:ind w:left="2823" w:leftChars="600" w:right="-1061" w:rightChars="-442" w:hanging="1383" w:hangingChars="494"/>
        <w:rPr>
          <w:rFonts w:hAnsi="宋体" w:cs="宋体"/>
          <w:sz w:val="28"/>
          <w:szCs w:val="28"/>
          <w:highlight w:val="none"/>
        </w:rPr>
      </w:pPr>
    </w:p>
    <w:p>
      <w:pPr>
        <w:pStyle w:val="13"/>
        <w:ind w:left="2823" w:leftChars="600" w:right="-1061" w:rightChars="-442" w:hanging="1383" w:hangingChars="494"/>
        <w:rPr>
          <w:rFonts w:hAnsi="宋体" w:cs="宋体"/>
          <w:sz w:val="28"/>
          <w:szCs w:val="28"/>
          <w:highlight w:val="none"/>
        </w:rPr>
      </w:pPr>
    </w:p>
    <w:p>
      <w:pPr>
        <w:topLinePunct/>
        <w:autoSpaceDE w:val="0"/>
        <w:autoSpaceDN w:val="0"/>
        <w:spacing w:line="460" w:lineRule="exact"/>
        <w:rPr>
          <w:rFonts w:cs="宋体"/>
          <w:highlight w:val="none"/>
        </w:rPr>
      </w:pPr>
    </w:p>
    <w:p>
      <w:pPr>
        <w:topLinePunct/>
        <w:autoSpaceDE w:val="0"/>
        <w:autoSpaceDN w:val="0"/>
        <w:spacing w:line="460" w:lineRule="exact"/>
        <w:jc w:val="center"/>
        <w:rPr>
          <w:rFonts w:cs="宋体"/>
          <w:highlight w:val="none"/>
        </w:rPr>
      </w:pPr>
      <w:r>
        <w:rPr>
          <w:rFonts w:hint="eastAsia" w:cs="宋体"/>
          <w:sz w:val="28"/>
          <w:szCs w:val="28"/>
          <w:highlight w:val="none"/>
        </w:rPr>
        <w:t>国家税务总局十堰市税务局</w:t>
      </w:r>
    </w:p>
    <w:p>
      <w:pPr>
        <w:topLinePunct/>
        <w:autoSpaceDE w:val="0"/>
        <w:autoSpaceDN w:val="0"/>
        <w:spacing w:line="160" w:lineRule="exact"/>
        <w:jc w:val="center"/>
        <w:rPr>
          <w:rFonts w:cs="宋体"/>
          <w:highlight w:val="none"/>
        </w:rPr>
      </w:pPr>
    </w:p>
    <w:p>
      <w:pPr>
        <w:topLinePunct/>
        <w:autoSpaceDE w:val="0"/>
        <w:autoSpaceDN w:val="0"/>
        <w:spacing w:line="460" w:lineRule="exact"/>
        <w:jc w:val="center"/>
        <w:rPr>
          <w:rFonts w:cs="宋体"/>
          <w:highlight w:val="none"/>
        </w:rPr>
      </w:pPr>
      <w:r>
        <w:rPr>
          <w:rFonts w:hint="eastAsia" w:cs="宋体"/>
          <w:sz w:val="28"/>
          <w:szCs w:val="28"/>
          <w:highlight w:val="none"/>
        </w:rPr>
        <w:t>2025年7月</w:t>
      </w:r>
    </w:p>
    <w:p>
      <w:pPr>
        <w:rPr>
          <w:rFonts w:cs="宋体"/>
          <w:sz w:val="32"/>
          <w:szCs w:val="32"/>
          <w:highlight w:val="none"/>
        </w:rPr>
      </w:pPr>
    </w:p>
    <w:p>
      <w:pPr>
        <w:rPr>
          <w:rFonts w:cs="宋体"/>
          <w:sz w:val="32"/>
          <w:szCs w:val="32"/>
          <w:highlight w:val="none"/>
        </w:rPr>
        <w:sectPr>
          <w:footerReference r:id="rId3" w:type="default"/>
          <w:pgSz w:w="11906" w:h="16838"/>
          <w:pgMar w:top="1440" w:right="1752" w:bottom="1440" w:left="1752" w:header="851" w:footer="992" w:gutter="0"/>
          <w:cols w:space="720" w:num="1"/>
          <w:docGrid w:type="lines" w:linePitch="312" w:charSpace="0"/>
        </w:sectPr>
      </w:pPr>
    </w:p>
    <w:p>
      <w:pPr>
        <w:snapToGrid w:val="0"/>
        <w:spacing w:line="480" w:lineRule="auto"/>
        <w:jc w:val="center"/>
        <w:rPr>
          <w:rFonts w:cs="宋体"/>
          <w:b/>
          <w:bCs/>
          <w:sz w:val="32"/>
          <w:szCs w:val="32"/>
          <w:highlight w:val="none"/>
        </w:rPr>
      </w:pPr>
      <w:r>
        <w:rPr>
          <w:rFonts w:hint="eastAsia" w:cs="宋体"/>
          <w:b/>
          <w:bCs/>
          <w:sz w:val="32"/>
          <w:szCs w:val="32"/>
          <w:highlight w:val="none"/>
        </w:rPr>
        <w:t>商务部分</w:t>
      </w:r>
      <w:r>
        <w:rPr>
          <w:rFonts w:hint="eastAsia" w:cs="宋体"/>
          <w:b/>
          <w:bCs/>
          <w:sz w:val="32"/>
          <w:szCs w:val="32"/>
          <w:highlight w:val="none"/>
          <w:lang w:val="zh-CN"/>
        </w:rPr>
        <w:t>目录</w:t>
      </w:r>
    </w:p>
    <w:p>
      <w:pPr>
        <w:pStyle w:val="16"/>
        <w:tabs>
          <w:tab w:val="right" w:leader="dot" w:pos="8402"/>
        </w:tabs>
        <w:snapToGrid w:val="0"/>
        <w:spacing w:line="480" w:lineRule="auto"/>
        <w:rPr>
          <w:highlight w:val="none"/>
        </w:rPr>
      </w:pPr>
      <w:r>
        <w:rPr>
          <w:rFonts w:hint="eastAsia" w:cs="宋体"/>
          <w:highlight w:val="none"/>
        </w:rPr>
        <w:fldChar w:fldCharType="begin"/>
      </w:r>
      <w:r>
        <w:rPr>
          <w:rFonts w:hint="eastAsia" w:cs="宋体"/>
          <w:highlight w:val="none"/>
        </w:rPr>
        <w:instrText xml:space="preserve"> TOC \o "1-3" \h \z \u </w:instrText>
      </w:r>
      <w:r>
        <w:rPr>
          <w:rFonts w:hint="eastAsia" w:cs="宋体"/>
          <w:highlight w:val="none"/>
        </w:rPr>
        <w:fldChar w:fldCharType="separate"/>
      </w:r>
      <w:r>
        <w:rPr>
          <w:highlight w:val="none"/>
        </w:rPr>
        <w:fldChar w:fldCharType="begin"/>
      </w:r>
      <w:r>
        <w:rPr>
          <w:highlight w:val="none"/>
        </w:rPr>
        <w:instrText xml:space="preserve"> HYPERLINK \l "_Toc2791" </w:instrText>
      </w:r>
      <w:r>
        <w:rPr>
          <w:highlight w:val="none"/>
        </w:rPr>
        <w:fldChar w:fldCharType="separate"/>
      </w:r>
      <w:r>
        <w:rPr>
          <w:rFonts w:hint="eastAsia" w:cs="宋体"/>
          <w:highlight w:val="none"/>
        </w:rPr>
        <w:t>第一部分 商务部分</w:t>
      </w:r>
      <w:r>
        <w:rPr>
          <w:highlight w:val="none"/>
        </w:rPr>
        <w:tab/>
      </w:r>
      <w:r>
        <w:rPr>
          <w:highlight w:val="none"/>
        </w:rPr>
        <w:fldChar w:fldCharType="begin"/>
      </w:r>
      <w:r>
        <w:rPr>
          <w:highlight w:val="none"/>
        </w:rPr>
        <w:instrText xml:space="preserve"> PAGEREF _Toc2791 \h </w:instrText>
      </w:r>
      <w:r>
        <w:rPr>
          <w:highlight w:val="none"/>
        </w:rPr>
        <w:fldChar w:fldCharType="separate"/>
      </w:r>
      <w:r>
        <w:rPr>
          <w:highlight w:val="none"/>
        </w:rPr>
        <w:t>1</w:t>
      </w:r>
      <w:r>
        <w:rPr>
          <w:highlight w:val="none"/>
        </w:rPr>
        <w:fldChar w:fldCharType="end"/>
      </w:r>
      <w:r>
        <w:rPr>
          <w:highlight w:val="none"/>
        </w:rPr>
        <w:fldChar w:fldCharType="end"/>
      </w:r>
    </w:p>
    <w:p>
      <w:pPr>
        <w:pStyle w:val="17"/>
        <w:tabs>
          <w:tab w:val="right" w:leader="dot" w:pos="8402"/>
        </w:tabs>
        <w:snapToGrid w:val="0"/>
        <w:spacing w:line="480" w:lineRule="auto"/>
        <w:ind w:left="480"/>
        <w:rPr>
          <w:highlight w:val="none"/>
        </w:rPr>
      </w:pPr>
      <w:r>
        <w:rPr>
          <w:highlight w:val="none"/>
        </w:rPr>
        <w:fldChar w:fldCharType="begin"/>
      </w:r>
      <w:r>
        <w:rPr>
          <w:highlight w:val="none"/>
        </w:rPr>
        <w:instrText xml:space="preserve"> HYPERLINK \l "_Toc12049" </w:instrText>
      </w:r>
      <w:r>
        <w:rPr>
          <w:highlight w:val="none"/>
        </w:rPr>
        <w:fldChar w:fldCharType="separate"/>
      </w:r>
      <w:r>
        <w:rPr>
          <w:rFonts w:hint="eastAsia" w:cs="宋体"/>
          <w:bCs/>
          <w:highlight w:val="none"/>
        </w:rPr>
        <w:t>第一章投标邀请</w:t>
      </w:r>
      <w:r>
        <w:rPr>
          <w:highlight w:val="none"/>
        </w:rPr>
        <w:tab/>
      </w:r>
      <w:r>
        <w:rPr>
          <w:highlight w:val="none"/>
        </w:rPr>
        <w:fldChar w:fldCharType="begin"/>
      </w:r>
      <w:r>
        <w:rPr>
          <w:highlight w:val="none"/>
        </w:rPr>
        <w:instrText xml:space="preserve"> PAGEREF _Toc12049 \h </w:instrText>
      </w:r>
      <w:r>
        <w:rPr>
          <w:highlight w:val="none"/>
        </w:rPr>
        <w:fldChar w:fldCharType="separate"/>
      </w:r>
      <w:r>
        <w:rPr>
          <w:highlight w:val="none"/>
        </w:rPr>
        <w:t>1</w:t>
      </w:r>
      <w:r>
        <w:rPr>
          <w:highlight w:val="none"/>
        </w:rPr>
        <w:fldChar w:fldCharType="end"/>
      </w:r>
      <w:r>
        <w:rPr>
          <w:highlight w:val="none"/>
        </w:rPr>
        <w:fldChar w:fldCharType="end"/>
      </w:r>
    </w:p>
    <w:p>
      <w:pPr>
        <w:pStyle w:val="17"/>
        <w:tabs>
          <w:tab w:val="right" w:leader="dot" w:pos="8402"/>
        </w:tabs>
        <w:snapToGrid w:val="0"/>
        <w:spacing w:line="480" w:lineRule="auto"/>
        <w:ind w:left="480"/>
        <w:rPr>
          <w:highlight w:val="none"/>
        </w:rPr>
      </w:pPr>
      <w:r>
        <w:rPr>
          <w:highlight w:val="none"/>
        </w:rPr>
        <w:fldChar w:fldCharType="begin"/>
      </w:r>
      <w:r>
        <w:rPr>
          <w:highlight w:val="none"/>
        </w:rPr>
        <w:instrText xml:space="preserve"> HYPERLINK \l "_Toc191" </w:instrText>
      </w:r>
      <w:r>
        <w:rPr>
          <w:highlight w:val="none"/>
        </w:rPr>
        <w:fldChar w:fldCharType="separate"/>
      </w:r>
      <w:r>
        <w:rPr>
          <w:rFonts w:hint="eastAsia" w:cs="宋体"/>
          <w:bCs/>
          <w:highlight w:val="none"/>
        </w:rPr>
        <w:t>第二章投标人须知</w:t>
      </w:r>
      <w:r>
        <w:rPr>
          <w:highlight w:val="none"/>
        </w:rPr>
        <w:tab/>
      </w:r>
      <w:r>
        <w:rPr>
          <w:highlight w:val="none"/>
        </w:rPr>
        <w:fldChar w:fldCharType="begin"/>
      </w:r>
      <w:r>
        <w:rPr>
          <w:highlight w:val="none"/>
        </w:rPr>
        <w:instrText xml:space="preserve"> PAGEREF _Toc191 \h </w:instrText>
      </w:r>
      <w:r>
        <w:rPr>
          <w:highlight w:val="none"/>
        </w:rPr>
        <w:fldChar w:fldCharType="separate"/>
      </w:r>
      <w:r>
        <w:rPr>
          <w:highlight w:val="none"/>
        </w:rPr>
        <w:t>4</w:t>
      </w:r>
      <w:r>
        <w:rPr>
          <w:highlight w:val="none"/>
        </w:rPr>
        <w:fldChar w:fldCharType="end"/>
      </w:r>
      <w:r>
        <w:rPr>
          <w:highlight w:val="none"/>
        </w:rPr>
        <w:fldChar w:fldCharType="end"/>
      </w:r>
    </w:p>
    <w:p>
      <w:pPr>
        <w:pStyle w:val="17"/>
        <w:tabs>
          <w:tab w:val="right" w:leader="dot" w:pos="8402"/>
        </w:tabs>
        <w:snapToGrid w:val="0"/>
        <w:spacing w:line="480" w:lineRule="auto"/>
        <w:ind w:left="480"/>
        <w:rPr>
          <w:highlight w:val="none"/>
        </w:rPr>
      </w:pPr>
      <w:r>
        <w:rPr>
          <w:highlight w:val="none"/>
        </w:rPr>
        <w:fldChar w:fldCharType="begin"/>
      </w:r>
      <w:r>
        <w:rPr>
          <w:highlight w:val="none"/>
        </w:rPr>
        <w:instrText xml:space="preserve"> HYPERLINK \l "_Toc16998" </w:instrText>
      </w:r>
      <w:r>
        <w:rPr>
          <w:highlight w:val="none"/>
        </w:rPr>
        <w:fldChar w:fldCharType="separate"/>
      </w:r>
      <w:r>
        <w:rPr>
          <w:rFonts w:hint="eastAsia" w:cs="宋体"/>
          <w:bCs/>
          <w:highlight w:val="none"/>
        </w:rPr>
        <w:t>第三章评标方法及标准</w:t>
      </w:r>
      <w:r>
        <w:rPr>
          <w:highlight w:val="none"/>
        </w:rPr>
        <w:tab/>
      </w:r>
      <w:r>
        <w:rPr>
          <w:highlight w:val="none"/>
        </w:rPr>
        <w:fldChar w:fldCharType="begin"/>
      </w:r>
      <w:r>
        <w:rPr>
          <w:highlight w:val="none"/>
        </w:rPr>
        <w:instrText xml:space="preserve"> PAGEREF _Toc16998 \h </w:instrText>
      </w:r>
      <w:r>
        <w:rPr>
          <w:highlight w:val="none"/>
        </w:rPr>
        <w:fldChar w:fldCharType="separate"/>
      </w:r>
      <w:r>
        <w:rPr>
          <w:highlight w:val="none"/>
        </w:rPr>
        <w:t>14</w:t>
      </w:r>
      <w:r>
        <w:rPr>
          <w:highlight w:val="none"/>
        </w:rPr>
        <w:fldChar w:fldCharType="end"/>
      </w:r>
      <w:r>
        <w:rPr>
          <w:highlight w:val="none"/>
        </w:rPr>
        <w:fldChar w:fldCharType="end"/>
      </w:r>
    </w:p>
    <w:p>
      <w:pPr>
        <w:pStyle w:val="17"/>
        <w:tabs>
          <w:tab w:val="right" w:leader="dot" w:pos="8402"/>
        </w:tabs>
        <w:snapToGrid w:val="0"/>
        <w:spacing w:line="480" w:lineRule="auto"/>
        <w:ind w:left="480"/>
        <w:rPr>
          <w:highlight w:val="none"/>
        </w:rPr>
      </w:pPr>
      <w:r>
        <w:rPr>
          <w:highlight w:val="none"/>
        </w:rPr>
        <w:fldChar w:fldCharType="begin"/>
      </w:r>
      <w:r>
        <w:rPr>
          <w:highlight w:val="none"/>
        </w:rPr>
        <w:instrText xml:space="preserve"> HYPERLINK \l "_Toc17872" </w:instrText>
      </w:r>
      <w:r>
        <w:rPr>
          <w:highlight w:val="none"/>
        </w:rPr>
        <w:fldChar w:fldCharType="separate"/>
      </w:r>
      <w:r>
        <w:rPr>
          <w:rFonts w:hint="eastAsia" w:cs="宋体"/>
          <w:bCs/>
          <w:highlight w:val="none"/>
        </w:rPr>
        <w:t>第四章政府采购合同文本</w:t>
      </w:r>
      <w:r>
        <w:rPr>
          <w:highlight w:val="none"/>
        </w:rPr>
        <w:tab/>
      </w:r>
      <w:r>
        <w:rPr>
          <w:highlight w:val="none"/>
        </w:rPr>
        <w:fldChar w:fldCharType="begin"/>
      </w:r>
      <w:r>
        <w:rPr>
          <w:highlight w:val="none"/>
        </w:rPr>
        <w:instrText xml:space="preserve"> PAGEREF _Toc17872 \h </w:instrText>
      </w:r>
      <w:r>
        <w:rPr>
          <w:highlight w:val="none"/>
        </w:rPr>
        <w:fldChar w:fldCharType="separate"/>
      </w:r>
      <w:r>
        <w:rPr>
          <w:highlight w:val="none"/>
        </w:rPr>
        <w:t>38</w:t>
      </w:r>
      <w:r>
        <w:rPr>
          <w:highlight w:val="none"/>
        </w:rPr>
        <w:fldChar w:fldCharType="end"/>
      </w:r>
      <w:r>
        <w:rPr>
          <w:highlight w:val="none"/>
        </w:rPr>
        <w:fldChar w:fldCharType="end"/>
      </w:r>
    </w:p>
    <w:p>
      <w:pPr>
        <w:pStyle w:val="12"/>
        <w:tabs>
          <w:tab w:val="right" w:leader="dot" w:pos="8402"/>
        </w:tabs>
        <w:snapToGrid w:val="0"/>
        <w:spacing w:line="480" w:lineRule="auto"/>
        <w:ind w:left="960"/>
        <w:rPr>
          <w:highlight w:val="none"/>
        </w:rPr>
      </w:pPr>
      <w:r>
        <w:rPr>
          <w:highlight w:val="none"/>
        </w:rPr>
        <w:fldChar w:fldCharType="begin"/>
      </w:r>
      <w:r>
        <w:rPr>
          <w:highlight w:val="none"/>
        </w:rPr>
        <w:instrText xml:space="preserve"> HYPERLINK \l "_Toc23844" </w:instrText>
      </w:r>
      <w:r>
        <w:rPr>
          <w:highlight w:val="none"/>
        </w:rPr>
        <w:fldChar w:fldCharType="separate"/>
      </w:r>
      <w:r>
        <w:rPr>
          <w:rFonts w:hint="eastAsia" w:cs="宋体"/>
          <w:szCs w:val="21"/>
          <w:highlight w:val="none"/>
        </w:rPr>
        <w:t>合同条款前附表</w:t>
      </w:r>
      <w:r>
        <w:rPr>
          <w:highlight w:val="none"/>
        </w:rPr>
        <w:tab/>
      </w:r>
      <w:r>
        <w:rPr>
          <w:highlight w:val="none"/>
        </w:rPr>
        <w:fldChar w:fldCharType="begin"/>
      </w:r>
      <w:r>
        <w:rPr>
          <w:highlight w:val="none"/>
        </w:rPr>
        <w:instrText xml:space="preserve"> PAGEREF _Toc23844 \h </w:instrText>
      </w:r>
      <w:r>
        <w:rPr>
          <w:highlight w:val="none"/>
        </w:rPr>
        <w:fldChar w:fldCharType="separate"/>
      </w:r>
      <w:r>
        <w:rPr>
          <w:highlight w:val="none"/>
        </w:rPr>
        <w:t>39</w:t>
      </w:r>
      <w:r>
        <w:rPr>
          <w:highlight w:val="none"/>
        </w:rPr>
        <w:fldChar w:fldCharType="end"/>
      </w:r>
      <w:r>
        <w:rPr>
          <w:highlight w:val="none"/>
        </w:rPr>
        <w:fldChar w:fldCharType="end"/>
      </w:r>
    </w:p>
    <w:p>
      <w:pPr>
        <w:pStyle w:val="17"/>
        <w:tabs>
          <w:tab w:val="right" w:leader="dot" w:pos="8402"/>
        </w:tabs>
        <w:snapToGrid w:val="0"/>
        <w:spacing w:line="480" w:lineRule="auto"/>
        <w:ind w:left="480"/>
        <w:rPr>
          <w:highlight w:val="none"/>
        </w:rPr>
      </w:pPr>
      <w:r>
        <w:rPr>
          <w:highlight w:val="none"/>
        </w:rPr>
        <w:fldChar w:fldCharType="begin"/>
      </w:r>
      <w:r>
        <w:rPr>
          <w:highlight w:val="none"/>
        </w:rPr>
        <w:instrText xml:space="preserve"> HYPERLINK \l "_Toc26733" </w:instrText>
      </w:r>
      <w:r>
        <w:rPr>
          <w:highlight w:val="none"/>
        </w:rPr>
        <w:fldChar w:fldCharType="separate"/>
      </w:r>
      <w:r>
        <w:rPr>
          <w:rFonts w:hint="eastAsia" w:cs="宋体"/>
          <w:bCs/>
          <w:highlight w:val="none"/>
        </w:rPr>
        <w:t>第五章投标文件格式</w:t>
      </w:r>
      <w:r>
        <w:rPr>
          <w:highlight w:val="none"/>
        </w:rPr>
        <w:tab/>
      </w:r>
      <w:r>
        <w:rPr>
          <w:highlight w:val="none"/>
        </w:rPr>
        <w:fldChar w:fldCharType="begin"/>
      </w:r>
      <w:r>
        <w:rPr>
          <w:highlight w:val="none"/>
        </w:rPr>
        <w:instrText xml:space="preserve"> PAGEREF _Toc26733 \h </w:instrText>
      </w:r>
      <w:r>
        <w:rPr>
          <w:highlight w:val="none"/>
        </w:rPr>
        <w:fldChar w:fldCharType="separate"/>
      </w:r>
      <w:r>
        <w:rPr>
          <w:highlight w:val="none"/>
        </w:rPr>
        <w:t>47</w:t>
      </w:r>
      <w:r>
        <w:rPr>
          <w:highlight w:val="none"/>
        </w:rPr>
        <w:fldChar w:fldCharType="end"/>
      </w:r>
      <w:r>
        <w:rPr>
          <w:highlight w:val="none"/>
        </w:rPr>
        <w:fldChar w:fldCharType="end"/>
      </w:r>
    </w:p>
    <w:p>
      <w:pPr>
        <w:snapToGrid w:val="0"/>
        <w:spacing w:line="480" w:lineRule="auto"/>
        <w:rPr>
          <w:rFonts w:cs="宋体"/>
          <w:highlight w:val="none"/>
        </w:rPr>
      </w:pPr>
      <w:r>
        <w:rPr>
          <w:rFonts w:hint="eastAsia" w:cs="宋体"/>
          <w:highlight w:val="none"/>
        </w:rPr>
        <w:fldChar w:fldCharType="end"/>
      </w:r>
    </w:p>
    <w:p>
      <w:pPr>
        <w:rPr>
          <w:rFonts w:cs="宋体"/>
          <w:highlight w:val="none"/>
        </w:rPr>
        <w:sectPr>
          <w:footerReference r:id="rId7" w:type="first"/>
          <w:footerReference r:id="rId5" w:type="default"/>
          <w:headerReference r:id="rId4" w:type="even"/>
          <w:footerReference r:id="rId6" w:type="even"/>
          <w:pgSz w:w="11906" w:h="16838"/>
          <w:pgMar w:top="1440" w:right="1752" w:bottom="1440" w:left="1752" w:header="851" w:footer="992" w:gutter="0"/>
          <w:cols w:space="720" w:num="1"/>
          <w:titlePg/>
          <w:docGrid w:type="lines" w:linePitch="312" w:charSpace="0"/>
        </w:sectPr>
      </w:pPr>
    </w:p>
    <w:p>
      <w:pPr>
        <w:pStyle w:val="2"/>
        <w:rPr>
          <w:rFonts w:eastAsia="宋体" w:cs="宋体"/>
          <w:highlight w:val="none"/>
        </w:rPr>
      </w:pPr>
      <w:bookmarkStart w:id="1" w:name="_Toc2791"/>
      <w:bookmarkStart w:id="2" w:name="_Toc12374"/>
      <w:bookmarkStart w:id="3" w:name="_Toc8812"/>
      <w:bookmarkStart w:id="4" w:name="_Toc14260"/>
      <w:bookmarkStart w:id="5" w:name="_Toc10756"/>
      <w:bookmarkStart w:id="6" w:name="_Toc22577"/>
      <w:r>
        <w:rPr>
          <w:rFonts w:hint="eastAsia" w:eastAsia="宋体" w:cs="宋体"/>
          <w:highlight w:val="none"/>
        </w:rPr>
        <w:t>第一部分 商务部分</w:t>
      </w:r>
      <w:bookmarkEnd w:id="1"/>
      <w:bookmarkEnd w:id="2"/>
      <w:bookmarkEnd w:id="3"/>
      <w:bookmarkEnd w:id="4"/>
      <w:bookmarkEnd w:id="5"/>
      <w:bookmarkEnd w:id="6"/>
    </w:p>
    <w:p>
      <w:pPr>
        <w:widowControl/>
        <w:spacing w:line="360" w:lineRule="auto"/>
        <w:jc w:val="center"/>
        <w:outlineLvl w:val="1"/>
        <w:rPr>
          <w:rStyle w:val="27"/>
          <w:rFonts w:ascii="宋体" w:hAnsi="宋体" w:cs="宋体"/>
          <w:highlight w:val="none"/>
        </w:rPr>
      </w:pPr>
      <w:bookmarkStart w:id="7" w:name="_Toc28119"/>
      <w:bookmarkStart w:id="8" w:name="_Toc23033"/>
      <w:bookmarkStart w:id="9" w:name="_Toc5805"/>
      <w:bookmarkStart w:id="10" w:name="_Toc12049"/>
      <w:r>
        <w:rPr>
          <w:rFonts w:hint="eastAsia" w:cs="宋体"/>
          <w:bCs/>
          <w:sz w:val="32"/>
          <w:highlight w:val="none"/>
        </w:rPr>
        <w:t>第一章</w:t>
      </w:r>
      <w:r>
        <w:rPr>
          <w:rFonts w:hint="eastAsia" w:cs="宋体"/>
          <w:bCs/>
          <w:sz w:val="32"/>
          <w:highlight w:val="none"/>
          <w:lang w:val="en-US" w:eastAsia="zh-CN"/>
        </w:rPr>
        <w:t xml:space="preserve"> </w:t>
      </w:r>
      <w:r>
        <w:rPr>
          <w:rFonts w:hint="eastAsia" w:cs="宋体"/>
          <w:bCs/>
          <w:sz w:val="32"/>
          <w:highlight w:val="none"/>
        </w:rPr>
        <w:t>投标</w:t>
      </w:r>
      <w:bookmarkEnd w:id="7"/>
      <w:bookmarkEnd w:id="8"/>
      <w:bookmarkEnd w:id="9"/>
      <w:bookmarkEnd w:id="10"/>
      <w:r>
        <w:rPr>
          <w:rFonts w:hint="eastAsia" w:cs="宋体"/>
          <w:bCs/>
          <w:sz w:val="32"/>
          <w:highlight w:val="none"/>
        </w:rPr>
        <w:t>公告</w:t>
      </w:r>
    </w:p>
    <w:tbl>
      <w:tblPr>
        <w:tblStyle w:val="20"/>
        <w:tblpPr w:leftFromText="180" w:rightFromText="180" w:vertAnchor="text" w:horzAnchor="page" w:tblpXSpec="center" w:tblpY="94"/>
        <w:tblOverlap w:val="never"/>
        <w:tblW w:w="502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981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724" w:hRule="atLeast"/>
          <w:jc w:val="center"/>
        </w:trPr>
        <w:tc>
          <w:tcPr>
            <w:tcW w:w="50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tcPr>
          <w:p>
            <w:pPr>
              <w:snapToGrid w:val="0"/>
              <w:spacing w:line="420" w:lineRule="auto"/>
              <w:rPr>
                <w:rFonts w:cs="宋体"/>
                <w:b/>
                <w:bCs/>
                <w:highlight w:val="none"/>
              </w:rPr>
            </w:pPr>
            <w:bookmarkStart w:id="11" w:name="_Toc31722"/>
            <w:bookmarkStart w:id="12" w:name="_Toc7007"/>
            <w:bookmarkStart w:id="13" w:name="_Toc29936"/>
            <w:r>
              <w:rPr>
                <w:rFonts w:hint="eastAsia" w:cs="宋体"/>
                <w:b/>
                <w:bCs/>
                <w:highlight w:val="none"/>
              </w:rPr>
              <w:t>项目概况</w:t>
            </w:r>
          </w:p>
          <w:p>
            <w:pPr>
              <w:snapToGrid w:val="0"/>
              <w:spacing w:line="420" w:lineRule="auto"/>
              <w:ind w:firstLine="480" w:firstLineChars="200"/>
              <w:rPr>
                <w:rFonts w:cs="宋体"/>
                <w:highlight w:val="none"/>
              </w:rPr>
            </w:pPr>
            <w:r>
              <w:rPr>
                <w:rFonts w:hint="eastAsia" w:cs="宋体"/>
                <w:highlight w:val="none"/>
              </w:rPr>
              <w:t>国家税务总局十堰市税务局2025年度食堂餐饮服务项目的潜在供应商应在湖北普华工程咨询有限公司（十堰市茅箭区重庆路99号汉成天地2号写字楼22层）获取招标文件，并于2025年8月11日14点30分（北京时间）前提交投标文件。</w:t>
            </w:r>
          </w:p>
        </w:tc>
      </w:tr>
    </w:tbl>
    <w:p>
      <w:pPr>
        <w:rPr>
          <w:rFonts w:cs="宋体"/>
          <w:highlight w:val="none"/>
        </w:rPr>
      </w:pPr>
      <w:bookmarkStart w:id="14" w:name="_Toc30687"/>
      <w:bookmarkStart w:id="15" w:name="_Toc113982808"/>
      <w:bookmarkStart w:id="16" w:name="_Toc2150"/>
      <w:bookmarkStart w:id="17" w:name="_Toc23457"/>
      <w:bookmarkStart w:id="18" w:name="_Toc29583"/>
    </w:p>
    <w:p>
      <w:pPr>
        <w:snapToGrid w:val="0"/>
        <w:spacing w:line="420" w:lineRule="auto"/>
        <w:rPr>
          <w:rFonts w:cs="宋体"/>
          <w:b/>
          <w:bCs/>
          <w:highlight w:val="none"/>
        </w:rPr>
      </w:pPr>
      <w:r>
        <w:rPr>
          <w:rFonts w:hint="eastAsia" w:cs="宋体"/>
          <w:b/>
          <w:bCs/>
          <w:highlight w:val="none"/>
        </w:rPr>
        <w:t>一、项目基本情况</w:t>
      </w:r>
      <w:bookmarkEnd w:id="14"/>
      <w:bookmarkEnd w:id="15"/>
    </w:p>
    <w:p>
      <w:pPr>
        <w:snapToGrid w:val="0"/>
        <w:spacing w:line="420" w:lineRule="auto"/>
        <w:ind w:firstLine="480" w:firstLineChars="200"/>
        <w:rPr>
          <w:rFonts w:cs="宋体"/>
          <w:highlight w:val="none"/>
        </w:rPr>
      </w:pPr>
      <w:r>
        <w:rPr>
          <w:rFonts w:hint="eastAsia" w:cs="宋体"/>
          <w:highlight w:val="none"/>
        </w:rPr>
        <w:t>1、项目编号：HB2025-DLGK-C0080-B00</w:t>
      </w:r>
    </w:p>
    <w:p>
      <w:pPr>
        <w:snapToGrid w:val="0"/>
        <w:spacing w:line="420" w:lineRule="auto"/>
        <w:ind w:firstLine="480" w:firstLineChars="200"/>
        <w:rPr>
          <w:rFonts w:cs="宋体"/>
          <w:highlight w:val="none"/>
        </w:rPr>
      </w:pPr>
      <w:r>
        <w:rPr>
          <w:rFonts w:hint="eastAsia" w:cs="宋体"/>
          <w:highlight w:val="none"/>
        </w:rPr>
        <w:t>2、项目名称：国家税务总局十堰市税务局2025年度食堂餐饮服务项目</w:t>
      </w:r>
    </w:p>
    <w:p>
      <w:pPr>
        <w:snapToGrid w:val="0"/>
        <w:spacing w:line="420" w:lineRule="auto"/>
        <w:ind w:firstLine="480" w:firstLineChars="200"/>
        <w:rPr>
          <w:rFonts w:cs="宋体"/>
          <w:highlight w:val="none"/>
        </w:rPr>
      </w:pPr>
      <w:r>
        <w:rPr>
          <w:rFonts w:hint="eastAsia" w:cs="宋体"/>
          <w:highlight w:val="none"/>
        </w:rPr>
        <w:t>3、项目内容：国家税务总局十堰市税务局2025年度食堂餐饮服务，具体服务标准与要求详见招标文件“第六章 项目采购需求”。</w:t>
      </w:r>
    </w:p>
    <w:p>
      <w:pPr>
        <w:snapToGrid w:val="0"/>
        <w:spacing w:line="420" w:lineRule="auto"/>
        <w:ind w:firstLine="480" w:firstLineChars="200"/>
        <w:rPr>
          <w:rFonts w:cs="宋体"/>
          <w:highlight w:val="none"/>
        </w:rPr>
      </w:pPr>
      <w:r>
        <w:rPr>
          <w:rFonts w:hint="eastAsia" w:cs="宋体"/>
          <w:highlight w:val="none"/>
        </w:rPr>
        <w:t>4、采购方式：公开招标</w:t>
      </w:r>
    </w:p>
    <w:p>
      <w:pPr>
        <w:snapToGrid w:val="0"/>
        <w:spacing w:line="420" w:lineRule="auto"/>
        <w:ind w:firstLine="480" w:firstLineChars="200"/>
        <w:rPr>
          <w:rFonts w:cs="宋体"/>
          <w:highlight w:val="none"/>
        </w:rPr>
      </w:pPr>
      <w:r>
        <w:rPr>
          <w:rFonts w:hint="eastAsia" w:cs="宋体"/>
          <w:highlight w:val="none"/>
        </w:rPr>
        <w:t>5、采购预算：219万元/年</w:t>
      </w:r>
    </w:p>
    <w:p>
      <w:pPr>
        <w:snapToGrid w:val="0"/>
        <w:spacing w:line="420" w:lineRule="auto"/>
        <w:ind w:firstLine="480" w:firstLineChars="200"/>
        <w:rPr>
          <w:rFonts w:cs="宋体"/>
          <w:highlight w:val="none"/>
        </w:rPr>
      </w:pPr>
      <w:r>
        <w:rPr>
          <w:rFonts w:hint="eastAsia" w:cs="宋体"/>
          <w:highlight w:val="none"/>
        </w:rPr>
        <w:t>6、服务期限：一年</w:t>
      </w:r>
    </w:p>
    <w:p>
      <w:pPr>
        <w:widowControl/>
        <w:snapToGrid w:val="0"/>
        <w:spacing w:line="420" w:lineRule="auto"/>
        <w:ind w:firstLine="480" w:firstLineChars="200"/>
        <w:rPr>
          <w:rFonts w:cs="宋体"/>
          <w:highlight w:val="none"/>
        </w:rPr>
      </w:pPr>
      <w:r>
        <w:rPr>
          <w:rFonts w:hint="eastAsia" w:cs="宋体"/>
          <w:highlight w:val="none"/>
        </w:rPr>
        <w:t>7、服务质量：合格，符合采购人要求。</w:t>
      </w:r>
    </w:p>
    <w:p>
      <w:pPr>
        <w:widowControl/>
        <w:snapToGrid w:val="0"/>
        <w:spacing w:line="420" w:lineRule="auto"/>
        <w:ind w:firstLine="480" w:firstLineChars="200"/>
        <w:rPr>
          <w:rFonts w:cs="宋体"/>
          <w:highlight w:val="none"/>
        </w:rPr>
      </w:pPr>
      <w:r>
        <w:rPr>
          <w:rFonts w:hint="eastAsia" w:cs="宋体"/>
          <w:highlight w:val="none"/>
        </w:rPr>
        <w:t>8、本项目（是/否）接受联合体投标：否</w:t>
      </w:r>
    </w:p>
    <w:p>
      <w:pPr>
        <w:snapToGrid w:val="0"/>
        <w:spacing w:line="420" w:lineRule="auto"/>
        <w:rPr>
          <w:rFonts w:cs="宋体"/>
          <w:b/>
          <w:bCs/>
          <w:highlight w:val="none"/>
        </w:rPr>
      </w:pPr>
      <w:bookmarkStart w:id="19" w:name="_Toc113982809"/>
      <w:bookmarkStart w:id="20" w:name="_Toc22992"/>
      <w:r>
        <w:rPr>
          <w:rFonts w:hint="eastAsia" w:cs="宋体"/>
          <w:b/>
          <w:bCs/>
          <w:highlight w:val="none"/>
        </w:rPr>
        <w:t>二、申请人资格要求</w:t>
      </w:r>
      <w:bookmarkEnd w:id="16"/>
      <w:bookmarkEnd w:id="17"/>
      <w:bookmarkEnd w:id="18"/>
      <w:bookmarkEnd w:id="19"/>
      <w:bookmarkEnd w:id="20"/>
    </w:p>
    <w:p>
      <w:pPr>
        <w:snapToGrid w:val="0"/>
        <w:spacing w:line="420" w:lineRule="auto"/>
        <w:ind w:firstLine="480" w:firstLineChars="200"/>
        <w:rPr>
          <w:rFonts w:cs="宋体"/>
          <w:highlight w:val="none"/>
        </w:rPr>
      </w:pPr>
      <w:r>
        <w:rPr>
          <w:rFonts w:hint="eastAsia" w:cs="宋体"/>
          <w:highlight w:val="none"/>
        </w:rPr>
        <w:t>1、满足《中华人民共和国政府采购法》第二十二条规定，即：</w:t>
      </w:r>
    </w:p>
    <w:p>
      <w:pPr>
        <w:snapToGrid w:val="0"/>
        <w:spacing w:line="420" w:lineRule="auto"/>
        <w:ind w:firstLine="480" w:firstLineChars="200"/>
        <w:rPr>
          <w:rFonts w:cs="宋体"/>
          <w:highlight w:val="none"/>
        </w:rPr>
      </w:pPr>
      <w:r>
        <w:rPr>
          <w:rFonts w:hint="eastAsia" w:cs="宋体"/>
          <w:highlight w:val="none"/>
        </w:rPr>
        <w:t>（1）具有独立承担民事责任的能力；</w:t>
      </w:r>
    </w:p>
    <w:p>
      <w:pPr>
        <w:snapToGrid w:val="0"/>
        <w:spacing w:line="420" w:lineRule="auto"/>
        <w:ind w:firstLine="480" w:firstLineChars="200"/>
        <w:rPr>
          <w:rFonts w:cs="宋体"/>
          <w:highlight w:val="none"/>
        </w:rPr>
      </w:pPr>
      <w:r>
        <w:rPr>
          <w:rFonts w:hint="eastAsia" w:cs="宋体"/>
          <w:highlight w:val="none"/>
        </w:rPr>
        <w:t>（2）具有良好的商业信誉和健全的财务会计制度；</w:t>
      </w:r>
    </w:p>
    <w:p>
      <w:pPr>
        <w:snapToGrid w:val="0"/>
        <w:spacing w:line="420" w:lineRule="auto"/>
        <w:ind w:firstLine="480" w:firstLineChars="200"/>
        <w:rPr>
          <w:rFonts w:cs="宋体"/>
          <w:highlight w:val="none"/>
        </w:rPr>
      </w:pPr>
      <w:r>
        <w:rPr>
          <w:rFonts w:hint="eastAsia" w:cs="宋体"/>
          <w:highlight w:val="none"/>
        </w:rPr>
        <w:t>（3）具有履行合同所必需的设备和专业技术能力；</w:t>
      </w:r>
    </w:p>
    <w:p>
      <w:pPr>
        <w:snapToGrid w:val="0"/>
        <w:spacing w:line="420" w:lineRule="auto"/>
        <w:ind w:firstLine="480" w:firstLineChars="200"/>
        <w:rPr>
          <w:rFonts w:cs="宋体"/>
          <w:highlight w:val="none"/>
        </w:rPr>
      </w:pPr>
      <w:r>
        <w:rPr>
          <w:rFonts w:hint="eastAsia" w:cs="宋体"/>
          <w:highlight w:val="none"/>
        </w:rPr>
        <w:t>（4）有依法缴纳税收和社会保障资金的良好记录；</w:t>
      </w:r>
    </w:p>
    <w:p>
      <w:pPr>
        <w:snapToGrid w:val="0"/>
        <w:spacing w:line="420" w:lineRule="auto"/>
        <w:ind w:firstLine="480" w:firstLineChars="200"/>
        <w:rPr>
          <w:rFonts w:cs="宋体"/>
          <w:highlight w:val="none"/>
        </w:rPr>
      </w:pPr>
      <w:r>
        <w:rPr>
          <w:rFonts w:hint="eastAsia" w:cs="宋体"/>
          <w:highlight w:val="none"/>
        </w:rPr>
        <w:t>（5）参加政府采购活动前三年内，在经营活动中没有重大违法记录；</w:t>
      </w:r>
    </w:p>
    <w:p>
      <w:pPr>
        <w:snapToGrid w:val="0"/>
        <w:spacing w:line="420" w:lineRule="auto"/>
        <w:ind w:firstLine="480" w:firstLineChars="200"/>
        <w:rPr>
          <w:rFonts w:cs="宋体"/>
          <w:highlight w:val="none"/>
        </w:rPr>
      </w:pPr>
      <w:r>
        <w:rPr>
          <w:rFonts w:hint="eastAsia" w:cs="宋体"/>
          <w:highlight w:val="none"/>
        </w:rPr>
        <w:t>（6）法律、行政法规规定的其他条件。</w:t>
      </w:r>
    </w:p>
    <w:p>
      <w:pPr>
        <w:pStyle w:val="14"/>
        <w:spacing w:line="420" w:lineRule="auto"/>
        <w:ind w:firstLine="480" w:firstLineChars="200"/>
        <w:rPr>
          <w:rFonts w:cs="宋体"/>
          <w:sz w:val="24"/>
          <w:highlight w:val="none"/>
        </w:rPr>
      </w:pPr>
      <w:r>
        <w:rPr>
          <w:rFonts w:hint="eastAsia" w:cs="宋体"/>
          <w:sz w:val="24"/>
          <w:highlight w:val="none"/>
        </w:rPr>
        <w:t>2、主体信用记录符合政府采购活动要求：</w:t>
      </w:r>
    </w:p>
    <w:p>
      <w:pPr>
        <w:pStyle w:val="14"/>
        <w:spacing w:line="420" w:lineRule="auto"/>
        <w:ind w:firstLine="480" w:firstLineChars="200"/>
        <w:rPr>
          <w:rFonts w:cs="宋体"/>
          <w:sz w:val="24"/>
          <w:highlight w:val="none"/>
        </w:rPr>
      </w:pPr>
      <w:r>
        <w:rPr>
          <w:rFonts w:hint="eastAsia" w:cs="宋体"/>
          <w:sz w:val="24"/>
          <w:highlight w:val="none"/>
        </w:rPr>
        <w:t>（1）供应商未被“信用中国”网站（www.creditchina.gov.cn）列入失信被执行人、重大税收违法失信主体、严重失信主体（若查询结果存在异议，开标时以现场查询为准）；</w:t>
      </w:r>
    </w:p>
    <w:p>
      <w:pPr>
        <w:pStyle w:val="14"/>
        <w:spacing w:line="420" w:lineRule="auto"/>
        <w:ind w:firstLine="480" w:firstLineChars="200"/>
        <w:rPr>
          <w:rFonts w:cs="宋体"/>
          <w:sz w:val="24"/>
          <w:highlight w:val="none"/>
        </w:rPr>
      </w:pPr>
      <w:r>
        <w:rPr>
          <w:rFonts w:hint="eastAsia" w:cs="宋体"/>
          <w:sz w:val="24"/>
          <w:highlight w:val="none"/>
        </w:rPr>
        <w:t>（2）供应商未被“中国政府采购网”网站（www.ccgp.gov.cn）列入政府采购严重违法失信行为记录名单（若查询结果存在异议，开标时以现场查询为准）。</w:t>
      </w:r>
    </w:p>
    <w:p>
      <w:pPr>
        <w:snapToGrid w:val="0"/>
        <w:spacing w:line="420" w:lineRule="auto"/>
        <w:ind w:firstLine="480" w:firstLineChars="200"/>
        <w:rPr>
          <w:rFonts w:cs="宋体"/>
          <w:highlight w:val="none"/>
        </w:rPr>
      </w:pPr>
      <w:r>
        <w:rPr>
          <w:rFonts w:hint="eastAsia" w:cs="宋体"/>
          <w:highlight w:val="none"/>
        </w:rPr>
        <w:t>3、单位负责人为同一人或者存在直接控股、管理关系的不同供应商，不得参加本项目同一合同项下的政府采购活动。</w:t>
      </w:r>
    </w:p>
    <w:p>
      <w:pPr>
        <w:snapToGrid w:val="0"/>
        <w:spacing w:line="420" w:lineRule="auto"/>
        <w:ind w:firstLine="480" w:firstLineChars="200"/>
        <w:rPr>
          <w:rFonts w:cs="宋体"/>
          <w:highlight w:val="none"/>
        </w:rPr>
      </w:pPr>
      <w:r>
        <w:rPr>
          <w:rFonts w:hint="eastAsia" w:cs="宋体"/>
          <w:highlight w:val="none"/>
        </w:rPr>
        <w:t>4、本项目的特定资格要求：供应商须具备有效的餐饮服务许可证或食品经营许可证。</w:t>
      </w:r>
    </w:p>
    <w:bookmarkEnd w:id="11"/>
    <w:bookmarkEnd w:id="12"/>
    <w:bookmarkEnd w:id="13"/>
    <w:p>
      <w:pPr>
        <w:snapToGrid w:val="0"/>
        <w:spacing w:line="420" w:lineRule="auto"/>
        <w:ind w:firstLine="482" w:firstLineChars="200"/>
        <w:rPr>
          <w:rFonts w:cs="宋体"/>
          <w:highlight w:val="none"/>
        </w:rPr>
      </w:pPr>
      <w:bookmarkStart w:id="21" w:name="_Toc113982810"/>
      <w:bookmarkStart w:id="22" w:name="_Toc24347"/>
      <w:bookmarkStart w:id="23" w:name="_Toc31316"/>
      <w:bookmarkStart w:id="24" w:name="_Toc21820"/>
      <w:r>
        <w:rPr>
          <w:rFonts w:hint="eastAsia" w:cs="宋体"/>
          <w:b/>
          <w:bCs/>
          <w:highlight w:val="none"/>
        </w:rPr>
        <w:t>5、政府采购相关政策执行：</w:t>
      </w:r>
      <w:r>
        <w:rPr>
          <w:rFonts w:hint="eastAsia" w:cs="宋体"/>
          <w:color w:val="0000FF"/>
          <w:highlight w:val="none"/>
        </w:rPr>
        <w:t>本项目为专门面向小微企业采购项目</w:t>
      </w:r>
      <w:r>
        <w:rPr>
          <w:rFonts w:hint="eastAsia" w:cs="宋体"/>
          <w:highlight w:val="none"/>
        </w:rPr>
        <w:t>。落实政府采购强制、优先采购节能产品政策；政府采购优先采购环保产品政策；政府采购促进中小企业发展（监狱企业、残疾人福利性单位视同小微企业）等政策。</w:t>
      </w:r>
    </w:p>
    <w:p>
      <w:pPr>
        <w:snapToGrid w:val="0"/>
        <w:spacing w:line="420" w:lineRule="auto"/>
        <w:rPr>
          <w:rFonts w:cs="宋体"/>
          <w:highlight w:val="none"/>
        </w:rPr>
      </w:pPr>
      <w:r>
        <w:rPr>
          <w:rFonts w:hint="eastAsia" w:cs="宋体"/>
          <w:b/>
          <w:bCs/>
          <w:highlight w:val="none"/>
        </w:rPr>
        <w:t>三、获取招标文件</w:t>
      </w:r>
      <w:bookmarkEnd w:id="21"/>
      <w:bookmarkEnd w:id="22"/>
      <w:bookmarkEnd w:id="23"/>
      <w:bookmarkEnd w:id="24"/>
    </w:p>
    <w:p>
      <w:pPr>
        <w:snapToGrid w:val="0"/>
        <w:spacing w:line="420" w:lineRule="auto"/>
        <w:ind w:firstLine="480" w:firstLineChars="200"/>
        <w:rPr>
          <w:rFonts w:cs="宋体"/>
          <w:highlight w:val="none"/>
        </w:rPr>
      </w:pPr>
      <w:bookmarkStart w:id="25" w:name="_Toc18666"/>
      <w:r>
        <w:rPr>
          <w:rFonts w:hint="eastAsia" w:cs="宋体"/>
          <w:highlight w:val="none"/>
        </w:rPr>
        <w:t>1、时间：2025年7月21日至2025年7月25日，每天08:30至12:00，14:30至17:30（北京时间，法定节假日除外）。</w:t>
      </w:r>
    </w:p>
    <w:p>
      <w:pPr>
        <w:snapToGrid w:val="0"/>
        <w:spacing w:line="420" w:lineRule="auto"/>
        <w:ind w:firstLine="480" w:firstLineChars="200"/>
        <w:rPr>
          <w:rFonts w:cs="宋体"/>
          <w:highlight w:val="none"/>
        </w:rPr>
      </w:pPr>
      <w:r>
        <w:rPr>
          <w:rFonts w:hint="eastAsia" w:cs="宋体"/>
          <w:highlight w:val="none"/>
        </w:rPr>
        <w:t>2、地点：湖北普华工程咨询有限公司（十堰市茅箭区重庆路99号汉成天地2号写字楼22层）。</w:t>
      </w:r>
    </w:p>
    <w:p>
      <w:pPr>
        <w:snapToGrid w:val="0"/>
        <w:spacing w:line="420" w:lineRule="auto"/>
        <w:ind w:firstLine="480" w:firstLineChars="200"/>
        <w:rPr>
          <w:rFonts w:cs="宋体"/>
          <w:highlight w:val="none"/>
        </w:rPr>
      </w:pPr>
      <w:r>
        <w:rPr>
          <w:rFonts w:hint="eastAsia" w:cs="宋体"/>
          <w:highlight w:val="none"/>
        </w:rPr>
        <w:t>3、方式：</w:t>
      </w:r>
      <w:r>
        <w:rPr>
          <w:rFonts w:hint="eastAsia" w:cs="宋体"/>
          <w:kern w:val="0"/>
          <w:highlight w:val="none"/>
          <w:shd w:val="clear" w:color="auto" w:fill="FFFFFF"/>
        </w:rPr>
        <w:t>现场获取</w:t>
      </w:r>
    </w:p>
    <w:p>
      <w:pPr>
        <w:snapToGrid w:val="0"/>
        <w:spacing w:line="420" w:lineRule="auto"/>
        <w:ind w:firstLine="480" w:firstLineChars="200"/>
        <w:rPr>
          <w:rFonts w:cs="宋体"/>
          <w:highlight w:val="none"/>
        </w:rPr>
      </w:pPr>
      <w:r>
        <w:rPr>
          <w:rFonts w:hint="eastAsia" w:cs="宋体"/>
          <w:kern w:val="0"/>
          <w:highlight w:val="none"/>
          <w:shd w:val="clear" w:color="auto" w:fill="FFFFFF"/>
        </w:rPr>
        <w:t>由法定代表人持本人身份证原件、法人身份证明书和营业执照复印件或委托代理人(须为本单位正式员工)持本人身份证原件、法定代表人授权委托书和营业执照复印件及本公告第二条申请人资格要求的相关材料(加盖本单位公章)一套，在</w:t>
      </w:r>
      <w:r>
        <w:rPr>
          <w:rFonts w:hint="eastAsia" w:cs="宋体"/>
          <w:highlight w:val="none"/>
        </w:rPr>
        <w:t>湖北普华工程咨询有限公司（十堰市茅箭区重庆路99号汉成天地2号写字楼22层）报名。</w:t>
      </w:r>
    </w:p>
    <w:p>
      <w:pPr>
        <w:snapToGrid w:val="0"/>
        <w:spacing w:line="420" w:lineRule="auto"/>
        <w:ind w:firstLine="480" w:firstLineChars="200"/>
        <w:rPr>
          <w:rFonts w:cs="宋体"/>
          <w:highlight w:val="none"/>
        </w:rPr>
      </w:pPr>
      <w:r>
        <w:rPr>
          <w:rFonts w:hint="eastAsia" w:cs="宋体"/>
          <w:highlight w:val="none"/>
        </w:rPr>
        <w:t>4、招标文件获取方式：统一以电子邮件方式向供应商发送。</w:t>
      </w:r>
    </w:p>
    <w:p>
      <w:pPr>
        <w:snapToGrid w:val="0"/>
        <w:spacing w:line="420" w:lineRule="auto"/>
        <w:ind w:firstLine="480" w:firstLineChars="200"/>
        <w:rPr>
          <w:rFonts w:cs="宋体"/>
          <w:highlight w:val="none"/>
        </w:rPr>
      </w:pPr>
      <w:r>
        <w:rPr>
          <w:rFonts w:hint="eastAsia" w:cs="宋体"/>
          <w:highlight w:val="none"/>
        </w:rPr>
        <w:t>5、售价：0元</w:t>
      </w:r>
    </w:p>
    <w:p>
      <w:pPr>
        <w:snapToGrid w:val="0"/>
        <w:spacing w:line="420" w:lineRule="auto"/>
        <w:rPr>
          <w:rFonts w:cs="宋体"/>
          <w:b/>
          <w:bCs/>
          <w:highlight w:val="none"/>
        </w:rPr>
      </w:pPr>
      <w:bookmarkStart w:id="26" w:name="_Toc113982811"/>
      <w:bookmarkStart w:id="27" w:name="_Toc31728"/>
      <w:r>
        <w:rPr>
          <w:rFonts w:hint="eastAsia" w:cs="宋体"/>
          <w:b/>
          <w:bCs/>
          <w:highlight w:val="none"/>
        </w:rPr>
        <w:t>四、提交投标文件截止时间、开标时间和地点</w:t>
      </w:r>
      <w:bookmarkEnd w:id="25"/>
      <w:bookmarkEnd w:id="26"/>
      <w:bookmarkEnd w:id="27"/>
      <w:bookmarkStart w:id="28" w:name="_Toc14850"/>
      <w:bookmarkStart w:id="29" w:name="_Toc24375"/>
      <w:bookmarkStart w:id="30" w:name="_Toc10153"/>
    </w:p>
    <w:p>
      <w:pPr>
        <w:snapToGrid w:val="0"/>
        <w:spacing w:line="420" w:lineRule="auto"/>
        <w:ind w:firstLine="480" w:firstLineChars="200"/>
        <w:rPr>
          <w:rFonts w:cs="宋体"/>
          <w:kern w:val="0"/>
          <w:highlight w:val="none"/>
          <w:shd w:val="clear" w:color="auto" w:fill="FFFFFF"/>
        </w:rPr>
      </w:pPr>
      <w:r>
        <w:rPr>
          <w:rFonts w:hint="eastAsia" w:cs="宋体"/>
          <w:kern w:val="0"/>
          <w:highlight w:val="none"/>
          <w:shd w:val="clear" w:color="auto" w:fill="FFFFFF"/>
        </w:rPr>
        <w:t>1、开始时间：2025年8月11日14点30分（北京时间）</w:t>
      </w:r>
    </w:p>
    <w:p>
      <w:pPr>
        <w:snapToGrid w:val="0"/>
        <w:spacing w:line="420" w:lineRule="auto"/>
        <w:ind w:firstLine="480" w:firstLineChars="200"/>
        <w:rPr>
          <w:rFonts w:cs="宋体"/>
          <w:kern w:val="0"/>
          <w:highlight w:val="none"/>
          <w:shd w:val="clear" w:color="auto" w:fill="FFFFFF"/>
        </w:rPr>
      </w:pPr>
      <w:r>
        <w:rPr>
          <w:rFonts w:hint="eastAsia" w:cs="宋体"/>
          <w:kern w:val="0"/>
          <w:highlight w:val="none"/>
          <w:shd w:val="clear" w:color="auto" w:fill="FFFFFF"/>
        </w:rPr>
        <w:t>2、截止时间：2025年8月11日14点30分（北京时间）</w:t>
      </w:r>
    </w:p>
    <w:p>
      <w:pPr>
        <w:snapToGrid w:val="0"/>
        <w:spacing w:line="420" w:lineRule="auto"/>
        <w:ind w:firstLine="480" w:firstLineChars="200"/>
        <w:rPr>
          <w:rFonts w:cs="宋体"/>
          <w:kern w:val="0"/>
          <w:highlight w:val="none"/>
          <w:shd w:val="clear" w:color="auto" w:fill="FFFFFF"/>
        </w:rPr>
      </w:pPr>
      <w:r>
        <w:rPr>
          <w:rFonts w:hint="eastAsia" w:cs="宋体"/>
          <w:kern w:val="0"/>
          <w:highlight w:val="none"/>
          <w:shd w:val="clear" w:color="auto" w:fill="FFFFFF"/>
        </w:rPr>
        <w:t>3、地点：湖北普华工程咨询有限公司开标室（十堰市茅箭区重庆路99号汉成天地2号写字楼22层）。</w:t>
      </w:r>
    </w:p>
    <w:p>
      <w:pPr>
        <w:snapToGrid w:val="0"/>
        <w:spacing w:line="420" w:lineRule="auto"/>
        <w:rPr>
          <w:rFonts w:cs="宋体"/>
          <w:b/>
          <w:bCs/>
          <w:highlight w:val="none"/>
        </w:rPr>
      </w:pPr>
      <w:bookmarkStart w:id="31" w:name="_Toc27410"/>
      <w:bookmarkStart w:id="32" w:name="_Toc113982812"/>
      <w:r>
        <w:rPr>
          <w:rFonts w:hint="eastAsia" w:cs="宋体"/>
          <w:b/>
          <w:bCs/>
          <w:highlight w:val="none"/>
        </w:rPr>
        <w:t>五、公告期限</w:t>
      </w:r>
      <w:bookmarkEnd w:id="28"/>
      <w:bookmarkEnd w:id="29"/>
      <w:bookmarkEnd w:id="30"/>
      <w:bookmarkEnd w:id="31"/>
      <w:bookmarkEnd w:id="32"/>
    </w:p>
    <w:p>
      <w:pPr>
        <w:snapToGrid w:val="0"/>
        <w:spacing w:line="420" w:lineRule="auto"/>
        <w:ind w:firstLine="480" w:firstLineChars="200"/>
        <w:rPr>
          <w:rFonts w:cs="宋体"/>
          <w:highlight w:val="none"/>
        </w:rPr>
      </w:pPr>
      <w:r>
        <w:rPr>
          <w:rFonts w:hint="eastAsia" w:cs="宋体"/>
          <w:highlight w:val="none"/>
        </w:rPr>
        <w:t>自本公告发布之日起5个工作日。</w:t>
      </w:r>
    </w:p>
    <w:p>
      <w:pPr>
        <w:snapToGrid w:val="0"/>
        <w:spacing w:line="420" w:lineRule="auto"/>
        <w:rPr>
          <w:rFonts w:cs="宋体"/>
          <w:b/>
          <w:bCs/>
          <w:highlight w:val="none"/>
        </w:rPr>
      </w:pPr>
      <w:bookmarkStart w:id="33" w:name="_Toc113982813"/>
      <w:bookmarkStart w:id="34" w:name="_Toc13354"/>
      <w:bookmarkStart w:id="35" w:name="_Toc12699"/>
      <w:bookmarkStart w:id="36" w:name="_Toc30385"/>
      <w:bookmarkStart w:id="37" w:name="_Toc10619"/>
      <w:r>
        <w:rPr>
          <w:rFonts w:hint="eastAsia" w:cs="宋体"/>
          <w:b/>
          <w:bCs/>
          <w:highlight w:val="none"/>
        </w:rPr>
        <w:t>六、其他补充事宜</w:t>
      </w:r>
      <w:bookmarkEnd w:id="33"/>
      <w:bookmarkEnd w:id="34"/>
      <w:bookmarkEnd w:id="35"/>
      <w:bookmarkEnd w:id="36"/>
      <w:bookmarkEnd w:id="37"/>
    </w:p>
    <w:p>
      <w:pPr>
        <w:snapToGrid w:val="0"/>
        <w:spacing w:line="420" w:lineRule="auto"/>
        <w:ind w:firstLine="480" w:firstLineChars="200"/>
        <w:rPr>
          <w:rFonts w:cs="宋体"/>
          <w:highlight w:val="none"/>
        </w:rPr>
      </w:pPr>
      <w:r>
        <w:rPr>
          <w:rFonts w:hint="eastAsia" w:cs="宋体"/>
          <w:highlight w:val="none"/>
        </w:rPr>
        <w:t>本项目在中国政府采购网（网址：</w:t>
      </w:r>
      <w:r>
        <w:rPr>
          <w:rFonts w:hint="eastAsia" w:cs="宋体"/>
          <w:color w:val="000000"/>
          <w:highlight w:val="none"/>
          <w:shd w:val="clear" w:color="auto" w:fill="FFFFFF"/>
        </w:rPr>
        <w:t>http://www.ccgp.gov.cn/</w:t>
      </w:r>
      <w:r>
        <w:rPr>
          <w:rFonts w:hint="eastAsia" w:cs="宋体"/>
          <w:highlight w:val="none"/>
        </w:rPr>
        <w:t>）上发布。</w:t>
      </w:r>
    </w:p>
    <w:p>
      <w:pPr>
        <w:snapToGrid w:val="0"/>
        <w:spacing w:line="420" w:lineRule="auto"/>
        <w:rPr>
          <w:rFonts w:cs="宋体"/>
          <w:b/>
          <w:bCs/>
          <w:highlight w:val="none"/>
        </w:rPr>
      </w:pPr>
      <w:bookmarkStart w:id="38" w:name="_Toc12316"/>
      <w:bookmarkStart w:id="39" w:name="_Toc10003"/>
      <w:bookmarkStart w:id="40" w:name="_Toc29256"/>
      <w:bookmarkStart w:id="41" w:name="_Toc113982814"/>
      <w:bookmarkStart w:id="42" w:name="_Toc21446"/>
      <w:r>
        <w:rPr>
          <w:rFonts w:hint="eastAsia" w:cs="宋体"/>
          <w:b/>
          <w:bCs/>
          <w:highlight w:val="none"/>
        </w:rPr>
        <w:t>七、</w:t>
      </w:r>
      <w:bookmarkEnd w:id="38"/>
      <w:bookmarkEnd w:id="39"/>
      <w:bookmarkEnd w:id="40"/>
      <w:r>
        <w:rPr>
          <w:rFonts w:hint="eastAsia" w:cs="宋体"/>
          <w:b/>
          <w:bCs/>
          <w:highlight w:val="none"/>
        </w:rPr>
        <w:t>对本次招标提出询问，请按以下方式联系</w:t>
      </w:r>
      <w:bookmarkEnd w:id="41"/>
      <w:bookmarkEnd w:id="42"/>
    </w:p>
    <w:p>
      <w:pPr>
        <w:snapToGrid w:val="0"/>
        <w:spacing w:line="420" w:lineRule="auto"/>
        <w:ind w:firstLine="482" w:firstLineChars="200"/>
        <w:rPr>
          <w:rFonts w:cs="宋体"/>
          <w:kern w:val="0"/>
          <w:highlight w:val="none"/>
          <w:shd w:val="clear" w:color="auto" w:fill="FFFFFF"/>
        </w:rPr>
      </w:pPr>
      <w:r>
        <w:rPr>
          <w:rFonts w:hint="eastAsia" w:cs="宋体"/>
          <w:b/>
          <w:bCs/>
          <w:kern w:val="0"/>
          <w:highlight w:val="none"/>
          <w:shd w:val="clear" w:color="auto" w:fill="FFFFFF"/>
        </w:rPr>
        <w:t>1、采购人信息</w:t>
      </w:r>
      <w:r>
        <w:rPr>
          <w:rFonts w:hint="eastAsia" w:cs="宋体"/>
          <w:kern w:val="0"/>
          <w:highlight w:val="none"/>
          <w:shd w:val="clear" w:color="auto" w:fill="FFFFFF"/>
        </w:rPr>
        <w:t>：</w:t>
      </w:r>
    </w:p>
    <w:p>
      <w:pPr>
        <w:snapToGrid w:val="0"/>
        <w:spacing w:line="420" w:lineRule="auto"/>
        <w:ind w:firstLine="480" w:firstLineChars="200"/>
        <w:rPr>
          <w:rFonts w:cs="宋体"/>
          <w:kern w:val="0"/>
          <w:highlight w:val="none"/>
          <w:shd w:val="clear" w:color="auto" w:fill="FFFFFF"/>
        </w:rPr>
      </w:pPr>
      <w:r>
        <w:rPr>
          <w:rFonts w:hint="eastAsia" w:cs="宋体"/>
          <w:kern w:val="0"/>
          <w:highlight w:val="none"/>
          <w:shd w:val="clear" w:color="auto" w:fill="FFFFFF"/>
        </w:rPr>
        <w:t>名    称：</w:t>
      </w:r>
      <w:r>
        <w:rPr>
          <w:rFonts w:hint="eastAsia" w:cs="宋体"/>
          <w:highlight w:val="none"/>
        </w:rPr>
        <w:t>国家税务总局十堰市税务局</w:t>
      </w:r>
    </w:p>
    <w:p>
      <w:pPr>
        <w:snapToGrid w:val="0"/>
        <w:spacing w:line="420" w:lineRule="auto"/>
        <w:ind w:firstLine="480" w:firstLineChars="200"/>
        <w:rPr>
          <w:rFonts w:cs="宋体"/>
          <w:kern w:val="0"/>
          <w:highlight w:val="none"/>
          <w:shd w:val="clear" w:color="auto" w:fill="FFFFFF"/>
        </w:rPr>
      </w:pPr>
      <w:r>
        <w:rPr>
          <w:rFonts w:hint="eastAsia" w:cs="宋体"/>
          <w:kern w:val="0"/>
          <w:highlight w:val="none"/>
          <w:shd w:val="clear" w:color="auto" w:fill="FFFFFF"/>
        </w:rPr>
        <w:t>地    址：</w:t>
      </w:r>
      <w:r>
        <w:rPr>
          <w:rFonts w:hint="eastAsia" w:cs="宋体"/>
          <w:highlight w:val="none"/>
        </w:rPr>
        <w:t>十堰市朝阳中路15号</w:t>
      </w:r>
    </w:p>
    <w:p>
      <w:pPr>
        <w:snapToGrid w:val="0"/>
        <w:spacing w:line="420" w:lineRule="auto"/>
        <w:ind w:firstLine="480" w:firstLineChars="200"/>
        <w:rPr>
          <w:rFonts w:cs="宋体"/>
          <w:kern w:val="0"/>
          <w:highlight w:val="none"/>
          <w:shd w:val="clear" w:color="auto" w:fill="FFFFFF"/>
        </w:rPr>
      </w:pPr>
      <w:r>
        <w:rPr>
          <w:rFonts w:hint="eastAsia" w:cs="宋体"/>
          <w:kern w:val="0"/>
          <w:highlight w:val="none"/>
          <w:shd w:val="clear" w:color="auto" w:fill="FFFFFF"/>
        </w:rPr>
        <w:t>联 系 人：陈思</w:t>
      </w:r>
    </w:p>
    <w:p>
      <w:pPr>
        <w:snapToGrid w:val="0"/>
        <w:spacing w:line="420" w:lineRule="auto"/>
        <w:ind w:firstLine="480" w:firstLineChars="200"/>
        <w:rPr>
          <w:rFonts w:cs="宋体"/>
          <w:highlight w:val="none"/>
        </w:rPr>
      </w:pPr>
      <w:r>
        <w:rPr>
          <w:rFonts w:hint="eastAsia" w:cs="宋体"/>
          <w:kern w:val="0"/>
          <w:highlight w:val="none"/>
          <w:shd w:val="clear" w:color="auto" w:fill="FFFFFF"/>
        </w:rPr>
        <w:t>电    话：0719-8110328</w:t>
      </w:r>
    </w:p>
    <w:p>
      <w:pPr>
        <w:rPr>
          <w:rFonts w:cs="宋体"/>
          <w:highlight w:val="none"/>
        </w:rPr>
      </w:pPr>
    </w:p>
    <w:p>
      <w:pPr>
        <w:snapToGrid w:val="0"/>
        <w:spacing w:line="420" w:lineRule="auto"/>
        <w:ind w:firstLine="482" w:firstLineChars="200"/>
        <w:rPr>
          <w:rFonts w:cs="宋体"/>
          <w:b/>
          <w:bCs/>
          <w:kern w:val="0"/>
          <w:highlight w:val="none"/>
          <w:shd w:val="clear" w:color="auto" w:fill="FFFFFF"/>
        </w:rPr>
      </w:pPr>
      <w:r>
        <w:rPr>
          <w:rFonts w:hint="eastAsia" w:cs="宋体"/>
          <w:b/>
          <w:bCs/>
          <w:kern w:val="0"/>
          <w:highlight w:val="none"/>
          <w:shd w:val="clear" w:color="auto" w:fill="FFFFFF"/>
        </w:rPr>
        <w:t>2、采购代理机构信息：</w:t>
      </w:r>
    </w:p>
    <w:p>
      <w:pPr>
        <w:snapToGrid w:val="0"/>
        <w:spacing w:line="420" w:lineRule="auto"/>
        <w:ind w:firstLine="480" w:firstLineChars="200"/>
        <w:rPr>
          <w:rFonts w:cs="宋体"/>
          <w:kern w:val="0"/>
          <w:highlight w:val="none"/>
          <w:shd w:val="clear" w:color="auto" w:fill="FFFFFF"/>
        </w:rPr>
      </w:pPr>
      <w:r>
        <w:rPr>
          <w:rFonts w:hint="eastAsia" w:cs="宋体"/>
          <w:kern w:val="0"/>
          <w:highlight w:val="none"/>
          <w:shd w:val="clear" w:color="auto" w:fill="FFFFFF"/>
        </w:rPr>
        <w:t>名    称：湖北普华工程咨询有限公司</w:t>
      </w:r>
    </w:p>
    <w:p>
      <w:pPr>
        <w:snapToGrid w:val="0"/>
        <w:spacing w:line="420" w:lineRule="auto"/>
        <w:ind w:firstLine="480" w:firstLineChars="200"/>
        <w:rPr>
          <w:rFonts w:cs="宋体"/>
          <w:kern w:val="0"/>
          <w:highlight w:val="none"/>
          <w:shd w:val="clear" w:color="auto" w:fill="FFFFFF"/>
        </w:rPr>
      </w:pPr>
      <w:r>
        <w:rPr>
          <w:rFonts w:hint="eastAsia" w:cs="宋体"/>
          <w:kern w:val="0"/>
          <w:highlight w:val="none"/>
          <w:shd w:val="clear" w:color="auto" w:fill="FFFFFF"/>
        </w:rPr>
        <w:t>地    址：十堰市茅箭区重庆路99号汉成天地2号写字楼22层</w:t>
      </w:r>
    </w:p>
    <w:p>
      <w:pPr>
        <w:snapToGrid w:val="0"/>
        <w:spacing w:line="420" w:lineRule="auto"/>
        <w:ind w:firstLine="480" w:firstLineChars="200"/>
        <w:rPr>
          <w:rFonts w:cs="宋体"/>
          <w:kern w:val="0"/>
          <w:highlight w:val="none"/>
          <w:shd w:val="clear" w:color="auto" w:fill="FFFFFF"/>
        </w:rPr>
      </w:pPr>
      <w:r>
        <w:rPr>
          <w:rFonts w:hint="eastAsia" w:cs="宋体"/>
          <w:kern w:val="0"/>
          <w:highlight w:val="none"/>
          <w:shd w:val="clear" w:color="auto" w:fill="FFFFFF"/>
        </w:rPr>
        <w:t>联系 人：邬杨</w:t>
      </w:r>
    </w:p>
    <w:p>
      <w:pPr>
        <w:snapToGrid w:val="0"/>
        <w:spacing w:line="420" w:lineRule="auto"/>
        <w:ind w:firstLine="480" w:firstLineChars="200"/>
        <w:rPr>
          <w:rFonts w:cs="宋体"/>
          <w:kern w:val="0"/>
          <w:highlight w:val="none"/>
          <w:shd w:val="clear" w:color="auto" w:fill="FFFFFF"/>
        </w:rPr>
      </w:pPr>
      <w:r>
        <w:rPr>
          <w:rFonts w:hint="eastAsia" w:cs="宋体"/>
          <w:kern w:val="0"/>
          <w:highlight w:val="none"/>
          <w:shd w:val="clear" w:color="auto" w:fill="FFFFFF"/>
        </w:rPr>
        <w:t>电    话：0719-8789589</w:t>
      </w:r>
    </w:p>
    <w:p>
      <w:pPr>
        <w:rPr>
          <w:rFonts w:cs="宋体"/>
          <w:highlight w:val="none"/>
        </w:rPr>
      </w:pPr>
    </w:p>
    <w:p>
      <w:pPr>
        <w:snapToGrid w:val="0"/>
        <w:spacing w:line="420" w:lineRule="auto"/>
        <w:ind w:firstLine="482" w:firstLineChars="200"/>
        <w:rPr>
          <w:rFonts w:cs="宋体"/>
          <w:b/>
          <w:bCs/>
          <w:highlight w:val="none"/>
        </w:rPr>
      </w:pPr>
      <w:r>
        <w:rPr>
          <w:rFonts w:hint="eastAsia" w:cs="宋体"/>
          <w:b/>
          <w:bCs/>
          <w:highlight w:val="none"/>
        </w:rPr>
        <w:t>3、</w:t>
      </w:r>
      <w:r>
        <w:rPr>
          <w:rFonts w:hint="eastAsia" w:cs="宋体"/>
          <w:b/>
          <w:bCs/>
          <w:kern w:val="0"/>
          <w:highlight w:val="none"/>
          <w:shd w:val="clear" w:color="auto" w:fill="FFFFFF"/>
        </w:rPr>
        <w:t>项目联系方式：</w:t>
      </w:r>
    </w:p>
    <w:p>
      <w:pPr>
        <w:snapToGrid w:val="0"/>
        <w:spacing w:line="420" w:lineRule="auto"/>
        <w:ind w:firstLine="480" w:firstLineChars="200"/>
        <w:rPr>
          <w:rFonts w:cs="宋体"/>
          <w:kern w:val="0"/>
          <w:highlight w:val="none"/>
          <w:shd w:val="clear" w:color="auto" w:fill="FFFFFF"/>
        </w:rPr>
      </w:pPr>
      <w:r>
        <w:rPr>
          <w:rFonts w:hint="eastAsia" w:cs="宋体"/>
          <w:kern w:val="0"/>
          <w:highlight w:val="none"/>
          <w:shd w:val="clear" w:color="auto" w:fill="FFFFFF"/>
        </w:rPr>
        <w:t>联 系 人：赵冠均</w:t>
      </w:r>
    </w:p>
    <w:p>
      <w:pPr>
        <w:snapToGrid w:val="0"/>
        <w:spacing w:line="420" w:lineRule="auto"/>
        <w:ind w:firstLine="480" w:firstLineChars="200"/>
        <w:rPr>
          <w:rFonts w:cs="宋体"/>
          <w:kern w:val="0"/>
          <w:highlight w:val="none"/>
          <w:shd w:val="clear" w:color="auto" w:fill="FFFFFF"/>
        </w:rPr>
      </w:pPr>
      <w:r>
        <w:rPr>
          <w:rFonts w:hint="eastAsia" w:cs="宋体"/>
          <w:kern w:val="0"/>
          <w:highlight w:val="none"/>
          <w:shd w:val="clear" w:color="auto" w:fill="FFFFFF"/>
        </w:rPr>
        <w:t>电    话：0719-8110400</w:t>
      </w:r>
    </w:p>
    <w:p>
      <w:pPr>
        <w:spacing w:line="360" w:lineRule="auto"/>
        <w:rPr>
          <w:rFonts w:cs="宋体"/>
          <w:highlight w:val="none"/>
        </w:rPr>
      </w:pPr>
    </w:p>
    <w:p>
      <w:pPr>
        <w:spacing w:line="360" w:lineRule="auto"/>
        <w:rPr>
          <w:rFonts w:cs="宋体"/>
          <w:highlight w:val="none"/>
        </w:rPr>
        <w:sectPr>
          <w:footerReference r:id="rId9" w:type="first"/>
          <w:footerReference r:id="rId8" w:type="default"/>
          <w:pgSz w:w="11906" w:h="16838"/>
          <w:pgMar w:top="1440" w:right="1083" w:bottom="1440" w:left="1083" w:header="851" w:footer="992" w:gutter="0"/>
          <w:pgNumType w:start="1"/>
          <w:cols w:space="720" w:num="1"/>
          <w:titlePg/>
          <w:docGrid w:type="lines" w:linePitch="312" w:charSpace="0"/>
        </w:sectPr>
      </w:pPr>
    </w:p>
    <w:p>
      <w:pPr>
        <w:pStyle w:val="3"/>
        <w:autoSpaceDE/>
        <w:autoSpaceDN/>
        <w:spacing w:line="720" w:lineRule="auto"/>
        <w:jc w:val="center"/>
        <w:rPr>
          <w:rFonts w:ascii="宋体" w:hAnsi="宋体" w:eastAsia="宋体" w:cs="宋体"/>
          <w:bCs/>
          <w:snapToGrid/>
          <w:kern w:val="2"/>
          <w:sz w:val="32"/>
          <w:highlight w:val="none"/>
        </w:rPr>
      </w:pPr>
      <w:bookmarkStart w:id="43" w:name="_Toc29967"/>
      <w:bookmarkStart w:id="44" w:name="_Toc21832"/>
      <w:bookmarkStart w:id="45" w:name="_Toc191"/>
      <w:bookmarkStart w:id="46" w:name="_Toc30484"/>
      <w:r>
        <w:rPr>
          <w:rFonts w:hint="eastAsia" w:ascii="宋体" w:hAnsi="宋体" w:eastAsia="宋体" w:cs="宋体"/>
          <w:bCs/>
          <w:snapToGrid/>
          <w:kern w:val="2"/>
          <w:sz w:val="32"/>
          <w:highlight w:val="none"/>
        </w:rPr>
        <w:t>第二章投标人须知</w:t>
      </w:r>
      <w:bookmarkEnd w:id="43"/>
      <w:bookmarkEnd w:id="44"/>
      <w:bookmarkEnd w:id="45"/>
      <w:bookmarkEnd w:id="46"/>
    </w:p>
    <w:p>
      <w:pPr>
        <w:snapToGrid w:val="0"/>
        <w:spacing w:line="312" w:lineRule="auto"/>
        <w:jc w:val="center"/>
        <w:rPr>
          <w:rFonts w:hint="eastAsia" w:cs="宋体"/>
          <w:highlight w:val="none"/>
        </w:rPr>
      </w:pPr>
      <w:r>
        <w:rPr>
          <w:rFonts w:hint="eastAsia" w:cs="宋体"/>
          <w:highlight w:val="none"/>
        </w:rPr>
        <w:t>投标人须知前附表</w:t>
      </w:r>
    </w:p>
    <w:tbl>
      <w:tblPr>
        <w:tblStyle w:val="20"/>
        <w:tblW w:w="8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
        <w:gridCol w:w="1984"/>
        <w:gridCol w:w="851"/>
        <w:gridCol w:w="5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35" w:type="dxa"/>
            <w:tcBorders>
              <w:top w:val="single" w:color="auto" w:sz="4" w:space="0"/>
              <w:left w:val="single" w:color="auto" w:sz="4" w:space="0"/>
              <w:bottom w:val="single" w:color="auto" w:sz="4" w:space="0"/>
              <w:right w:val="single" w:color="auto" w:sz="4" w:space="0"/>
            </w:tcBorders>
            <w:noWrap w:val="0"/>
            <w:vAlign w:val="center"/>
          </w:tcPr>
          <w:p>
            <w:pPr>
              <w:snapToGrid w:val="0"/>
              <w:spacing w:line="312" w:lineRule="auto"/>
              <w:jc w:val="center"/>
              <w:rPr>
                <w:rFonts w:hint="eastAsia" w:ascii="宋体" w:hAnsi="宋体" w:eastAsia="宋体" w:cs="宋体"/>
                <w:b/>
                <w:bCs/>
                <w:highlight w:val="none"/>
                <w:lang w:eastAsia="zh-CN"/>
              </w:rPr>
            </w:pPr>
            <w:r>
              <w:rPr>
                <w:rFonts w:hint="eastAsia" w:ascii="宋体" w:hAnsi="宋体" w:eastAsia="宋体" w:cs="宋体"/>
                <w:b/>
                <w:bCs/>
                <w:highlight w:val="none"/>
                <w:lang w:eastAsia="zh-CN"/>
              </w:rPr>
              <w:t>序 号</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snapToGrid w:val="0"/>
              <w:spacing w:line="312" w:lineRule="auto"/>
              <w:jc w:val="center"/>
              <w:rPr>
                <w:rFonts w:hint="eastAsia" w:ascii="宋体" w:hAnsi="宋体" w:eastAsia="宋体" w:cs="宋体"/>
                <w:b/>
                <w:bCs/>
                <w:highlight w:val="none"/>
                <w:lang w:eastAsia="zh-CN"/>
              </w:rPr>
            </w:pPr>
            <w:r>
              <w:rPr>
                <w:rFonts w:hint="eastAsia" w:ascii="宋体" w:hAnsi="宋体" w:eastAsia="宋体" w:cs="宋体"/>
                <w:b/>
                <w:bCs/>
                <w:highlight w:val="none"/>
                <w:lang w:eastAsia="zh-CN"/>
              </w:rPr>
              <w:t>类  别</w:t>
            </w:r>
          </w:p>
        </w:tc>
        <w:tc>
          <w:tcPr>
            <w:tcW w:w="6058"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12" w:lineRule="auto"/>
              <w:jc w:val="center"/>
              <w:rPr>
                <w:rFonts w:hint="eastAsia" w:ascii="宋体" w:hAnsi="宋体" w:eastAsia="宋体" w:cs="宋体"/>
                <w:b/>
                <w:bCs/>
                <w:highlight w:val="none"/>
                <w:lang w:eastAsia="zh-CN"/>
              </w:rPr>
            </w:pPr>
            <w:r>
              <w:rPr>
                <w:rFonts w:hint="eastAsia" w:ascii="宋体" w:hAnsi="宋体" w:eastAsia="宋体" w:cs="宋体"/>
                <w:b/>
                <w:bCs/>
                <w:highlight w:val="none"/>
                <w:lang w:eastAsia="zh-CN"/>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 w:type="dxa"/>
            <w:vMerge w:val="restart"/>
            <w:tcBorders>
              <w:top w:val="single" w:color="auto" w:sz="4" w:space="0"/>
              <w:left w:val="single" w:color="auto" w:sz="4" w:space="0"/>
              <w:right w:val="single" w:color="auto" w:sz="4" w:space="0"/>
            </w:tcBorders>
            <w:noWrap w:val="0"/>
            <w:vAlign w:val="center"/>
          </w:tcPr>
          <w:p>
            <w:pPr>
              <w:snapToGrid w:val="0"/>
              <w:spacing w:line="312" w:lineRule="auto"/>
              <w:jc w:val="center"/>
              <w:rPr>
                <w:rFonts w:hint="eastAsia" w:ascii="宋体" w:hAnsi="宋体" w:eastAsia="宋体" w:cs="宋体"/>
                <w:highlight w:val="none"/>
              </w:rPr>
            </w:pPr>
            <w:r>
              <w:rPr>
                <w:rFonts w:hint="eastAsia" w:ascii="宋体" w:hAnsi="宋体" w:eastAsia="宋体" w:cs="宋体"/>
                <w:highlight w:val="none"/>
              </w:rPr>
              <w:t>1</w:t>
            </w:r>
          </w:p>
        </w:tc>
        <w:tc>
          <w:tcPr>
            <w:tcW w:w="1984" w:type="dxa"/>
            <w:vMerge w:val="restart"/>
            <w:tcBorders>
              <w:top w:val="single" w:color="auto" w:sz="4" w:space="0"/>
              <w:left w:val="single" w:color="auto" w:sz="4" w:space="0"/>
              <w:right w:val="single" w:color="auto" w:sz="4" w:space="0"/>
            </w:tcBorders>
            <w:noWrap w:val="0"/>
            <w:vAlign w:val="center"/>
          </w:tcPr>
          <w:p>
            <w:pPr>
              <w:snapToGrid w:val="0"/>
              <w:spacing w:line="312" w:lineRule="auto"/>
              <w:rPr>
                <w:rFonts w:hint="eastAsia" w:ascii="宋体" w:hAnsi="宋体" w:eastAsia="宋体" w:cs="宋体"/>
                <w:highlight w:val="none"/>
              </w:rPr>
            </w:pPr>
            <w:r>
              <w:rPr>
                <w:rFonts w:hint="eastAsia" w:ascii="宋体" w:hAnsi="宋体" w:eastAsia="宋体" w:cs="宋体"/>
                <w:highlight w:val="none"/>
              </w:rPr>
              <w:t>项目名称、编号、预算及最高限价</w:t>
            </w:r>
          </w:p>
        </w:tc>
        <w:tc>
          <w:tcPr>
            <w:tcW w:w="6058"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12" w:lineRule="auto"/>
              <w:rPr>
                <w:rFonts w:hint="eastAsia" w:ascii="宋体" w:hAnsi="宋体" w:eastAsia="宋体" w:cs="宋体"/>
                <w:highlight w:val="none"/>
                <w:lang w:eastAsia="zh-CN"/>
              </w:rPr>
            </w:pPr>
            <w:r>
              <w:rPr>
                <w:rFonts w:hint="eastAsia" w:ascii="宋体" w:hAnsi="宋体" w:eastAsia="宋体" w:cs="宋体"/>
                <w:highlight w:val="none"/>
              </w:rPr>
              <w:t>项目名称：</w:t>
            </w:r>
            <w:r>
              <w:rPr>
                <w:rFonts w:hint="eastAsia" w:ascii="宋体" w:hAnsi="宋体" w:eastAsia="宋体" w:cs="宋体"/>
                <w:highlight w:val="none"/>
                <w:lang w:eastAsia="zh-CN"/>
              </w:rPr>
              <w:t>国家税务总局十堰市税务局2025年度食堂餐饮服务项目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 w:type="dxa"/>
            <w:vMerge w:val="continue"/>
            <w:tcBorders>
              <w:left w:val="single" w:color="auto" w:sz="4" w:space="0"/>
              <w:right w:val="single" w:color="auto" w:sz="4" w:space="0"/>
            </w:tcBorders>
            <w:noWrap w:val="0"/>
            <w:vAlign w:val="center"/>
          </w:tcPr>
          <w:p>
            <w:pPr>
              <w:snapToGrid w:val="0"/>
              <w:spacing w:line="312" w:lineRule="auto"/>
              <w:jc w:val="center"/>
              <w:rPr>
                <w:rFonts w:hint="eastAsia" w:ascii="宋体" w:hAnsi="宋体" w:eastAsia="宋体" w:cs="宋体"/>
                <w:highlight w:val="none"/>
              </w:rPr>
            </w:pPr>
          </w:p>
        </w:tc>
        <w:tc>
          <w:tcPr>
            <w:tcW w:w="1984" w:type="dxa"/>
            <w:vMerge w:val="continue"/>
            <w:tcBorders>
              <w:left w:val="single" w:color="auto" w:sz="4" w:space="0"/>
              <w:right w:val="single" w:color="auto" w:sz="4" w:space="0"/>
            </w:tcBorders>
            <w:noWrap w:val="0"/>
            <w:vAlign w:val="center"/>
          </w:tcPr>
          <w:p>
            <w:pPr>
              <w:snapToGrid w:val="0"/>
              <w:spacing w:line="312" w:lineRule="auto"/>
              <w:rPr>
                <w:rFonts w:hint="eastAsia" w:ascii="宋体" w:hAnsi="宋体" w:eastAsia="宋体" w:cs="宋体"/>
                <w:highlight w:val="none"/>
              </w:rPr>
            </w:pPr>
          </w:p>
        </w:tc>
        <w:tc>
          <w:tcPr>
            <w:tcW w:w="6058"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12" w:lineRule="auto"/>
              <w:rPr>
                <w:rFonts w:hint="eastAsia" w:ascii="宋体" w:hAnsi="宋体" w:eastAsia="宋体" w:cs="宋体"/>
                <w:highlight w:val="none"/>
                <w:lang w:val="en-US" w:eastAsia="zh-CN"/>
              </w:rPr>
            </w:pPr>
            <w:r>
              <w:rPr>
                <w:rFonts w:hint="eastAsia" w:ascii="宋体" w:hAnsi="宋体" w:eastAsia="宋体" w:cs="宋体"/>
                <w:highlight w:val="none"/>
              </w:rPr>
              <w:t>项目编号：</w:t>
            </w:r>
            <w:r>
              <w:rPr>
                <w:rFonts w:hint="eastAsia" w:cs="宋体"/>
                <w:highlight w:val="none"/>
              </w:rPr>
              <w:t>HB2025-DLGK-C0080-B00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 w:type="dxa"/>
            <w:vMerge w:val="continue"/>
            <w:tcBorders>
              <w:left w:val="single" w:color="auto" w:sz="4" w:space="0"/>
              <w:right w:val="single" w:color="auto" w:sz="4" w:space="0"/>
            </w:tcBorders>
            <w:noWrap w:val="0"/>
            <w:vAlign w:val="center"/>
          </w:tcPr>
          <w:p>
            <w:pPr>
              <w:snapToGrid w:val="0"/>
              <w:spacing w:line="312" w:lineRule="auto"/>
              <w:jc w:val="center"/>
              <w:rPr>
                <w:rFonts w:hint="eastAsia" w:ascii="宋体" w:hAnsi="宋体" w:eastAsia="宋体" w:cs="宋体"/>
                <w:highlight w:val="none"/>
              </w:rPr>
            </w:pPr>
          </w:p>
        </w:tc>
        <w:tc>
          <w:tcPr>
            <w:tcW w:w="1984" w:type="dxa"/>
            <w:vMerge w:val="continue"/>
            <w:tcBorders>
              <w:left w:val="single" w:color="auto" w:sz="4" w:space="0"/>
              <w:right w:val="single" w:color="auto" w:sz="4" w:space="0"/>
            </w:tcBorders>
            <w:noWrap w:val="0"/>
            <w:vAlign w:val="center"/>
          </w:tcPr>
          <w:p>
            <w:pPr>
              <w:snapToGrid w:val="0"/>
              <w:spacing w:line="312" w:lineRule="auto"/>
              <w:rPr>
                <w:rFonts w:hint="eastAsia" w:ascii="宋体" w:hAnsi="宋体" w:eastAsia="宋体" w:cs="宋体"/>
                <w:highlight w:val="none"/>
              </w:rPr>
            </w:pPr>
          </w:p>
        </w:tc>
        <w:tc>
          <w:tcPr>
            <w:tcW w:w="6058"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12" w:lineRule="auto"/>
              <w:rPr>
                <w:rFonts w:hint="eastAsia" w:ascii="宋体" w:hAnsi="宋体" w:eastAsia="宋体" w:cs="宋体"/>
                <w:highlight w:val="none"/>
                <w:lang w:val="en-US" w:eastAsia="zh-CN"/>
              </w:rPr>
            </w:pPr>
            <w:r>
              <w:rPr>
                <w:rFonts w:hint="eastAsia" w:ascii="宋体" w:hAnsi="宋体" w:eastAsia="宋体" w:cs="宋体"/>
                <w:highlight w:val="none"/>
              </w:rPr>
              <w:t>项目预算：219万元/年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 w:type="dxa"/>
            <w:vMerge w:val="continue"/>
            <w:tcBorders>
              <w:left w:val="single" w:color="auto" w:sz="4" w:space="0"/>
              <w:bottom w:val="single" w:color="auto" w:sz="4" w:space="0"/>
              <w:right w:val="single" w:color="auto" w:sz="4" w:space="0"/>
            </w:tcBorders>
            <w:noWrap w:val="0"/>
            <w:vAlign w:val="center"/>
          </w:tcPr>
          <w:p>
            <w:pPr>
              <w:snapToGrid w:val="0"/>
              <w:spacing w:line="312" w:lineRule="auto"/>
              <w:jc w:val="center"/>
              <w:rPr>
                <w:rFonts w:hint="eastAsia" w:ascii="宋体" w:hAnsi="宋体" w:eastAsia="宋体" w:cs="宋体"/>
                <w:highlight w:val="none"/>
              </w:rPr>
            </w:pPr>
          </w:p>
        </w:tc>
        <w:tc>
          <w:tcPr>
            <w:tcW w:w="1984" w:type="dxa"/>
            <w:vMerge w:val="continue"/>
            <w:tcBorders>
              <w:left w:val="single" w:color="auto" w:sz="4" w:space="0"/>
              <w:bottom w:val="single" w:color="auto" w:sz="4" w:space="0"/>
              <w:right w:val="single" w:color="auto" w:sz="4" w:space="0"/>
            </w:tcBorders>
            <w:noWrap w:val="0"/>
            <w:vAlign w:val="center"/>
          </w:tcPr>
          <w:p>
            <w:pPr>
              <w:snapToGrid w:val="0"/>
              <w:spacing w:line="312" w:lineRule="auto"/>
              <w:rPr>
                <w:rFonts w:hint="eastAsia" w:ascii="宋体" w:hAnsi="宋体" w:eastAsia="宋体" w:cs="宋体"/>
                <w:highlight w:val="none"/>
              </w:rPr>
            </w:pPr>
          </w:p>
        </w:tc>
        <w:tc>
          <w:tcPr>
            <w:tcW w:w="6058"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12" w:lineRule="auto"/>
              <w:rPr>
                <w:rFonts w:hint="eastAsia" w:ascii="宋体" w:hAnsi="宋体" w:eastAsia="宋体" w:cs="宋体"/>
                <w:highlight w:val="none"/>
              </w:rPr>
            </w:pPr>
            <w:r>
              <w:rPr>
                <w:rFonts w:hint="eastAsia" w:ascii="宋体" w:hAnsi="宋体" w:eastAsia="宋体" w:cs="宋体"/>
                <w:highlight w:val="none"/>
              </w:rPr>
              <w:t>最高限价：219万元/年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 w:type="dxa"/>
            <w:tcBorders>
              <w:top w:val="single" w:color="auto" w:sz="4" w:space="0"/>
              <w:left w:val="single" w:color="auto" w:sz="4" w:space="0"/>
              <w:bottom w:val="single" w:color="auto" w:sz="4" w:space="0"/>
              <w:right w:val="single" w:color="auto" w:sz="4" w:space="0"/>
            </w:tcBorders>
            <w:noWrap w:val="0"/>
            <w:vAlign w:val="center"/>
          </w:tcPr>
          <w:p>
            <w:pPr>
              <w:snapToGrid w:val="0"/>
              <w:spacing w:line="312" w:lineRule="auto"/>
              <w:jc w:val="center"/>
              <w:rPr>
                <w:rFonts w:hint="eastAsia" w:ascii="宋体" w:hAnsi="宋体" w:eastAsia="宋体" w:cs="宋体"/>
                <w:highlight w:val="none"/>
              </w:rPr>
            </w:pPr>
            <w:r>
              <w:rPr>
                <w:rFonts w:hint="eastAsia" w:ascii="宋体" w:hAnsi="宋体" w:eastAsia="宋体" w:cs="宋体"/>
                <w:highlight w:val="none"/>
              </w:rPr>
              <w:t>2</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snapToGrid w:val="0"/>
              <w:spacing w:line="312" w:lineRule="auto"/>
              <w:rPr>
                <w:rFonts w:hint="eastAsia" w:ascii="宋体" w:hAnsi="宋体" w:eastAsia="宋体" w:cs="宋体"/>
                <w:highlight w:val="none"/>
              </w:rPr>
            </w:pPr>
            <w:r>
              <w:rPr>
                <w:rFonts w:hint="eastAsia" w:ascii="宋体" w:hAnsi="宋体" w:eastAsia="宋体" w:cs="宋体"/>
                <w:highlight w:val="none"/>
              </w:rPr>
              <w:t>采购需求</w:t>
            </w:r>
          </w:p>
        </w:tc>
        <w:tc>
          <w:tcPr>
            <w:tcW w:w="6058"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12" w:lineRule="auto"/>
              <w:rPr>
                <w:rFonts w:hint="eastAsia" w:ascii="宋体" w:hAnsi="宋体" w:eastAsia="宋体" w:cs="宋体"/>
                <w:highlight w:val="none"/>
              </w:rPr>
            </w:pPr>
            <w:r>
              <w:rPr>
                <w:rFonts w:hint="eastAsia" w:ascii="宋体" w:hAnsi="宋体" w:eastAsia="宋体" w:cs="宋体"/>
                <w:highlight w:val="none"/>
              </w:rPr>
              <w:t>详见《招标文件（技术部分）》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 w:type="dxa"/>
            <w:tcBorders>
              <w:top w:val="single" w:color="auto" w:sz="4" w:space="0"/>
              <w:left w:val="single" w:color="auto" w:sz="4" w:space="0"/>
              <w:bottom w:val="single" w:color="auto" w:sz="4" w:space="0"/>
              <w:right w:val="single" w:color="auto" w:sz="4" w:space="0"/>
            </w:tcBorders>
            <w:noWrap w:val="0"/>
            <w:vAlign w:val="center"/>
          </w:tcPr>
          <w:p>
            <w:pPr>
              <w:snapToGrid w:val="0"/>
              <w:spacing w:line="312" w:lineRule="auto"/>
              <w:jc w:val="center"/>
              <w:rPr>
                <w:rFonts w:hint="eastAsia" w:ascii="宋体" w:hAnsi="宋体" w:eastAsia="宋体" w:cs="宋体"/>
                <w:highlight w:val="none"/>
              </w:rPr>
            </w:pPr>
            <w:r>
              <w:rPr>
                <w:rFonts w:hint="eastAsia" w:ascii="宋体" w:hAnsi="宋体" w:eastAsia="宋体" w:cs="宋体"/>
                <w:highlight w:val="none"/>
              </w:rPr>
              <w:t>3</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snapToGrid w:val="0"/>
              <w:spacing w:line="312" w:lineRule="auto"/>
              <w:rPr>
                <w:rFonts w:hint="eastAsia" w:ascii="宋体" w:hAnsi="宋体" w:eastAsia="宋体" w:cs="宋体"/>
                <w:highlight w:val="none"/>
              </w:rPr>
            </w:pPr>
            <w:r>
              <w:rPr>
                <w:rFonts w:hint="eastAsia" w:ascii="宋体" w:hAnsi="宋体" w:eastAsia="宋体" w:cs="宋体"/>
                <w:highlight w:val="none"/>
              </w:rPr>
              <w:t>项目属性和类别</w:t>
            </w:r>
          </w:p>
        </w:tc>
        <w:tc>
          <w:tcPr>
            <w:tcW w:w="6058"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12" w:lineRule="auto"/>
              <w:rPr>
                <w:rFonts w:hint="eastAsia" w:ascii="宋体" w:hAnsi="宋体" w:eastAsia="宋体" w:cs="宋体"/>
                <w:highlight w:val="none"/>
              </w:rPr>
            </w:pPr>
            <w:r>
              <w:rPr>
                <w:rFonts w:hint="eastAsia" w:ascii="宋体" w:hAnsi="宋体" w:eastAsia="宋体" w:cs="宋体"/>
                <w:highlight w:val="none"/>
              </w:rPr>
              <w:t>项目属性：</w:t>
            </w:r>
            <w:r>
              <w:rPr>
                <w:rFonts w:hint="eastAsia" w:ascii="宋体" w:hAnsi="宋体" w:eastAsia="宋体" w:cs="宋体"/>
                <w:highlight w:val="none"/>
              </w:rPr>
              <w:sym w:font="Wingdings 2" w:char="F0A3"/>
            </w:r>
            <w:r>
              <w:rPr>
                <w:rFonts w:hint="eastAsia" w:ascii="宋体" w:hAnsi="宋体" w:eastAsia="宋体" w:cs="宋体"/>
                <w:highlight w:val="none"/>
              </w:rPr>
              <w:t xml:space="preserve">货物           </w:t>
            </w:r>
            <w:r>
              <w:rPr>
                <w:rFonts w:hint="eastAsia" w:ascii="宋体" w:hAnsi="宋体" w:eastAsia="宋体" w:cs="宋体"/>
                <w:highlight w:val="none"/>
              </w:rPr>
              <w:sym w:font="Wingdings 2" w:char="0052"/>
            </w:r>
            <w:r>
              <w:rPr>
                <w:rFonts w:hint="eastAsia" w:ascii="宋体" w:hAnsi="宋体" w:eastAsia="宋体" w:cs="宋体"/>
                <w:highlight w:val="none"/>
              </w:rPr>
              <w:t>服务</w:t>
            </w:r>
          </w:p>
          <w:p>
            <w:pPr>
              <w:snapToGrid w:val="0"/>
              <w:spacing w:line="312" w:lineRule="auto"/>
              <w:rPr>
                <w:rFonts w:hint="eastAsia" w:ascii="宋体" w:hAnsi="宋体" w:eastAsia="宋体" w:cs="宋体"/>
                <w:highlight w:val="none"/>
              </w:rPr>
            </w:pPr>
            <w:r>
              <w:rPr>
                <w:rFonts w:hint="eastAsia" w:ascii="宋体" w:hAnsi="宋体" w:eastAsia="宋体" w:cs="宋体"/>
                <w:highlight w:val="none"/>
              </w:rPr>
              <w:t>项目类别：</w:t>
            </w:r>
            <w:r>
              <w:rPr>
                <w:rFonts w:hint="eastAsia" w:ascii="宋体" w:hAnsi="宋体" w:eastAsia="宋体" w:cs="宋体"/>
                <w:highlight w:val="none"/>
              </w:rPr>
              <w:sym w:font="Wingdings 2" w:char="00A3"/>
            </w:r>
            <w:r>
              <w:rPr>
                <w:rFonts w:hint="eastAsia" w:ascii="宋体" w:hAnsi="宋体" w:eastAsia="宋体" w:cs="宋体"/>
                <w:highlight w:val="none"/>
              </w:rPr>
              <w:t xml:space="preserve">信息化项目     </w:t>
            </w:r>
            <w:r>
              <w:rPr>
                <w:rFonts w:hint="eastAsia" w:ascii="宋体" w:hAnsi="宋体" w:eastAsia="宋体" w:cs="宋体"/>
                <w:highlight w:val="none"/>
              </w:rPr>
              <w:sym w:font="Wingdings 2" w:char="0052"/>
            </w:r>
            <w:r>
              <w:rPr>
                <w:rFonts w:hint="eastAsia" w:ascii="宋体" w:hAnsi="宋体" w:eastAsia="宋体" w:cs="宋体"/>
                <w:highlight w:val="none"/>
              </w:rPr>
              <w:t>非信息化项目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 w:type="dxa"/>
            <w:tcBorders>
              <w:top w:val="single" w:color="auto" w:sz="4" w:space="0"/>
              <w:left w:val="single" w:color="auto" w:sz="4" w:space="0"/>
              <w:bottom w:val="single" w:color="auto" w:sz="4" w:space="0"/>
              <w:right w:val="single" w:color="auto" w:sz="4" w:space="0"/>
            </w:tcBorders>
            <w:noWrap w:val="0"/>
            <w:vAlign w:val="center"/>
          </w:tcPr>
          <w:p>
            <w:pPr>
              <w:snapToGrid w:val="0"/>
              <w:spacing w:line="312" w:lineRule="auto"/>
              <w:jc w:val="center"/>
              <w:rPr>
                <w:rFonts w:hint="eastAsia" w:ascii="宋体" w:hAnsi="宋体" w:eastAsia="宋体" w:cs="宋体"/>
                <w:highlight w:val="none"/>
              </w:rPr>
            </w:pPr>
            <w:r>
              <w:rPr>
                <w:rFonts w:hint="eastAsia" w:ascii="宋体" w:hAnsi="宋体" w:eastAsia="宋体" w:cs="宋体"/>
                <w:highlight w:val="none"/>
              </w:rPr>
              <w:t>4</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snapToGrid w:val="0"/>
              <w:spacing w:line="312" w:lineRule="auto"/>
              <w:rPr>
                <w:rFonts w:hint="eastAsia" w:ascii="宋体" w:hAnsi="宋体" w:eastAsia="宋体" w:cs="宋体"/>
                <w:highlight w:val="none"/>
                <w:lang w:val="zh-CN"/>
              </w:rPr>
            </w:pPr>
            <w:r>
              <w:rPr>
                <w:rFonts w:hint="eastAsia" w:ascii="宋体" w:hAnsi="宋体" w:eastAsia="宋体" w:cs="宋体"/>
                <w:highlight w:val="none"/>
                <w:lang w:val="zh-CN"/>
              </w:rPr>
              <w:t>采购人</w:t>
            </w:r>
          </w:p>
        </w:tc>
        <w:tc>
          <w:tcPr>
            <w:tcW w:w="6058"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12" w:lineRule="auto"/>
              <w:rPr>
                <w:rFonts w:cs="宋体"/>
                <w:highlight w:val="none"/>
              </w:rPr>
            </w:pPr>
            <w:r>
              <w:rPr>
                <w:rFonts w:hint="eastAsia" w:cs="宋体"/>
                <w:highlight w:val="none"/>
              </w:rPr>
              <w:t>名  称：国家税务总局十堰市税务局</w:t>
            </w:r>
          </w:p>
          <w:p>
            <w:pPr>
              <w:adjustRightInd w:val="0"/>
              <w:snapToGrid w:val="0"/>
              <w:spacing w:line="312" w:lineRule="auto"/>
              <w:rPr>
                <w:rFonts w:cs="宋体"/>
                <w:highlight w:val="none"/>
              </w:rPr>
            </w:pPr>
            <w:r>
              <w:rPr>
                <w:rFonts w:hint="eastAsia" w:cs="宋体"/>
                <w:highlight w:val="none"/>
              </w:rPr>
              <w:t>地  址：十堰市朝阳中路15号</w:t>
            </w:r>
          </w:p>
          <w:p>
            <w:pPr>
              <w:adjustRightInd w:val="0"/>
              <w:snapToGrid w:val="0"/>
              <w:spacing w:line="312" w:lineRule="auto"/>
              <w:rPr>
                <w:rFonts w:cs="宋体"/>
                <w:highlight w:val="none"/>
              </w:rPr>
            </w:pPr>
            <w:r>
              <w:rPr>
                <w:rFonts w:hint="eastAsia" w:cs="宋体"/>
                <w:highlight w:val="none"/>
              </w:rPr>
              <w:t>联系人：陈思</w:t>
            </w:r>
          </w:p>
          <w:p>
            <w:pPr>
              <w:snapToGrid w:val="0"/>
              <w:spacing w:line="312" w:lineRule="auto"/>
              <w:rPr>
                <w:rFonts w:hint="eastAsia" w:ascii="宋体" w:hAnsi="宋体" w:eastAsia="宋体" w:cs="宋体"/>
                <w:highlight w:val="none"/>
                <w:lang w:val="zh-CN"/>
              </w:rPr>
            </w:pPr>
            <w:r>
              <w:rPr>
                <w:rFonts w:hint="eastAsia" w:cs="宋体"/>
                <w:sz w:val="24"/>
                <w:highlight w:val="none"/>
              </w:rPr>
              <w:t>电  话：0719-8110328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 w:type="dxa"/>
            <w:tcBorders>
              <w:top w:val="single" w:color="auto" w:sz="4" w:space="0"/>
              <w:left w:val="single" w:color="auto" w:sz="4" w:space="0"/>
              <w:bottom w:val="single" w:color="auto" w:sz="4" w:space="0"/>
              <w:right w:val="single" w:color="auto" w:sz="4" w:space="0"/>
            </w:tcBorders>
            <w:noWrap w:val="0"/>
            <w:vAlign w:val="center"/>
          </w:tcPr>
          <w:p>
            <w:pPr>
              <w:snapToGrid w:val="0"/>
              <w:spacing w:line="312" w:lineRule="auto"/>
              <w:jc w:val="center"/>
              <w:rPr>
                <w:rFonts w:hint="eastAsia" w:ascii="宋体" w:hAnsi="宋体" w:eastAsia="宋体" w:cs="宋体"/>
                <w:highlight w:val="none"/>
              </w:rPr>
            </w:pPr>
            <w:r>
              <w:rPr>
                <w:rFonts w:hint="eastAsia" w:ascii="宋体" w:hAnsi="宋体" w:eastAsia="宋体" w:cs="宋体"/>
                <w:highlight w:val="none"/>
              </w:rPr>
              <w:t>5</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snapToGrid w:val="0"/>
              <w:spacing w:line="312" w:lineRule="auto"/>
              <w:rPr>
                <w:rFonts w:hint="eastAsia" w:ascii="宋体" w:hAnsi="宋体" w:eastAsia="宋体" w:cs="宋体"/>
                <w:highlight w:val="none"/>
              </w:rPr>
            </w:pPr>
            <w:r>
              <w:rPr>
                <w:rFonts w:hint="eastAsia" w:ascii="宋体" w:hAnsi="宋体" w:eastAsia="宋体" w:cs="宋体"/>
                <w:highlight w:val="none"/>
              </w:rPr>
              <w:t>采购代理机构</w:t>
            </w:r>
          </w:p>
        </w:tc>
        <w:tc>
          <w:tcPr>
            <w:tcW w:w="605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12" w:lineRule="auto"/>
              <w:rPr>
                <w:rFonts w:cs="宋体"/>
                <w:highlight w:val="none"/>
              </w:rPr>
            </w:pPr>
            <w:r>
              <w:rPr>
                <w:rFonts w:hint="eastAsia" w:cs="宋体"/>
                <w:highlight w:val="none"/>
              </w:rPr>
              <w:t>名  称：湖北普华工程咨询有限公司</w:t>
            </w:r>
          </w:p>
          <w:p>
            <w:pPr>
              <w:adjustRightInd w:val="0"/>
              <w:snapToGrid w:val="0"/>
              <w:spacing w:line="312" w:lineRule="auto"/>
              <w:rPr>
                <w:rFonts w:cs="宋体"/>
                <w:highlight w:val="none"/>
                <w:shd w:val="clear" w:color="auto" w:fill="FFFFFF"/>
              </w:rPr>
            </w:pPr>
            <w:r>
              <w:rPr>
                <w:rFonts w:hint="eastAsia" w:cs="宋体"/>
                <w:highlight w:val="none"/>
              </w:rPr>
              <w:t>地  址：</w:t>
            </w:r>
            <w:r>
              <w:rPr>
                <w:rFonts w:hint="eastAsia" w:cs="宋体"/>
                <w:highlight w:val="none"/>
                <w:shd w:val="clear" w:color="auto" w:fill="FFFFFF"/>
              </w:rPr>
              <w:t>十堰市茅箭区重庆路99号汉成天地2号写字楼22层</w:t>
            </w:r>
          </w:p>
          <w:p>
            <w:pPr>
              <w:adjustRightInd w:val="0"/>
              <w:snapToGrid w:val="0"/>
              <w:spacing w:line="312" w:lineRule="auto"/>
              <w:rPr>
                <w:rFonts w:cs="宋体"/>
                <w:highlight w:val="none"/>
              </w:rPr>
            </w:pPr>
            <w:r>
              <w:rPr>
                <w:rFonts w:hint="eastAsia" w:cs="宋体"/>
                <w:highlight w:val="none"/>
              </w:rPr>
              <w:t>联系人：邬杨</w:t>
            </w:r>
          </w:p>
          <w:p>
            <w:pPr>
              <w:snapToGrid w:val="0"/>
              <w:spacing w:line="312" w:lineRule="auto"/>
              <w:rPr>
                <w:rFonts w:hint="eastAsia" w:ascii="宋体" w:hAnsi="宋体" w:eastAsia="宋体" w:cs="宋体"/>
                <w:highlight w:val="none"/>
              </w:rPr>
            </w:pPr>
            <w:r>
              <w:rPr>
                <w:rFonts w:hint="eastAsia" w:cs="宋体"/>
                <w:highlight w:val="none"/>
              </w:rPr>
              <w:t>电  话：0719-8789589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 w:type="dxa"/>
            <w:tcBorders>
              <w:top w:val="single" w:color="auto" w:sz="4" w:space="0"/>
              <w:left w:val="single" w:color="auto" w:sz="4" w:space="0"/>
              <w:bottom w:val="single" w:color="auto" w:sz="4" w:space="0"/>
              <w:right w:val="single" w:color="auto" w:sz="4" w:space="0"/>
            </w:tcBorders>
            <w:noWrap w:val="0"/>
            <w:vAlign w:val="center"/>
          </w:tcPr>
          <w:p>
            <w:pPr>
              <w:snapToGrid w:val="0"/>
              <w:spacing w:line="312" w:lineRule="auto"/>
              <w:jc w:val="center"/>
              <w:rPr>
                <w:rFonts w:hint="eastAsia" w:ascii="宋体" w:hAnsi="宋体" w:eastAsia="宋体" w:cs="宋体"/>
                <w:highlight w:val="none"/>
              </w:rPr>
            </w:pPr>
            <w:r>
              <w:rPr>
                <w:rFonts w:hint="eastAsia" w:ascii="宋体" w:hAnsi="宋体" w:eastAsia="宋体" w:cs="宋体"/>
                <w:highlight w:val="none"/>
              </w:rPr>
              <w:t>6</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snapToGrid w:val="0"/>
              <w:spacing w:line="312" w:lineRule="auto"/>
              <w:rPr>
                <w:rFonts w:hint="eastAsia" w:ascii="宋体" w:hAnsi="宋体" w:eastAsia="宋体" w:cs="宋体"/>
                <w:highlight w:val="none"/>
              </w:rPr>
            </w:pPr>
            <w:r>
              <w:rPr>
                <w:rFonts w:hint="eastAsia" w:ascii="宋体" w:hAnsi="宋体" w:eastAsia="宋体" w:cs="宋体"/>
                <w:highlight w:val="none"/>
              </w:rPr>
              <w:t>投标人资格要求</w:t>
            </w:r>
          </w:p>
        </w:tc>
        <w:tc>
          <w:tcPr>
            <w:tcW w:w="6058"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12" w:lineRule="auto"/>
              <w:rPr>
                <w:rFonts w:cs="宋体"/>
                <w:highlight w:val="none"/>
              </w:rPr>
            </w:pPr>
            <w:r>
              <w:rPr>
                <w:rFonts w:hint="eastAsia" w:cs="宋体"/>
                <w:highlight w:val="none"/>
              </w:rPr>
              <w:t>1、满足《中华人民共和国政府采购法》第二十二条规定，即：</w:t>
            </w:r>
          </w:p>
          <w:p>
            <w:pPr>
              <w:snapToGrid w:val="0"/>
              <w:spacing w:line="312" w:lineRule="auto"/>
              <w:rPr>
                <w:rFonts w:cs="宋体"/>
                <w:highlight w:val="none"/>
              </w:rPr>
            </w:pPr>
            <w:r>
              <w:rPr>
                <w:rFonts w:hint="eastAsia" w:cs="宋体"/>
                <w:highlight w:val="none"/>
              </w:rPr>
              <w:t>（1）具有独立承担民事责任的能力；</w:t>
            </w:r>
          </w:p>
          <w:p>
            <w:pPr>
              <w:snapToGrid w:val="0"/>
              <w:spacing w:line="312" w:lineRule="auto"/>
              <w:rPr>
                <w:rFonts w:cs="宋体"/>
                <w:highlight w:val="none"/>
              </w:rPr>
            </w:pPr>
            <w:r>
              <w:rPr>
                <w:rFonts w:hint="eastAsia" w:cs="宋体"/>
                <w:highlight w:val="none"/>
              </w:rPr>
              <w:t>（2）具有良好的商业信誉和健全的财务会计制度；</w:t>
            </w:r>
          </w:p>
          <w:p>
            <w:pPr>
              <w:snapToGrid w:val="0"/>
              <w:spacing w:line="312" w:lineRule="auto"/>
              <w:rPr>
                <w:rFonts w:cs="宋体"/>
                <w:highlight w:val="none"/>
              </w:rPr>
            </w:pPr>
            <w:r>
              <w:rPr>
                <w:rFonts w:hint="eastAsia" w:cs="宋体"/>
                <w:highlight w:val="none"/>
              </w:rPr>
              <w:t>（3）具有履行合同所必需的设备和专业技术能力；</w:t>
            </w:r>
          </w:p>
          <w:p>
            <w:pPr>
              <w:snapToGrid w:val="0"/>
              <w:spacing w:line="312" w:lineRule="auto"/>
              <w:rPr>
                <w:rFonts w:cs="宋体"/>
                <w:highlight w:val="none"/>
              </w:rPr>
            </w:pPr>
            <w:r>
              <w:rPr>
                <w:rFonts w:hint="eastAsia" w:cs="宋体"/>
                <w:highlight w:val="none"/>
              </w:rPr>
              <w:t>（4）有依法缴纳税收和社会保障资金的良好记录；</w:t>
            </w:r>
          </w:p>
          <w:p>
            <w:pPr>
              <w:snapToGrid w:val="0"/>
              <w:spacing w:line="312" w:lineRule="auto"/>
              <w:rPr>
                <w:rFonts w:cs="宋体"/>
                <w:highlight w:val="none"/>
              </w:rPr>
            </w:pPr>
            <w:r>
              <w:rPr>
                <w:rFonts w:hint="eastAsia" w:cs="宋体"/>
                <w:highlight w:val="none"/>
              </w:rPr>
              <w:t>（5）参加政府采购活动前三年内，在经营活动中没有重大违法记录；</w:t>
            </w:r>
          </w:p>
          <w:p>
            <w:pPr>
              <w:snapToGrid w:val="0"/>
              <w:spacing w:line="312" w:lineRule="auto"/>
              <w:rPr>
                <w:rFonts w:cs="宋体"/>
                <w:highlight w:val="none"/>
              </w:rPr>
            </w:pPr>
            <w:r>
              <w:rPr>
                <w:rFonts w:hint="eastAsia" w:cs="宋体"/>
                <w:highlight w:val="none"/>
              </w:rPr>
              <w:t>（6）法律、行政法规规定的其他条件。</w:t>
            </w:r>
          </w:p>
          <w:p>
            <w:pPr>
              <w:pStyle w:val="14"/>
              <w:spacing w:line="312" w:lineRule="auto"/>
              <w:rPr>
                <w:rFonts w:cs="宋体"/>
                <w:sz w:val="24"/>
                <w:highlight w:val="none"/>
              </w:rPr>
            </w:pPr>
            <w:r>
              <w:rPr>
                <w:rFonts w:hint="eastAsia" w:cs="宋体"/>
                <w:sz w:val="24"/>
                <w:highlight w:val="none"/>
              </w:rPr>
              <w:t>2、主体信用记录符合政府采购活动要求：</w:t>
            </w:r>
          </w:p>
          <w:p>
            <w:pPr>
              <w:pStyle w:val="14"/>
              <w:spacing w:line="312" w:lineRule="auto"/>
              <w:rPr>
                <w:rFonts w:cs="宋体"/>
                <w:sz w:val="24"/>
                <w:highlight w:val="none"/>
              </w:rPr>
            </w:pPr>
            <w:r>
              <w:rPr>
                <w:rFonts w:hint="eastAsia" w:cs="宋体"/>
                <w:sz w:val="24"/>
                <w:highlight w:val="none"/>
              </w:rPr>
              <w:t>（1）供应商未被“信用中国”网站（www.creditchina.gov.cn）列入失信被执行人、重大税收违法失信主体、严重失信主体（若查询结果存在异议，开标时以现场查询为准）；</w:t>
            </w:r>
          </w:p>
          <w:p>
            <w:pPr>
              <w:pStyle w:val="14"/>
              <w:spacing w:line="312" w:lineRule="auto"/>
              <w:rPr>
                <w:rFonts w:cs="宋体"/>
                <w:sz w:val="24"/>
                <w:highlight w:val="none"/>
              </w:rPr>
            </w:pPr>
            <w:r>
              <w:rPr>
                <w:rFonts w:hint="eastAsia" w:cs="宋体"/>
                <w:sz w:val="24"/>
                <w:highlight w:val="none"/>
              </w:rPr>
              <w:t>（2）供应商未被“中国政府采购网”网站（www.ccgp.gov.cn）列入政府采购严重违法失信行为记录名单（若查询结果存在异议，开标时以现场查询为准）。</w:t>
            </w:r>
          </w:p>
          <w:p>
            <w:pPr>
              <w:snapToGrid w:val="0"/>
              <w:spacing w:line="312" w:lineRule="auto"/>
              <w:rPr>
                <w:rFonts w:cs="宋体"/>
                <w:highlight w:val="none"/>
              </w:rPr>
            </w:pPr>
            <w:r>
              <w:rPr>
                <w:rFonts w:hint="eastAsia" w:cs="宋体"/>
                <w:highlight w:val="none"/>
              </w:rPr>
              <w:t>3、单位负责人为同一人或者存在直接控股、管理关系的不同供应商，不得参加本项目同一合同项下的政府采购活动。</w:t>
            </w:r>
          </w:p>
          <w:p>
            <w:pPr>
              <w:snapToGrid w:val="0"/>
              <w:spacing w:line="312" w:lineRule="auto"/>
              <w:rPr>
                <w:rFonts w:cs="宋体"/>
                <w:highlight w:val="none"/>
              </w:rPr>
            </w:pPr>
            <w:r>
              <w:rPr>
                <w:rFonts w:hint="eastAsia" w:cs="宋体"/>
                <w:highlight w:val="none"/>
              </w:rPr>
              <w:t>4、本项目的特定资格要求：供应商须具备有效的餐饮服务许可证或食品经营许可证。</w:t>
            </w:r>
          </w:p>
          <w:p>
            <w:pPr>
              <w:snapToGrid w:val="0"/>
              <w:spacing w:line="312" w:lineRule="auto"/>
              <w:rPr>
                <w:rFonts w:hint="eastAsia" w:ascii="宋体" w:hAnsi="宋体" w:eastAsia="宋体" w:cs="宋体"/>
                <w:highlight w:val="none"/>
              </w:rPr>
            </w:pPr>
            <w:r>
              <w:rPr>
                <w:rFonts w:hint="eastAsia" w:cs="宋体"/>
                <w:b/>
                <w:bCs/>
                <w:highlight w:val="none"/>
              </w:rPr>
              <w:t>5、政府采购相关政策执行：</w:t>
            </w:r>
            <w:r>
              <w:rPr>
                <w:rFonts w:hint="eastAsia" w:cs="宋体"/>
                <w:color w:val="0000FF"/>
                <w:highlight w:val="none"/>
              </w:rPr>
              <w:t>本项目为专门面向小微企业采购项目</w:t>
            </w:r>
            <w:r>
              <w:rPr>
                <w:rFonts w:hint="eastAsia" w:cs="宋体"/>
                <w:highlight w:val="none"/>
              </w:rPr>
              <w:t>。落实政府采购强制、优先采购节能产品政策；政府采购优先采购环保产品政策；政府采购促进中小企业发展（监狱企业、残疾人福利性单位视同小微企业）等政策。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 w:type="dxa"/>
            <w:tcBorders>
              <w:top w:val="single" w:color="auto" w:sz="4" w:space="0"/>
              <w:left w:val="single" w:color="auto" w:sz="4" w:space="0"/>
              <w:bottom w:val="single" w:color="auto" w:sz="4" w:space="0"/>
              <w:right w:val="single" w:color="auto" w:sz="4" w:space="0"/>
            </w:tcBorders>
            <w:noWrap w:val="0"/>
            <w:vAlign w:val="center"/>
          </w:tcPr>
          <w:p>
            <w:pPr>
              <w:snapToGrid w:val="0"/>
              <w:spacing w:line="312" w:lineRule="auto"/>
              <w:jc w:val="center"/>
              <w:rPr>
                <w:rFonts w:hint="eastAsia" w:ascii="宋体" w:hAnsi="宋体" w:eastAsia="宋体" w:cs="宋体"/>
                <w:highlight w:val="none"/>
              </w:rPr>
            </w:pPr>
            <w:r>
              <w:rPr>
                <w:rFonts w:hint="eastAsia" w:ascii="宋体" w:hAnsi="宋体" w:eastAsia="宋体" w:cs="宋体"/>
                <w:highlight w:val="none"/>
              </w:rPr>
              <w:t>7</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snapToGrid w:val="0"/>
              <w:spacing w:line="312" w:lineRule="auto"/>
              <w:rPr>
                <w:rFonts w:hint="eastAsia" w:ascii="宋体" w:hAnsi="宋体" w:eastAsia="宋体" w:cs="宋体"/>
                <w:highlight w:val="none"/>
              </w:rPr>
            </w:pPr>
            <w:r>
              <w:rPr>
                <w:rFonts w:hint="eastAsia" w:ascii="宋体" w:hAnsi="宋体" w:eastAsia="宋体" w:cs="宋体"/>
                <w:highlight w:val="none"/>
              </w:rPr>
              <w:t>是否接受联合体投标</w:t>
            </w:r>
          </w:p>
        </w:tc>
        <w:tc>
          <w:tcPr>
            <w:tcW w:w="6058"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12" w:lineRule="auto"/>
              <w:rPr>
                <w:rFonts w:hint="eastAsia" w:ascii="宋体" w:hAnsi="宋体" w:eastAsia="宋体" w:cs="宋体"/>
                <w:highlight w:val="none"/>
              </w:rPr>
            </w:pPr>
            <w:r>
              <w:rPr>
                <w:rFonts w:hint="eastAsia" w:ascii="宋体" w:hAnsi="宋体" w:eastAsia="宋体" w:cs="宋体"/>
                <w:highlight w:val="none"/>
              </w:rPr>
              <w:sym w:font="Wingdings 2" w:char="0052"/>
            </w:r>
            <w:r>
              <w:rPr>
                <w:rFonts w:hint="eastAsia" w:ascii="宋体" w:hAnsi="宋体" w:eastAsia="宋体" w:cs="宋体"/>
                <w:highlight w:val="none"/>
              </w:rPr>
              <w:t>不接受</w:t>
            </w:r>
          </w:p>
          <w:p>
            <w:pPr>
              <w:snapToGrid w:val="0"/>
              <w:spacing w:line="312" w:lineRule="auto"/>
              <w:rPr>
                <w:rFonts w:hint="eastAsia" w:ascii="宋体" w:hAnsi="宋体" w:eastAsia="宋体" w:cs="宋体"/>
                <w:highlight w:val="none"/>
              </w:rPr>
            </w:pPr>
            <w:r>
              <w:rPr>
                <w:rFonts w:hint="eastAsia" w:ascii="宋体" w:hAnsi="宋体" w:eastAsia="宋体" w:cs="宋体"/>
                <w:highlight w:val="none"/>
              </w:rPr>
              <w:sym w:font="Wingdings 2" w:char="F0A3"/>
            </w:r>
            <w:r>
              <w:rPr>
                <w:rFonts w:hint="eastAsia" w:ascii="宋体" w:hAnsi="宋体" w:eastAsia="宋体" w:cs="宋体"/>
                <w:highlight w:val="none"/>
              </w:rPr>
              <w:t>接受（接受联合体投标且投标人为联合体的，投标人应提供联合体协议；否则无须提供。）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 w:type="dxa"/>
            <w:tcBorders>
              <w:top w:val="single" w:color="auto" w:sz="4" w:space="0"/>
              <w:left w:val="single" w:color="auto" w:sz="4" w:space="0"/>
              <w:bottom w:val="single" w:color="auto" w:sz="4" w:space="0"/>
              <w:right w:val="single" w:color="auto" w:sz="4" w:space="0"/>
            </w:tcBorders>
            <w:noWrap w:val="0"/>
            <w:vAlign w:val="center"/>
          </w:tcPr>
          <w:p>
            <w:pPr>
              <w:snapToGrid w:val="0"/>
              <w:spacing w:line="312" w:lineRule="auto"/>
              <w:jc w:val="center"/>
              <w:rPr>
                <w:rFonts w:hint="eastAsia" w:ascii="宋体" w:hAnsi="宋体" w:eastAsia="宋体" w:cs="宋体"/>
                <w:highlight w:val="none"/>
              </w:rPr>
            </w:pPr>
            <w:r>
              <w:rPr>
                <w:rFonts w:hint="eastAsia" w:ascii="宋体" w:hAnsi="宋体" w:eastAsia="宋体" w:cs="宋体"/>
                <w:highlight w:val="none"/>
              </w:rPr>
              <w:t>8</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snapToGrid w:val="0"/>
              <w:spacing w:line="312" w:lineRule="auto"/>
              <w:rPr>
                <w:rFonts w:hint="eastAsia" w:ascii="宋体" w:hAnsi="宋体" w:eastAsia="宋体" w:cs="宋体"/>
                <w:highlight w:val="none"/>
              </w:rPr>
            </w:pPr>
            <w:r>
              <w:rPr>
                <w:rFonts w:hint="eastAsia" w:ascii="宋体" w:hAnsi="宋体" w:eastAsia="宋体" w:cs="宋体"/>
                <w:highlight w:val="none"/>
              </w:rPr>
              <w:t>采购标的对应的中小企业划分标准所属行业</w:t>
            </w:r>
          </w:p>
        </w:tc>
        <w:tc>
          <w:tcPr>
            <w:tcW w:w="605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12" w:lineRule="auto"/>
              <w:rPr>
                <w:rFonts w:cs="宋体"/>
                <w:color w:val="0000FF"/>
                <w:highlight w:val="none"/>
              </w:rPr>
            </w:pPr>
            <w:r>
              <w:rPr>
                <w:rFonts w:hint="eastAsia" w:cs="宋体"/>
                <w:color w:val="0000FF"/>
                <w:highlight w:val="none"/>
              </w:rPr>
              <w:t>本项目为：专门面向小微企业采购项目；</w:t>
            </w:r>
          </w:p>
          <w:p>
            <w:pPr>
              <w:snapToGrid w:val="0"/>
              <w:spacing w:line="312" w:lineRule="auto"/>
              <w:rPr>
                <w:rFonts w:hint="eastAsia" w:ascii="宋体" w:hAnsi="宋体" w:eastAsia="宋体" w:cs="宋体"/>
                <w:highlight w:val="none"/>
                <w:lang w:val="en-US" w:eastAsia="zh-CN"/>
              </w:rPr>
            </w:pPr>
            <w:r>
              <w:rPr>
                <w:rFonts w:hint="eastAsia" w:cs="宋体"/>
                <w:color w:val="0000FF"/>
                <w:highlight w:val="none"/>
              </w:rPr>
              <w:t>本项目标的所属行业为：</w:t>
            </w:r>
            <w:r>
              <w:rPr>
                <w:rFonts w:hint="eastAsia" w:cs="宋体"/>
                <w:color w:val="0000FF"/>
                <w:highlight w:val="none"/>
                <w:u w:val="single"/>
              </w:rPr>
              <w:t>餐饮业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 w:type="dxa"/>
            <w:tcBorders>
              <w:top w:val="single" w:color="auto" w:sz="4" w:space="0"/>
              <w:left w:val="single" w:color="auto" w:sz="4" w:space="0"/>
              <w:bottom w:val="single" w:color="auto" w:sz="4" w:space="0"/>
              <w:right w:val="single" w:color="auto" w:sz="4" w:space="0"/>
            </w:tcBorders>
            <w:noWrap w:val="0"/>
            <w:vAlign w:val="center"/>
          </w:tcPr>
          <w:p>
            <w:pPr>
              <w:snapToGrid w:val="0"/>
              <w:spacing w:line="312" w:lineRule="auto"/>
              <w:jc w:val="center"/>
              <w:rPr>
                <w:rFonts w:hint="eastAsia" w:ascii="宋体" w:hAnsi="宋体" w:eastAsia="宋体" w:cs="宋体"/>
                <w:highlight w:val="none"/>
              </w:rPr>
            </w:pPr>
            <w:r>
              <w:rPr>
                <w:rFonts w:hint="eastAsia" w:ascii="宋体" w:hAnsi="宋体" w:eastAsia="宋体" w:cs="宋体"/>
                <w:highlight w:val="none"/>
              </w:rPr>
              <w:t>9</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snapToGrid w:val="0"/>
              <w:spacing w:line="312" w:lineRule="auto"/>
              <w:rPr>
                <w:rFonts w:hint="eastAsia" w:ascii="宋体" w:hAnsi="宋体" w:eastAsia="宋体" w:cs="宋体"/>
                <w:highlight w:val="none"/>
              </w:rPr>
            </w:pPr>
            <w:r>
              <w:rPr>
                <w:rFonts w:hint="eastAsia" w:ascii="宋体" w:hAnsi="宋体" w:eastAsia="宋体" w:cs="宋体"/>
                <w:highlight w:val="none"/>
              </w:rPr>
              <w:t>非主体、非关键性工作分包</w:t>
            </w:r>
          </w:p>
        </w:tc>
        <w:tc>
          <w:tcPr>
            <w:tcW w:w="6058"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12" w:lineRule="auto"/>
              <w:rPr>
                <w:rFonts w:hint="eastAsia" w:ascii="宋体" w:hAnsi="宋体" w:eastAsia="宋体" w:cs="宋体"/>
                <w:highlight w:val="none"/>
              </w:rPr>
            </w:pPr>
            <w:r>
              <w:rPr>
                <w:rFonts w:hint="eastAsia" w:ascii="宋体" w:hAnsi="宋体" w:eastAsia="宋体" w:cs="宋体"/>
                <w:highlight w:val="none"/>
              </w:rPr>
              <w:t>是否允许中标人将本项目的非主体、非关键性工作进行分包：</w:t>
            </w:r>
          </w:p>
          <w:p>
            <w:pPr>
              <w:snapToGrid w:val="0"/>
              <w:spacing w:line="312" w:lineRule="auto"/>
              <w:rPr>
                <w:rFonts w:hint="eastAsia" w:ascii="宋体" w:hAnsi="宋体" w:eastAsia="宋体" w:cs="宋体"/>
                <w:highlight w:val="none"/>
              </w:rPr>
            </w:pPr>
            <w:r>
              <w:rPr>
                <w:rFonts w:hint="eastAsia" w:ascii="宋体" w:hAnsi="宋体" w:eastAsia="宋体" w:cs="宋体"/>
                <w:highlight w:val="none"/>
                <w:lang w:eastAsia="zh-CN"/>
              </w:rPr>
              <w:t>☑</w:t>
            </w:r>
            <w:r>
              <w:rPr>
                <w:rFonts w:hint="eastAsia" w:ascii="宋体" w:hAnsi="宋体" w:eastAsia="宋体" w:cs="宋体"/>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 w:type="dxa"/>
            <w:noWrap w:val="0"/>
            <w:vAlign w:val="center"/>
          </w:tcPr>
          <w:p>
            <w:pPr>
              <w:snapToGrid w:val="0"/>
              <w:spacing w:line="312" w:lineRule="auto"/>
              <w:jc w:val="center"/>
              <w:rPr>
                <w:rFonts w:hint="eastAsia" w:ascii="宋体" w:hAnsi="宋体" w:eastAsia="宋体" w:cs="宋体"/>
                <w:highlight w:val="none"/>
              </w:rPr>
            </w:pPr>
            <w:r>
              <w:rPr>
                <w:rFonts w:hint="eastAsia" w:ascii="宋体" w:hAnsi="宋体" w:eastAsia="宋体" w:cs="宋体"/>
                <w:highlight w:val="none"/>
              </w:rPr>
              <w:t>10</w:t>
            </w:r>
          </w:p>
        </w:tc>
        <w:tc>
          <w:tcPr>
            <w:tcW w:w="1984" w:type="dxa"/>
            <w:noWrap w:val="0"/>
            <w:vAlign w:val="center"/>
          </w:tcPr>
          <w:p>
            <w:pPr>
              <w:snapToGrid w:val="0"/>
              <w:spacing w:line="312" w:lineRule="auto"/>
              <w:rPr>
                <w:rFonts w:hint="eastAsia" w:ascii="宋体" w:hAnsi="宋体" w:eastAsia="宋体" w:cs="宋体"/>
                <w:highlight w:val="none"/>
              </w:rPr>
            </w:pPr>
            <w:r>
              <w:rPr>
                <w:rFonts w:hint="eastAsia" w:ascii="宋体" w:hAnsi="宋体" w:eastAsia="宋体" w:cs="宋体"/>
                <w:highlight w:val="none"/>
              </w:rPr>
              <w:t>核心产品</w:t>
            </w:r>
          </w:p>
        </w:tc>
        <w:tc>
          <w:tcPr>
            <w:tcW w:w="6058" w:type="dxa"/>
            <w:gridSpan w:val="2"/>
            <w:noWrap w:val="0"/>
            <w:vAlign w:val="center"/>
          </w:tcPr>
          <w:p>
            <w:pPr>
              <w:snapToGrid w:val="0"/>
              <w:spacing w:line="312" w:lineRule="auto"/>
              <w:rPr>
                <w:rFonts w:hint="eastAsia" w:ascii="宋体" w:hAnsi="宋体" w:eastAsia="宋体" w:cs="宋体"/>
                <w:highlight w:val="none"/>
              </w:rPr>
            </w:pPr>
            <w:r>
              <w:rPr>
                <w:rFonts w:hint="eastAsia" w:ascii="宋体" w:hAnsi="宋体" w:eastAsia="宋体" w:cs="宋体"/>
                <w:highlight w:val="none"/>
              </w:rPr>
              <w:t>货物类项目填写此栏</w:t>
            </w:r>
          </w:p>
          <w:p>
            <w:pPr>
              <w:snapToGrid w:val="0"/>
              <w:spacing w:line="312" w:lineRule="auto"/>
              <w:rPr>
                <w:rFonts w:hint="eastAsia" w:ascii="宋体" w:hAnsi="宋体" w:eastAsia="宋体" w:cs="宋体"/>
                <w:highlight w:val="none"/>
              </w:rPr>
            </w:pPr>
            <w:r>
              <w:rPr>
                <w:rFonts w:hint="eastAsia" w:ascii="宋体" w:hAnsi="宋体" w:eastAsia="宋体" w:cs="宋体"/>
                <w:highlight w:val="none"/>
              </w:rPr>
              <w:sym w:font="Wingdings 2" w:char="0052"/>
            </w:r>
            <w:r>
              <w:rPr>
                <w:rFonts w:hint="eastAsia" w:ascii="宋体" w:hAnsi="宋体" w:eastAsia="宋体" w:cs="宋体"/>
                <w:highlight w:val="none"/>
              </w:rPr>
              <w:t>无</w:t>
            </w:r>
          </w:p>
          <w:p>
            <w:pPr>
              <w:snapToGrid w:val="0"/>
              <w:spacing w:line="312" w:lineRule="auto"/>
              <w:rPr>
                <w:rFonts w:hint="eastAsia" w:ascii="宋体" w:hAnsi="宋体" w:eastAsia="宋体" w:cs="宋体"/>
                <w:highlight w:val="none"/>
              </w:rPr>
            </w:pPr>
            <w:r>
              <w:rPr>
                <w:rFonts w:hint="eastAsia" w:ascii="宋体" w:hAnsi="宋体" w:eastAsia="宋体" w:cs="宋体"/>
                <w:highlight w:val="none"/>
              </w:rPr>
              <w:sym w:font="Wingdings 2" w:char="F0A3"/>
            </w:r>
            <w:r>
              <w:rPr>
                <w:rFonts w:hint="eastAsia" w:ascii="宋体" w:hAnsi="宋体" w:eastAsia="宋体" w:cs="宋体"/>
                <w:highlight w:val="none"/>
              </w:rPr>
              <w:t>有</w:t>
            </w:r>
          </w:p>
          <w:p>
            <w:pPr>
              <w:snapToGrid w:val="0"/>
              <w:spacing w:line="312" w:lineRule="auto"/>
              <w:rPr>
                <w:rFonts w:hint="eastAsia" w:ascii="宋体" w:hAnsi="宋体" w:eastAsia="宋体" w:cs="宋体"/>
                <w:highlight w:val="none"/>
              </w:rPr>
            </w:pPr>
            <w:r>
              <w:rPr>
                <w:rFonts w:hint="eastAsia" w:ascii="宋体" w:hAnsi="宋体" w:eastAsia="宋体" w:cs="宋体"/>
                <w:highlight w:val="none"/>
              </w:rPr>
              <w:t xml:space="preserve">产品名称：      </w:t>
            </w:r>
          </w:p>
          <w:p>
            <w:pPr>
              <w:snapToGrid w:val="0"/>
              <w:spacing w:line="312" w:lineRule="auto"/>
              <w:rPr>
                <w:rFonts w:hint="eastAsia" w:ascii="宋体" w:hAnsi="宋体" w:eastAsia="宋体" w:cs="宋体"/>
                <w:highlight w:val="none"/>
                <w:lang w:val="zh-CN"/>
              </w:rPr>
            </w:pPr>
            <w:r>
              <w:rPr>
                <w:rFonts w:hint="eastAsia" w:ascii="宋体" w:hAnsi="宋体" w:eastAsia="宋体" w:cs="宋体"/>
                <w:highlight w:val="none"/>
                <w:lang w:val="zh-CN"/>
              </w:rPr>
              <w:t>采用最低评标价法的采购项目，提供相同品牌产品的不同投标人参加同一合同项下投标的，以其中通过资格审查、符合性审查且报价最低的参加评标；报价相同的，由采购人或者采购人委托评标委员会按照</w:t>
            </w:r>
            <w:r>
              <w:rPr>
                <w:rFonts w:hint="eastAsia" w:ascii="宋体" w:hAnsi="宋体" w:eastAsia="宋体" w:cs="宋体"/>
                <w:highlight w:val="none"/>
                <w:u w:val="single"/>
                <w:lang w:val="zh-CN"/>
              </w:rPr>
              <w:t xml:space="preserve">         </w:t>
            </w:r>
            <w:r>
              <w:rPr>
                <w:rFonts w:hint="eastAsia" w:ascii="宋体" w:hAnsi="宋体" w:eastAsia="宋体" w:cs="宋体"/>
                <w:highlight w:val="none"/>
                <w:lang w:val="zh-CN"/>
              </w:rPr>
              <w:t>的方式确定一个参加评标的投标人，招标文件未规定的采取随机抽取方式确定，其他投标无效。</w:t>
            </w:r>
          </w:p>
          <w:p>
            <w:pPr>
              <w:snapToGrid w:val="0"/>
              <w:spacing w:line="312" w:lineRule="auto"/>
              <w:rPr>
                <w:rFonts w:hint="eastAsia" w:ascii="宋体" w:hAnsi="宋体" w:eastAsia="宋体" w:cs="宋体"/>
                <w:highlight w:val="none"/>
              </w:rPr>
            </w:pPr>
            <w:r>
              <w:rPr>
                <w:rFonts w:hint="eastAsia" w:ascii="宋体" w:hAnsi="宋体" w:eastAsia="宋体" w:cs="宋体"/>
                <w:highlight w:val="none"/>
                <w:lang w:val="zh-CN"/>
              </w:rPr>
              <w:t>采用综合评分法的采购项目，多家投标人提供的核心产品品牌相同，且通过资格审查、符合性审查的，按一家投标人计算，评审后得分最高的同品牌投标人获得中标人推荐资格，（</w:t>
            </w:r>
            <w:r>
              <w:rPr>
                <w:rFonts w:hint="eastAsia" w:ascii="宋体" w:hAnsi="宋体" w:eastAsia="宋体" w:cs="宋体"/>
                <w:highlight w:val="none"/>
              </w:rPr>
              <w:t>评审得分相同的，由采购人或者采购人委托评标委员会按照</w:t>
            </w:r>
            <w:r>
              <w:rPr>
                <w:rFonts w:hint="eastAsia" w:ascii="宋体" w:hAnsi="宋体" w:eastAsia="宋体" w:cs="宋体"/>
                <w:highlight w:val="none"/>
                <w:u w:val="single"/>
              </w:rPr>
              <w:t xml:space="preserve">            </w:t>
            </w:r>
            <w:r>
              <w:rPr>
                <w:rFonts w:hint="eastAsia" w:ascii="宋体" w:hAnsi="宋体" w:eastAsia="宋体" w:cs="宋体"/>
                <w:highlight w:val="none"/>
              </w:rPr>
              <w:t xml:space="preserve"> 的方式确定一个投标人获得中标人推荐资格，招标文件未规定的采取随机抽取方式确定</w:t>
            </w:r>
            <w:r>
              <w:rPr>
                <w:rFonts w:hint="eastAsia" w:ascii="宋体" w:hAnsi="宋体" w:eastAsia="宋体" w:cs="宋体"/>
                <w:highlight w:val="none"/>
                <w:lang w:val="zh-CN"/>
              </w:rPr>
              <w:t>），其他同品牌投标人不作为中标候选人。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 w:type="dxa"/>
            <w:noWrap w:val="0"/>
            <w:vAlign w:val="center"/>
          </w:tcPr>
          <w:p>
            <w:pPr>
              <w:snapToGrid w:val="0"/>
              <w:spacing w:line="312" w:lineRule="auto"/>
              <w:jc w:val="center"/>
              <w:rPr>
                <w:rFonts w:hint="eastAsia" w:ascii="宋体" w:hAnsi="宋体" w:eastAsia="宋体" w:cs="宋体"/>
                <w:highlight w:val="none"/>
              </w:rPr>
            </w:pPr>
            <w:r>
              <w:rPr>
                <w:rFonts w:hint="eastAsia" w:ascii="宋体" w:hAnsi="宋体" w:eastAsia="宋体" w:cs="宋体"/>
                <w:highlight w:val="none"/>
              </w:rPr>
              <w:t>11</w:t>
            </w:r>
          </w:p>
        </w:tc>
        <w:tc>
          <w:tcPr>
            <w:tcW w:w="1984" w:type="dxa"/>
            <w:noWrap w:val="0"/>
            <w:vAlign w:val="center"/>
          </w:tcPr>
          <w:p>
            <w:pPr>
              <w:snapToGrid w:val="0"/>
              <w:spacing w:line="312" w:lineRule="auto"/>
              <w:rPr>
                <w:rFonts w:hint="eastAsia" w:ascii="宋体" w:hAnsi="宋体" w:eastAsia="宋体" w:cs="宋体"/>
                <w:highlight w:val="none"/>
              </w:rPr>
            </w:pPr>
            <w:r>
              <w:rPr>
                <w:rFonts w:hint="eastAsia" w:ascii="宋体" w:hAnsi="宋体" w:eastAsia="宋体" w:cs="宋体"/>
                <w:highlight w:val="none"/>
              </w:rPr>
              <w:t>采购进口产品</w:t>
            </w:r>
          </w:p>
        </w:tc>
        <w:tc>
          <w:tcPr>
            <w:tcW w:w="6058" w:type="dxa"/>
            <w:gridSpan w:val="2"/>
            <w:noWrap w:val="0"/>
            <w:vAlign w:val="center"/>
          </w:tcPr>
          <w:p>
            <w:pPr>
              <w:snapToGrid w:val="0"/>
              <w:spacing w:line="312" w:lineRule="auto"/>
              <w:rPr>
                <w:rFonts w:hint="eastAsia" w:ascii="宋体" w:hAnsi="宋体" w:eastAsia="宋体" w:cs="宋体"/>
                <w:highlight w:val="none"/>
              </w:rPr>
            </w:pPr>
            <w:r>
              <w:rPr>
                <w:rFonts w:hint="eastAsia" w:ascii="宋体" w:hAnsi="宋体" w:eastAsia="宋体" w:cs="宋体"/>
                <w:highlight w:val="none"/>
              </w:rPr>
              <w:sym w:font="Wingdings 2" w:char="0052"/>
            </w:r>
            <w:r>
              <w:rPr>
                <w:rFonts w:hint="eastAsia" w:ascii="宋体" w:hAnsi="宋体" w:eastAsia="宋体" w:cs="宋体"/>
                <w:highlight w:val="none"/>
              </w:rPr>
              <w:t>本采购项目拒绝进口产品参加投标</w:t>
            </w:r>
          </w:p>
          <w:p>
            <w:pPr>
              <w:snapToGrid w:val="0"/>
              <w:spacing w:line="312" w:lineRule="auto"/>
              <w:rPr>
                <w:rFonts w:hint="eastAsia" w:ascii="宋体" w:hAnsi="宋体" w:eastAsia="宋体" w:cs="宋体"/>
                <w:highlight w:val="none"/>
              </w:rPr>
            </w:pPr>
            <w:r>
              <w:rPr>
                <w:rFonts w:hint="eastAsia" w:ascii="宋体" w:hAnsi="宋体" w:eastAsia="宋体" w:cs="宋体"/>
                <w:highlight w:val="none"/>
              </w:rPr>
              <w:t>□本采购项目已经财政部审核同意购买进口产品</w:t>
            </w:r>
          </w:p>
          <w:p>
            <w:pPr>
              <w:snapToGrid w:val="0"/>
              <w:spacing w:line="312" w:lineRule="auto"/>
              <w:rPr>
                <w:rFonts w:hint="eastAsia" w:ascii="宋体" w:hAnsi="宋体" w:eastAsia="宋体" w:cs="宋体"/>
                <w:highlight w:val="none"/>
              </w:rPr>
            </w:pPr>
            <w:r>
              <w:rPr>
                <w:rFonts w:hint="eastAsia" w:ascii="宋体" w:hAnsi="宋体" w:eastAsia="宋体" w:cs="宋体"/>
                <w:highlight w:val="none"/>
              </w:rPr>
              <w:t>□其他____________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 w:type="dxa"/>
            <w:noWrap w:val="0"/>
            <w:vAlign w:val="center"/>
          </w:tcPr>
          <w:p>
            <w:pPr>
              <w:snapToGrid w:val="0"/>
              <w:spacing w:line="312" w:lineRule="auto"/>
              <w:jc w:val="center"/>
              <w:rPr>
                <w:rFonts w:hint="eastAsia" w:ascii="宋体" w:hAnsi="宋体" w:eastAsia="宋体" w:cs="宋体"/>
                <w:highlight w:val="none"/>
              </w:rPr>
            </w:pPr>
            <w:r>
              <w:rPr>
                <w:rFonts w:hint="eastAsia" w:ascii="宋体" w:hAnsi="宋体" w:eastAsia="宋体" w:cs="宋体"/>
                <w:highlight w:val="none"/>
              </w:rPr>
              <w:t>12</w:t>
            </w:r>
          </w:p>
        </w:tc>
        <w:tc>
          <w:tcPr>
            <w:tcW w:w="1984" w:type="dxa"/>
            <w:noWrap w:val="0"/>
            <w:vAlign w:val="center"/>
          </w:tcPr>
          <w:p>
            <w:pPr>
              <w:snapToGrid w:val="0"/>
              <w:spacing w:line="312" w:lineRule="auto"/>
              <w:rPr>
                <w:rFonts w:hint="eastAsia" w:ascii="宋体" w:hAnsi="宋体" w:eastAsia="宋体" w:cs="宋体"/>
                <w:highlight w:val="none"/>
              </w:rPr>
            </w:pPr>
            <w:r>
              <w:rPr>
                <w:rFonts w:hint="eastAsia" w:ascii="宋体" w:hAnsi="宋体" w:eastAsia="宋体" w:cs="宋体"/>
                <w:highlight w:val="none"/>
              </w:rPr>
              <w:t>信息发布媒体</w:t>
            </w:r>
          </w:p>
        </w:tc>
        <w:tc>
          <w:tcPr>
            <w:tcW w:w="6058" w:type="dxa"/>
            <w:gridSpan w:val="2"/>
            <w:noWrap w:val="0"/>
            <w:vAlign w:val="center"/>
          </w:tcPr>
          <w:p>
            <w:pPr>
              <w:snapToGrid w:val="0"/>
              <w:spacing w:line="312" w:lineRule="auto"/>
              <w:rPr>
                <w:rFonts w:hint="eastAsia" w:ascii="宋体" w:hAnsi="宋体" w:eastAsia="宋体" w:cs="宋体"/>
                <w:highlight w:val="none"/>
              </w:rPr>
            </w:pPr>
            <w:r>
              <w:rPr>
                <w:rFonts w:hint="eastAsia" w:ascii="宋体" w:hAnsi="宋体" w:eastAsia="宋体" w:cs="宋体"/>
                <w:highlight w:val="none"/>
              </w:rPr>
              <w:t>中国政府采购网（</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"http://www.ccgp.gov.cn" </w:instrText>
            </w:r>
            <w:r>
              <w:rPr>
                <w:rFonts w:hint="eastAsia" w:ascii="宋体" w:hAnsi="宋体" w:eastAsia="宋体" w:cs="宋体"/>
                <w:highlight w:val="none"/>
              </w:rPr>
              <w:fldChar w:fldCharType="separate"/>
            </w:r>
            <w:r>
              <w:rPr>
                <w:rFonts w:hint="eastAsia" w:ascii="宋体" w:hAnsi="宋体" w:eastAsia="宋体" w:cs="宋体"/>
                <w:highlight w:val="none"/>
              </w:rPr>
              <w:t>www.ccgp.gov.cn</w:t>
            </w:r>
            <w:r>
              <w:rPr>
                <w:rFonts w:hint="eastAsia" w:ascii="宋体" w:hAnsi="宋体" w:eastAsia="宋体" w:cs="宋体"/>
                <w:highlight w:val="none"/>
              </w:rPr>
              <w:fldChar w:fldCharType="end"/>
            </w:r>
            <w:r>
              <w:rPr>
                <w:rFonts w:hint="eastAsia" w:ascii="宋体" w:hAnsi="宋体" w:eastAsia="宋体" w:cs="宋体"/>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 w:type="dxa"/>
            <w:noWrap w:val="0"/>
            <w:vAlign w:val="center"/>
          </w:tcPr>
          <w:p>
            <w:pPr>
              <w:snapToGrid w:val="0"/>
              <w:spacing w:line="312" w:lineRule="auto"/>
              <w:jc w:val="center"/>
              <w:rPr>
                <w:rFonts w:hint="eastAsia" w:ascii="宋体" w:hAnsi="宋体" w:eastAsia="宋体" w:cs="宋体"/>
                <w:highlight w:val="none"/>
              </w:rPr>
            </w:pPr>
            <w:r>
              <w:rPr>
                <w:rFonts w:hint="eastAsia" w:ascii="宋体" w:hAnsi="宋体" w:eastAsia="宋体" w:cs="宋体"/>
                <w:highlight w:val="none"/>
              </w:rPr>
              <w:t>13</w:t>
            </w:r>
          </w:p>
        </w:tc>
        <w:tc>
          <w:tcPr>
            <w:tcW w:w="1984" w:type="dxa"/>
            <w:noWrap w:val="0"/>
            <w:vAlign w:val="center"/>
          </w:tcPr>
          <w:p>
            <w:pPr>
              <w:snapToGrid w:val="0"/>
              <w:spacing w:line="312" w:lineRule="auto"/>
              <w:rPr>
                <w:rFonts w:hint="eastAsia" w:ascii="宋体" w:hAnsi="宋体" w:eastAsia="宋体" w:cs="宋体"/>
                <w:highlight w:val="none"/>
              </w:rPr>
            </w:pPr>
            <w:r>
              <w:rPr>
                <w:rFonts w:hint="eastAsia" w:ascii="宋体" w:hAnsi="宋体" w:eastAsia="宋体" w:cs="宋体"/>
                <w:highlight w:val="none"/>
              </w:rPr>
              <w:t>获取招标文件</w:t>
            </w:r>
          </w:p>
          <w:p>
            <w:pPr>
              <w:snapToGrid w:val="0"/>
              <w:spacing w:line="312" w:lineRule="auto"/>
              <w:rPr>
                <w:rFonts w:hint="eastAsia" w:ascii="宋体" w:hAnsi="宋体" w:eastAsia="宋体" w:cs="宋体"/>
                <w:highlight w:val="none"/>
              </w:rPr>
            </w:pPr>
            <w:r>
              <w:rPr>
                <w:rFonts w:hint="eastAsia" w:ascii="宋体" w:hAnsi="宋体" w:eastAsia="宋体" w:cs="宋体"/>
                <w:highlight w:val="none"/>
              </w:rPr>
              <w:t>时间、地点和</w:t>
            </w:r>
          </w:p>
          <w:p>
            <w:pPr>
              <w:snapToGrid w:val="0"/>
              <w:spacing w:line="312" w:lineRule="auto"/>
              <w:rPr>
                <w:rFonts w:hint="eastAsia" w:ascii="宋体" w:hAnsi="宋体" w:eastAsia="宋体" w:cs="宋体"/>
                <w:highlight w:val="none"/>
              </w:rPr>
            </w:pPr>
            <w:r>
              <w:rPr>
                <w:rFonts w:hint="eastAsia" w:ascii="宋体" w:hAnsi="宋体" w:eastAsia="宋体" w:cs="宋体"/>
                <w:highlight w:val="none"/>
              </w:rPr>
              <w:t>方式等</w:t>
            </w:r>
          </w:p>
        </w:tc>
        <w:tc>
          <w:tcPr>
            <w:tcW w:w="6058" w:type="dxa"/>
            <w:gridSpan w:val="2"/>
            <w:noWrap w:val="0"/>
            <w:vAlign w:val="center"/>
          </w:tcPr>
          <w:p>
            <w:pPr>
              <w:snapToGrid w:val="0"/>
              <w:spacing w:line="312" w:lineRule="auto"/>
              <w:rPr>
                <w:rFonts w:hint="eastAsia" w:ascii="宋体" w:hAnsi="宋体" w:eastAsia="宋体" w:cs="宋体"/>
                <w:highlight w:val="none"/>
              </w:rPr>
            </w:pPr>
            <w:r>
              <w:rPr>
                <w:rFonts w:hint="eastAsia" w:ascii="宋体" w:hAnsi="宋体" w:eastAsia="宋体" w:cs="宋体"/>
                <w:highlight w:val="none"/>
              </w:rPr>
              <w:t>1、时间：2025年7月21日至2025年7月25日，每天08:30至12:00，14:30至17:30（北京时间，法定节假日除外）。</w:t>
            </w:r>
          </w:p>
          <w:p>
            <w:pPr>
              <w:snapToGrid w:val="0"/>
              <w:spacing w:line="312" w:lineRule="auto"/>
              <w:rPr>
                <w:rFonts w:hint="eastAsia" w:ascii="宋体" w:hAnsi="宋体" w:eastAsia="宋体" w:cs="宋体"/>
                <w:highlight w:val="none"/>
              </w:rPr>
            </w:pPr>
            <w:r>
              <w:rPr>
                <w:rFonts w:hint="eastAsia" w:ascii="宋体" w:hAnsi="宋体" w:eastAsia="宋体" w:cs="宋体"/>
                <w:highlight w:val="none"/>
              </w:rPr>
              <w:t>2、地点：湖北普华工程咨询有限公司（十堰市茅箭区重庆路99号汉成天地2号写字楼22层）。</w:t>
            </w:r>
          </w:p>
          <w:p>
            <w:pPr>
              <w:snapToGrid w:val="0"/>
              <w:spacing w:line="312" w:lineRule="auto"/>
              <w:rPr>
                <w:rFonts w:hint="eastAsia" w:ascii="宋体" w:hAnsi="宋体" w:eastAsia="宋体" w:cs="宋体"/>
                <w:highlight w:val="none"/>
              </w:rPr>
            </w:pPr>
            <w:r>
              <w:rPr>
                <w:rFonts w:hint="eastAsia" w:ascii="宋体" w:hAnsi="宋体" w:eastAsia="宋体" w:cs="宋体"/>
                <w:highlight w:val="none"/>
              </w:rPr>
              <w:t>3、方式：现场获取</w:t>
            </w:r>
          </w:p>
          <w:p>
            <w:pPr>
              <w:snapToGrid w:val="0"/>
              <w:spacing w:line="312" w:lineRule="auto"/>
              <w:rPr>
                <w:rFonts w:hint="eastAsia" w:ascii="宋体" w:hAnsi="宋体" w:eastAsia="宋体" w:cs="宋体"/>
                <w:highlight w:val="none"/>
              </w:rPr>
            </w:pPr>
            <w:r>
              <w:rPr>
                <w:rFonts w:hint="eastAsia" w:ascii="宋体" w:hAnsi="宋体" w:eastAsia="宋体" w:cs="宋体"/>
                <w:highlight w:val="none"/>
              </w:rPr>
              <w:t>由法定代表人持本人身份证原件、法人身份证明书和营业执照复印件或委托代理人(须为本单位正式员工)持本人身份证原件、法定代表人授权委托书和营业执照复印件及本公告第二条申请人资格要求的相关材料(加盖本单位公章)一套，在湖北普华工程咨询有限公司（十堰市茅箭区重庆路99号汉成天地2号写字楼22层）报名。</w:t>
            </w:r>
          </w:p>
          <w:p>
            <w:pPr>
              <w:snapToGrid w:val="0"/>
              <w:spacing w:line="312" w:lineRule="auto"/>
              <w:rPr>
                <w:rFonts w:hint="eastAsia" w:ascii="宋体" w:hAnsi="宋体" w:eastAsia="宋体" w:cs="宋体"/>
                <w:highlight w:val="none"/>
              </w:rPr>
            </w:pPr>
            <w:r>
              <w:rPr>
                <w:rFonts w:hint="eastAsia" w:ascii="宋体" w:hAnsi="宋体" w:eastAsia="宋体" w:cs="宋体"/>
                <w:highlight w:val="none"/>
              </w:rPr>
              <w:t>4、招标文件获取方式：统一以电子邮件方式向供应商发送。</w:t>
            </w:r>
          </w:p>
          <w:p>
            <w:pPr>
              <w:snapToGrid w:val="0"/>
              <w:spacing w:line="312" w:lineRule="auto"/>
              <w:rPr>
                <w:rFonts w:hint="eastAsia" w:ascii="宋体" w:hAnsi="宋体" w:eastAsia="宋体" w:cs="宋体"/>
                <w:highlight w:val="none"/>
              </w:rPr>
            </w:pPr>
            <w:r>
              <w:rPr>
                <w:rFonts w:hint="eastAsia" w:ascii="宋体" w:hAnsi="宋体" w:eastAsia="宋体" w:cs="宋体"/>
                <w:highlight w:val="none"/>
              </w:rPr>
              <w:t>5、售价：0元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 w:type="dxa"/>
            <w:noWrap w:val="0"/>
            <w:vAlign w:val="center"/>
          </w:tcPr>
          <w:p>
            <w:pPr>
              <w:snapToGrid w:val="0"/>
              <w:spacing w:line="312" w:lineRule="auto"/>
              <w:jc w:val="center"/>
              <w:rPr>
                <w:rFonts w:hint="eastAsia" w:ascii="宋体" w:hAnsi="宋体" w:eastAsia="宋体" w:cs="宋体"/>
                <w:highlight w:val="none"/>
              </w:rPr>
            </w:pPr>
            <w:r>
              <w:rPr>
                <w:rFonts w:hint="eastAsia" w:ascii="宋体" w:hAnsi="宋体" w:eastAsia="宋体" w:cs="宋体"/>
                <w:highlight w:val="none"/>
              </w:rPr>
              <w:t>14</w:t>
            </w:r>
          </w:p>
        </w:tc>
        <w:tc>
          <w:tcPr>
            <w:tcW w:w="1984" w:type="dxa"/>
            <w:noWrap w:val="0"/>
            <w:vAlign w:val="center"/>
          </w:tcPr>
          <w:p>
            <w:pPr>
              <w:snapToGrid w:val="0"/>
              <w:spacing w:line="312" w:lineRule="auto"/>
              <w:rPr>
                <w:rFonts w:hint="eastAsia" w:ascii="宋体" w:hAnsi="宋体" w:eastAsia="宋体" w:cs="宋体"/>
                <w:highlight w:val="none"/>
              </w:rPr>
            </w:pPr>
            <w:r>
              <w:rPr>
                <w:rFonts w:hint="eastAsia" w:ascii="宋体" w:hAnsi="宋体" w:eastAsia="宋体" w:cs="宋体"/>
                <w:highlight w:val="none"/>
              </w:rPr>
              <w:t>现场考察/踏勘</w:t>
            </w:r>
          </w:p>
        </w:tc>
        <w:tc>
          <w:tcPr>
            <w:tcW w:w="6058" w:type="dxa"/>
            <w:gridSpan w:val="2"/>
            <w:noWrap w:val="0"/>
            <w:vAlign w:val="center"/>
          </w:tcPr>
          <w:p>
            <w:pPr>
              <w:snapToGrid w:val="0"/>
              <w:spacing w:line="312" w:lineRule="auto"/>
              <w:rPr>
                <w:rFonts w:hint="eastAsia" w:ascii="宋体" w:hAnsi="宋体" w:eastAsia="宋体" w:cs="宋体"/>
                <w:highlight w:val="none"/>
              </w:rPr>
            </w:pPr>
            <w:r>
              <w:rPr>
                <w:rFonts w:hint="eastAsia" w:ascii="宋体" w:hAnsi="宋体" w:eastAsia="宋体" w:cs="宋体"/>
                <w:highlight w:val="none"/>
              </w:rPr>
              <w:sym w:font="Wingdings 2" w:char="0052"/>
            </w:r>
            <w:r>
              <w:rPr>
                <w:rFonts w:hint="eastAsia" w:ascii="宋体" w:hAnsi="宋体" w:eastAsia="宋体" w:cs="宋体"/>
                <w:highlight w:val="none"/>
              </w:rPr>
              <w:t>不组织现场考察/踏勘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 w:type="dxa"/>
            <w:noWrap w:val="0"/>
            <w:vAlign w:val="center"/>
          </w:tcPr>
          <w:p>
            <w:pPr>
              <w:snapToGrid w:val="0"/>
              <w:spacing w:line="312" w:lineRule="auto"/>
              <w:jc w:val="center"/>
              <w:rPr>
                <w:rFonts w:hint="eastAsia" w:ascii="宋体" w:hAnsi="宋体" w:eastAsia="宋体" w:cs="宋体"/>
                <w:highlight w:val="none"/>
              </w:rPr>
            </w:pPr>
            <w:r>
              <w:rPr>
                <w:rFonts w:hint="eastAsia" w:ascii="宋体" w:hAnsi="宋体" w:eastAsia="宋体" w:cs="宋体"/>
                <w:highlight w:val="none"/>
              </w:rPr>
              <w:t>15</w:t>
            </w:r>
          </w:p>
        </w:tc>
        <w:tc>
          <w:tcPr>
            <w:tcW w:w="1984" w:type="dxa"/>
            <w:noWrap w:val="0"/>
            <w:vAlign w:val="center"/>
          </w:tcPr>
          <w:p>
            <w:pPr>
              <w:snapToGrid w:val="0"/>
              <w:spacing w:line="312" w:lineRule="auto"/>
              <w:rPr>
                <w:rFonts w:hint="eastAsia" w:ascii="宋体" w:hAnsi="宋体" w:eastAsia="宋体" w:cs="宋体"/>
                <w:highlight w:val="none"/>
              </w:rPr>
            </w:pPr>
            <w:r>
              <w:rPr>
                <w:rFonts w:hint="eastAsia" w:ascii="宋体" w:hAnsi="宋体" w:eastAsia="宋体" w:cs="宋体"/>
                <w:highlight w:val="none"/>
              </w:rPr>
              <w:t>样品</w:t>
            </w:r>
          </w:p>
        </w:tc>
        <w:tc>
          <w:tcPr>
            <w:tcW w:w="6058" w:type="dxa"/>
            <w:gridSpan w:val="2"/>
            <w:noWrap w:val="0"/>
            <w:vAlign w:val="center"/>
          </w:tcPr>
          <w:p>
            <w:pPr>
              <w:snapToGrid w:val="0"/>
              <w:spacing w:line="312" w:lineRule="auto"/>
              <w:rPr>
                <w:rFonts w:hint="eastAsia" w:ascii="宋体" w:hAnsi="宋体" w:eastAsia="宋体" w:cs="宋体"/>
                <w:highlight w:val="none"/>
              </w:rPr>
            </w:pPr>
            <w:r>
              <w:rPr>
                <w:rFonts w:hint="eastAsia" w:ascii="宋体" w:hAnsi="宋体" w:eastAsia="宋体" w:cs="宋体"/>
                <w:highlight w:val="none"/>
              </w:rPr>
              <w:sym w:font="Wingdings 2" w:char="0052"/>
            </w:r>
            <w:r>
              <w:rPr>
                <w:rFonts w:hint="eastAsia" w:ascii="宋体" w:hAnsi="宋体" w:eastAsia="宋体" w:cs="宋体"/>
                <w:highlight w:val="none"/>
              </w:rPr>
              <w:t>不要求提供</w:t>
            </w:r>
          </w:p>
          <w:p>
            <w:pPr>
              <w:snapToGrid w:val="0"/>
              <w:spacing w:line="312" w:lineRule="auto"/>
              <w:rPr>
                <w:rFonts w:hint="eastAsia" w:ascii="宋体" w:hAnsi="宋体" w:eastAsia="宋体" w:cs="宋体"/>
                <w:highlight w:val="none"/>
              </w:rPr>
            </w:pPr>
            <w:r>
              <w:rPr>
                <w:rFonts w:hint="eastAsia" w:ascii="宋体" w:hAnsi="宋体" w:eastAsia="宋体" w:cs="宋体"/>
                <w:highlight w:val="none"/>
              </w:rPr>
              <w:sym w:font="Wingdings 2" w:char="F0A3"/>
            </w:r>
            <w:r>
              <w:rPr>
                <w:rFonts w:hint="eastAsia" w:ascii="宋体" w:hAnsi="宋体" w:eastAsia="宋体" w:cs="宋体"/>
                <w:highlight w:val="none"/>
              </w:rPr>
              <w:t>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 w:type="dxa"/>
            <w:vMerge w:val="restart"/>
            <w:noWrap w:val="0"/>
            <w:vAlign w:val="center"/>
          </w:tcPr>
          <w:p>
            <w:pPr>
              <w:snapToGrid w:val="0"/>
              <w:spacing w:line="312" w:lineRule="auto"/>
              <w:jc w:val="center"/>
              <w:rPr>
                <w:rFonts w:hint="eastAsia" w:ascii="宋体" w:hAnsi="宋体" w:eastAsia="宋体" w:cs="宋体"/>
                <w:highlight w:val="none"/>
              </w:rPr>
            </w:pPr>
            <w:r>
              <w:rPr>
                <w:rFonts w:hint="eastAsia" w:ascii="宋体" w:hAnsi="宋体" w:eastAsia="宋体" w:cs="宋体"/>
                <w:highlight w:val="none"/>
              </w:rPr>
              <w:t>16</w:t>
            </w:r>
          </w:p>
        </w:tc>
        <w:tc>
          <w:tcPr>
            <w:tcW w:w="1984" w:type="dxa"/>
            <w:vMerge w:val="restart"/>
            <w:noWrap w:val="0"/>
            <w:vAlign w:val="center"/>
          </w:tcPr>
          <w:p>
            <w:pPr>
              <w:snapToGrid w:val="0"/>
              <w:spacing w:line="312" w:lineRule="auto"/>
              <w:rPr>
                <w:rFonts w:hint="eastAsia" w:ascii="宋体" w:hAnsi="宋体" w:eastAsia="宋体" w:cs="宋体"/>
                <w:highlight w:val="none"/>
              </w:rPr>
            </w:pPr>
            <w:r>
              <w:rPr>
                <w:rFonts w:hint="eastAsia" w:ascii="宋体" w:hAnsi="宋体" w:eastAsia="宋体" w:cs="宋体"/>
                <w:highlight w:val="none"/>
              </w:rPr>
              <w:t>投标文件组成</w:t>
            </w:r>
          </w:p>
        </w:tc>
        <w:tc>
          <w:tcPr>
            <w:tcW w:w="851" w:type="dxa"/>
            <w:vMerge w:val="restart"/>
            <w:noWrap w:val="0"/>
            <w:vAlign w:val="center"/>
          </w:tcPr>
          <w:p>
            <w:pPr>
              <w:snapToGrid w:val="0"/>
              <w:spacing w:line="312" w:lineRule="auto"/>
              <w:rPr>
                <w:rFonts w:hint="eastAsia" w:ascii="宋体" w:hAnsi="宋体" w:eastAsia="宋体" w:cs="宋体"/>
                <w:highlight w:val="none"/>
              </w:rPr>
            </w:pPr>
            <w:r>
              <w:rPr>
                <w:rFonts w:hint="eastAsia" w:ascii="宋体" w:hAnsi="宋体" w:eastAsia="宋体" w:cs="宋体"/>
                <w:highlight w:val="none"/>
              </w:rPr>
              <w:t>投标文件组成</w:t>
            </w:r>
          </w:p>
        </w:tc>
        <w:tc>
          <w:tcPr>
            <w:tcW w:w="5207" w:type="dxa"/>
            <w:noWrap w:val="0"/>
            <w:vAlign w:val="center"/>
          </w:tcPr>
          <w:p>
            <w:pPr>
              <w:adjustRightInd w:val="0"/>
              <w:snapToGrid w:val="0"/>
              <w:spacing w:beforeLines="50" w:afterLines="50" w:line="332" w:lineRule="auto"/>
              <w:rPr>
                <w:rFonts w:cs="宋体"/>
                <w:highlight w:val="none"/>
              </w:rPr>
            </w:pPr>
            <w:r>
              <w:rPr>
                <w:rFonts w:hint="eastAsia" w:cs="宋体"/>
                <w:highlight w:val="none"/>
              </w:rPr>
              <w:t>（1）投标函</w:t>
            </w:r>
          </w:p>
          <w:p>
            <w:pPr>
              <w:adjustRightInd w:val="0"/>
              <w:snapToGrid w:val="0"/>
              <w:spacing w:beforeLines="50" w:afterLines="50" w:line="332" w:lineRule="auto"/>
              <w:rPr>
                <w:rFonts w:cs="宋体"/>
                <w:highlight w:val="none"/>
              </w:rPr>
            </w:pPr>
            <w:r>
              <w:rPr>
                <w:rFonts w:hint="eastAsia" w:cs="宋体"/>
                <w:highlight w:val="none"/>
              </w:rPr>
              <w:t>（2）开标一览表</w:t>
            </w:r>
          </w:p>
          <w:p>
            <w:pPr>
              <w:adjustRightInd w:val="0"/>
              <w:snapToGrid w:val="0"/>
              <w:spacing w:beforeLines="50" w:afterLines="50" w:line="332" w:lineRule="auto"/>
              <w:rPr>
                <w:rFonts w:cs="宋体"/>
                <w:highlight w:val="none"/>
              </w:rPr>
            </w:pPr>
            <w:r>
              <w:rPr>
                <w:rFonts w:hint="eastAsia" w:cs="宋体"/>
                <w:highlight w:val="none"/>
              </w:rPr>
              <w:t>（3）投标分项报价明细表</w:t>
            </w:r>
          </w:p>
          <w:p>
            <w:pPr>
              <w:adjustRightInd w:val="0"/>
              <w:snapToGrid w:val="0"/>
              <w:spacing w:beforeLines="50" w:afterLines="50" w:line="332" w:lineRule="auto"/>
              <w:rPr>
                <w:rFonts w:cs="宋体"/>
                <w:highlight w:val="none"/>
              </w:rPr>
            </w:pPr>
            <w:r>
              <w:rPr>
                <w:rFonts w:hint="eastAsia" w:cs="宋体"/>
                <w:highlight w:val="none"/>
              </w:rPr>
              <w:t>（4）投标承诺书</w:t>
            </w:r>
          </w:p>
          <w:p>
            <w:pPr>
              <w:adjustRightInd w:val="0"/>
              <w:snapToGrid w:val="0"/>
              <w:spacing w:beforeLines="50" w:afterLines="50" w:line="332" w:lineRule="auto"/>
              <w:rPr>
                <w:rFonts w:cs="宋体"/>
                <w:highlight w:val="none"/>
              </w:rPr>
            </w:pPr>
            <w:r>
              <w:rPr>
                <w:rFonts w:hint="eastAsia" w:cs="宋体"/>
                <w:highlight w:val="none"/>
              </w:rPr>
              <w:t>（5）法定代表人身份证明</w:t>
            </w:r>
          </w:p>
          <w:p>
            <w:pPr>
              <w:adjustRightInd w:val="0"/>
              <w:snapToGrid w:val="0"/>
              <w:spacing w:beforeLines="50" w:afterLines="50" w:line="332" w:lineRule="auto"/>
              <w:rPr>
                <w:rFonts w:cs="宋体"/>
                <w:highlight w:val="none"/>
              </w:rPr>
            </w:pPr>
            <w:r>
              <w:rPr>
                <w:rFonts w:hint="eastAsia" w:cs="宋体"/>
                <w:highlight w:val="none"/>
              </w:rPr>
              <w:t>（6）法定代表人授权委托书</w:t>
            </w:r>
          </w:p>
          <w:p>
            <w:pPr>
              <w:adjustRightInd w:val="0"/>
              <w:snapToGrid w:val="0"/>
              <w:spacing w:beforeLines="50" w:afterLines="50" w:line="332" w:lineRule="auto"/>
              <w:rPr>
                <w:rFonts w:cs="宋体"/>
                <w:highlight w:val="none"/>
              </w:rPr>
            </w:pPr>
            <w:r>
              <w:rPr>
                <w:rFonts w:hint="eastAsia" w:cs="宋体"/>
                <w:highlight w:val="none"/>
              </w:rPr>
              <w:t>（7）资格证明文件</w:t>
            </w:r>
          </w:p>
          <w:p>
            <w:pPr>
              <w:adjustRightInd w:val="0"/>
              <w:snapToGrid w:val="0"/>
              <w:spacing w:beforeLines="50" w:afterLines="50" w:line="332" w:lineRule="auto"/>
              <w:rPr>
                <w:rFonts w:cs="宋体"/>
                <w:highlight w:val="none"/>
              </w:rPr>
            </w:pPr>
            <w:r>
              <w:rPr>
                <w:rFonts w:hint="eastAsia" w:cs="宋体"/>
                <w:highlight w:val="none"/>
              </w:rPr>
              <w:t>（8）商务文件</w:t>
            </w:r>
          </w:p>
          <w:p>
            <w:pPr>
              <w:adjustRightInd w:val="0"/>
              <w:snapToGrid w:val="0"/>
              <w:spacing w:beforeLines="50" w:afterLines="50" w:line="332" w:lineRule="auto"/>
              <w:rPr>
                <w:rFonts w:cs="宋体"/>
                <w:highlight w:val="none"/>
              </w:rPr>
            </w:pPr>
            <w:r>
              <w:rPr>
                <w:rFonts w:hint="eastAsia" w:cs="宋体"/>
                <w:highlight w:val="none"/>
              </w:rPr>
              <w:t>（9）商务偏离表</w:t>
            </w:r>
          </w:p>
          <w:p>
            <w:pPr>
              <w:adjustRightInd w:val="0"/>
              <w:snapToGrid w:val="0"/>
              <w:spacing w:beforeLines="50" w:afterLines="50" w:line="332" w:lineRule="auto"/>
              <w:rPr>
                <w:rFonts w:cs="宋体"/>
                <w:highlight w:val="none"/>
              </w:rPr>
            </w:pPr>
            <w:r>
              <w:rPr>
                <w:rFonts w:hint="eastAsia" w:cs="宋体"/>
                <w:highlight w:val="none"/>
              </w:rPr>
              <w:t>（10）政府采购相关政策（如适用）</w:t>
            </w:r>
          </w:p>
          <w:p>
            <w:pPr>
              <w:adjustRightInd w:val="0"/>
              <w:snapToGrid w:val="0"/>
              <w:spacing w:beforeLines="50" w:afterLines="50" w:line="332" w:lineRule="auto"/>
              <w:rPr>
                <w:rFonts w:cs="宋体"/>
                <w:highlight w:val="none"/>
              </w:rPr>
            </w:pPr>
            <w:r>
              <w:rPr>
                <w:rFonts w:hint="eastAsia" w:cs="宋体"/>
                <w:highlight w:val="none"/>
              </w:rPr>
              <w:t>（11）技术文件</w:t>
            </w:r>
          </w:p>
          <w:p>
            <w:pPr>
              <w:adjustRightInd w:val="0"/>
              <w:snapToGrid w:val="0"/>
              <w:spacing w:beforeLines="50" w:afterLines="50" w:line="332" w:lineRule="auto"/>
              <w:rPr>
                <w:rFonts w:hint="eastAsia" w:ascii="宋体" w:hAnsi="宋体" w:eastAsia="宋体" w:cs="宋体"/>
                <w:highlight w:val="none"/>
                <w:lang w:eastAsia="zh-CN"/>
              </w:rPr>
            </w:pPr>
            <w:r>
              <w:rPr>
                <w:rFonts w:hint="eastAsia" w:cs="宋体"/>
                <w:highlight w:val="none"/>
              </w:rPr>
              <w:t>（12）技术偏离表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 w:type="dxa"/>
            <w:vMerge w:val="continue"/>
            <w:noWrap w:val="0"/>
            <w:vAlign w:val="center"/>
          </w:tcPr>
          <w:p>
            <w:pPr>
              <w:snapToGrid w:val="0"/>
              <w:spacing w:line="312" w:lineRule="auto"/>
              <w:jc w:val="center"/>
              <w:rPr>
                <w:rFonts w:hint="eastAsia" w:ascii="宋体" w:hAnsi="宋体" w:eastAsia="宋体" w:cs="宋体"/>
                <w:highlight w:val="none"/>
              </w:rPr>
            </w:pPr>
          </w:p>
        </w:tc>
        <w:tc>
          <w:tcPr>
            <w:tcW w:w="1984" w:type="dxa"/>
            <w:vMerge w:val="continue"/>
            <w:noWrap w:val="0"/>
            <w:vAlign w:val="center"/>
          </w:tcPr>
          <w:p>
            <w:pPr>
              <w:snapToGrid w:val="0"/>
              <w:spacing w:line="312" w:lineRule="auto"/>
              <w:rPr>
                <w:rFonts w:hint="eastAsia" w:ascii="宋体" w:hAnsi="宋体" w:eastAsia="宋体" w:cs="宋体"/>
                <w:highlight w:val="none"/>
              </w:rPr>
            </w:pPr>
          </w:p>
        </w:tc>
        <w:tc>
          <w:tcPr>
            <w:tcW w:w="851" w:type="dxa"/>
            <w:vMerge w:val="continue"/>
            <w:noWrap w:val="0"/>
            <w:vAlign w:val="center"/>
          </w:tcPr>
          <w:p>
            <w:pPr>
              <w:snapToGrid w:val="0"/>
              <w:spacing w:line="312" w:lineRule="auto"/>
              <w:rPr>
                <w:rFonts w:hint="eastAsia" w:ascii="宋体" w:hAnsi="宋体" w:eastAsia="宋体" w:cs="宋体"/>
                <w:highlight w:val="none"/>
              </w:rPr>
            </w:pPr>
          </w:p>
        </w:tc>
        <w:tc>
          <w:tcPr>
            <w:tcW w:w="5207" w:type="dxa"/>
            <w:noWrap w:val="0"/>
            <w:vAlign w:val="center"/>
          </w:tcPr>
          <w:p>
            <w:pPr>
              <w:snapToGrid w:val="0"/>
              <w:spacing w:line="312" w:lineRule="auto"/>
              <w:rPr>
                <w:rFonts w:hint="eastAsia" w:ascii="宋体" w:hAnsi="宋体" w:eastAsia="宋体" w:cs="宋体"/>
                <w:highlight w:val="none"/>
              </w:rPr>
            </w:pPr>
            <w:r>
              <w:rPr>
                <w:rFonts w:hint="eastAsia" w:ascii="宋体" w:hAnsi="宋体" w:eastAsia="宋体" w:cs="宋体"/>
                <w:highlight w:val="none"/>
              </w:rPr>
              <w:t>二、开标一览表：</w:t>
            </w:r>
          </w:p>
          <w:p>
            <w:pPr>
              <w:snapToGrid w:val="0"/>
              <w:spacing w:line="312" w:lineRule="auto"/>
              <w:rPr>
                <w:rFonts w:hint="eastAsia" w:ascii="宋体" w:hAnsi="宋体" w:eastAsia="宋体" w:cs="宋体"/>
                <w:highlight w:val="none"/>
              </w:rPr>
            </w:pPr>
            <w:r>
              <w:rPr>
                <w:rFonts w:hint="eastAsia" w:ascii="宋体" w:hAnsi="宋体" w:eastAsia="宋体" w:cs="宋体"/>
                <w:highlight w:val="none"/>
              </w:rPr>
              <w:t>1.★投标报价表；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 w:type="dxa"/>
            <w:noWrap w:val="0"/>
            <w:vAlign w:val="center"/>
          </w:tcPr>
          <w:p>
            <w:pPr>
              <w:snapToGrid w:val="0"/>
              <w:spacing w:line="312" w:lineRule="auto"/>
              <w:jc w:val="center"/>
              <w:rPr>
                <w:rFonts w:hint="eastAsia" w:ascii="宋体" w:hAnsi="宋体" w:eastAsia="宋体" w:cs="宋体"/>
                <w:highlight w:val="none"/>
              </w:rPr>
            </w:pPr>
            <w:r>
              <w:rPr>
                <w:rFonts w:hint="eastAsia" w:ascii="宋体" w:hAnsi="宋体" w:eastAsia="宋体" w:cs="宋体"/>
                <w:highlight w:val="none"/>
              </w:rPr>
              <w:t>17</w:t>
            </w:r>
          </w:p>
        </w:tc>
        <w:tc>
          <w:tcPr>
            <w:tcW w:w="1984" w:type="dxa"/>
            <w:noWrap w:val="0"/>
            <w:vAlign w:val="center"/>
          </w:tcPr>
          <w:p>
            <w:pPr>
              <w:snapToGrid w:val="0"/>
              <w:spacing w:line="312" w:lineRule="auto"/>
              <w:rPr>
                <w:rFonts w:hint="eastAsia" w:ascii="宋体" w:hAnsi="宋体" w:eastAsia="宋体" w:cs="宋体"/>
                <w:highlight w:val="none"/>
              </w:rPr>
            </w:pPr>
            <w:r>
              <w:rPr>
                <w:rFonts w:hint="eastAsia" w:ascii="宋体" w:hAnsi="宋体" w:eastAsia="宋体" w:cs="宋体"/>
                <w:highlight w:val="none"/>
              </w:rPr>
              <w:t>投标有效期</w:t>
            </w:r>
          </w:p>
        </w:tc>
        <w:tc>
          <w:tcPr>
            <w:tcW w:w="6058" w:type="dxa"/>
            <w:gridSpan w:val="2"/>
            <w:noWrap w:val="0"/>
            <w:vAlign w:val="center"/>
          </w:tcPr>
          <w:p>
            <w:pPr>
              <w:snapToGrid w:val="0"/>
              <w:spacing w:line="312" w:lineRule="auto"/>
              <w:rPr>
                <w:rFonts w:hint="eastAsia" w:ascii="宋体" w:hAnsi="宋体" w:eastAsia="宋体" w:cs="宋体"/>
                <w:highlight w:val="none"/>
              </w:rPr>
            </w:pPr>
            <w:r>
              <w:rPr>
                <w:rFonts w:hint="eastAsia" w:ascii="宋体" w:hAnsi="宋体" w:eastAsia="宋体" w:cs="宋体"/>
                <w:highlight w:val="none"/>
              </w:rPr>
              <w:t>从提交投标文件的截止之日起计算</w:t>
            </w:r>
            <w:r>
              <w:rPr>
                <w:rFonts w:hint="eastAsia" w:ascii="宋体" w:hAnsi="宋体" w:eastAsia="宋体" w:cs="宋体"/>
                <w:highlight w:val="none"/>
                <w:lang w:val="en-US" w:eastAsia="zh-CN"/>
              </w:rPr>
              <w:t>90个</w:t>
            </w:r>
            <w:r>
              <w:rPr>
                <w:rFonts w:hint="eastAsia" w:ascii="宋体" w:hAnsi="宋体" w:eastAsia="宋体" w:cs="宋体"/>
                <w:highlight w:val="none"/>
              </w:rPr>
              <w:t>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 w:type="dxa"/>
            <w:noWrap w:val="0"/>
            <w:vAlign w:val="center"/>
          </w:tcPr>
          <w:p>
            <w:pPr>
              <w:snapToGrid w:val="0"/>
              <w:spacing w:line="312" w:lineRule="auto"/>
              <w:jc w:val="center"/>
              <w:rPr>
                <w:rFonts w:hint="eastAsia" w:ascii="宋体" w:hAnsi="宋体" w:eastAsia="宋体" w:cs="宋体"/>
                <w:highlight w:val="none"/>
              </w:rPr>
            </w:pPr>
            <w:r>
              <w:rPr>
                <w:rFonts w:hint="eastAsia" w:ascii="宋体" w:hAnsi="宋体" w:eastAsia="宋体" w:cs="宋体"/>
                <w:highlight w:val="none"/>
              </w:rPr>
              <w:t>18</w:t>
            </w:r>
          </w:p>
        </w:tc>
        <w:tc>
          <w:tcPr>
            <w:tcW w:w="1984" w:type="dxa"/>
            <w:noWrap w:val="0"/>
            <w:vAlign w:val="center"/>
          </w:tcPr>
          <w:p>
            <w:pPr>
              <w:snapToGrid w:val="0"/>
              <w:spacing w:line="312" w:lineRule="auto"/>
              <w:rPr>
                <w:rFonts w:hint="eastAsia" w:ascii="宋体" w:hAnsi="宋体" w:eastAsia="宋体" w:cs="宋体"/>
                <w:highlight w:val="none"/>
              </w:rPr>
            </w:pPr>
            <w:r>
              <w:rPr>
                <w:rFonts w:hint="eastAsia" w:ascii="宋体" w:hAnsi="宋体" w:eastAsia="宋体" w:cs="宋体"/>
                <w:highlight w:val="none"/>
              </w:rPr>
              <w:t>提交投标文件方式、截止时间、开标时间、地点</w:t>
            </w:r>
          </w:p>
        </w:tc>
        <w:tc>
          <w:tcPr>
            <w:tcW w:w="6058" w:type="dxa"/>
            <w:gridSpan w:val="2"/>
            <w:noWrap w:val="0"/>
            <w:vAlign w:val="center"/>
          </w:tcPr>
          <w:p>
            <w:pPr>
              <w:snapToGrid w:val="0"/>
              <w:spacing w:line="312" w:lineRule="auto"/>
              <w:rPr>
                <w:rFonts w:hint="eastAsia" w:ascii="宋体" w:hAnsi="宋体" w:eastAsia="宋体" w:cs="宋体"/>
                <w:highlight w:val="none"/>
              </w:rPr>
            </w:pPr>
            <w:r>
              <w:rPr>
                <w:rFonts w:hint="eastAsia" w:ascii="宋体" w:hAnsi="宋体" w:eastAsia="宋体" w:cs="宋体"/>
                <w:highlight w:val="none"/>
              </w:rPr>
              <w:t>提交方式：纸质文件提交</w:t>
            </w:r>
          </w:p>
          <w:p>
            <w:pPr>
              <w:snapToGrid w:val="0"/>
              <w:spacing w:line="420" w:lineRule="auto"/>
              <w:rPr>
                <w:rFonts w:cs="宋体"/>
                <w:kern w:val="0"/>
                <w:highlight w:val="none"/>
                <w:shd w:val="clear" w:color="auto" w:fill="FFFFFF"/>
              </w:rPr>
            </w:pPr>
            <w:r>
              <w:rPr>
                <w:rFonts w:hint="eastAsia" w:ascii="宋体" w:hAnsi="宋体" w:eastAsia="宋体" w:cs="宋体"/>
                <w:highlight w:val="none"/>
              </w:rPr>
              <w:t>投标截止时间和开标时间：</w:t>
            </w:r>
            <w:r>
              <w:rPr>
                <w:rFonts w:hint="eastAsia" w:cs="宋体"/>
                <w:kern w:val="0"/>
                <w:highlight w:val="none"/>
                <w:shd w:val="clear" w:color="auto" w:fill="FFFFFF"/>
              </w:rPr>
              <w:t>2025年8月11日14点30分（北京时间）</w:t>
            </w:r>
          </w:p>
          <w:p>
            <w:pPr>
              <w:snapToGrid w:val="0"/>
              <w:spacing w:line="420" w:lineRule="auto"/>
              <w:rPr>
                <w:rFonts w:cs="宋体"/>
                <w:kern w:val="0"/>
                <w:highlight w:val="none"/>
                <w:shd w:val="clear" w:color="auto" w:fill="FFFFFF"/>
              </w:rPr>
            </w:pPr>
            <w:r>
              <w:rPr>
                <w:rFonts w:hint="eastAsia" w:cs="宋体"/>
                <w:kern w:val="0"/>
                <w:highlight w:val="none"/>
                <w:shd w:val="clear" w:color="auto" w:fill="FFFFFF"/>
              </w:rPr>
              <w:t>地点：湖北普华工程咨询有限公司开标室（十堰市茅箭区重庆路99号汉成天地2号写字楼22层）。</w:t>
            </w:r>
          </w:p>
          <w:p>
            <w:pPr>
              <w:snapToGrid w:val="0"/>
              <w:spacing w:line="312" w:lineRule="auto"/>
              <w:rPr>
                <w:rFonts w:hint="eastAsia" w:ascii="宋体" w:hAnsi="宋体" w:eastAsia="宋体" w:cs="宋体"/>
                <w:highlight w:val="none"/>
              </w:rPr>
            </w:pPr>
            <w:r>
              <w:rPr>
                <w:rFonts w:hint="eastAsia" w:ascii="宋体" w:hAnsi="宋体" w:eastAsia="宋体" w:cs="宋体"/>
                <w:highlight w:val="none"/>
              </w:rPr>
              <w:t>开标方式：线下开标</w:t>
            </w:r>
          </w:p>
          <w:p>
            <w:pPr>
              <w:snapToGrid w:val="0"/>
              <w:spacing w:line="312" w:lineRule="auto"/>
              <w:rPr>
                <w:rFonts w:hint="eastAsia" w:ascii="宋体" w:hAnsi="宋体" w:eastAsia="宋体" w:cs="宋体"/>
                <w:highlight w:val="none"/>
              </w:rPr>
            </w:pPr>
            <w:r>
              <w:rPr>
                <w:rFonts w:hint="eastAsia" w:ascii="宋体" w:hAnsi="宋体" w:eastAsia="宋体" w:cs="宋体"/>
                <w:highlight w:val="none"/>
              </w:rPr>
              <w:t>提交投标文件</w:t>
            </w:r>
            <w:r>
              <w:rPr>
                <w:rFonts w:hint="eastAsia" w:ascii="宋体" w:hAnsi="宋体" w:eastAsia="宋体" w:cs="宋体"/>
                <w:highlight w:val="none"/>
                <w:lang w:val="en-US" w:eastAsia="zh-CN"/>
              </w:rPr>
              <w:t>/开标</w:t>
            </w:r>
            <w:r>
              <w:rPr>
                <w:rFonts w:hint="eastAsia" w:ascii="宋体" w:hAnsi="宋体" w:eastAsia="宋体" w:cs="宋体"/>
                <w:highlight w:val="none"/>
              </w:rPr>
              <w:t>地点：</w:t>
            </w:r>
            <w:r>
              <w:rPr>
                <w:rFonts w:hint="eastAsia" w:cs="宋体"/>
                <w:kern w:val="0"/>
                <w:highlight w:val="none"/>
                <w:shd w:val="clear" w:color="auto" w:fill="FFFFFF"/>
              </w:rPr>
              <w:t>湖北普华工程咨询有限公司开标室（十堰市茅箭区重庆路99号汉成天地2号写字楼22层）。</w:t>
            </w:r>
          </w:p>
          <w:p>
            <w:pPr>
              <w:snapToGrid w:val="0"/>
              <w:spacing w:line="312" w:lineRule="auto"/>
              <w:rPr>
                <w:rFonts w:hint="eastAsia" w:ascii="宋体" w:hAnsi="宋体" w:eastAsia="宋体" w:cs="宋体"/>
                <w:highlight w:val="none"/>
              </w:rPr>
            </w:pPr>
            <w:r>
              <w:rPr>
                <w:rFonts w:hint="eastAsia" w:ascii="宋体" w:hAnsi="宋体" w:eastAsia="宋体" w:cs="宋体"/>
                <w:highlight w:val="none"/>
              </w:rPr>
              <w:t>联系电话：</w:t>
            </w:r>
            <w:r>
              <w:rPr>
                <w:rFonts w:hint="eastAsia" w:cs="宋体"/>
                <w:highlight w:val="none"/>
              </w:rPr>
              <w:t>0719-8789589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 w:type="dxa"/>
            <w:noWrap w:val="0"/>
            <w:vAlign w:val="center"/>
          </w:tcPr>
          <w:p>
            <w:pPr>
              <w:snapToGrid w:val="0"/>
              <w:spacing w:line="312" w:lineRule="auto"/>
              <w:jc w:val="center"/>
              <w:rPr>
                <w:rFonts w:hint="eastAsia" w:ascii="宋体" w:hAnsi="宋体" w:eastAsia="宋体" w:cs="宋体"/>
                <w:highlight w:val="none"/>
              </w:rPr>
            </w:pPr>
            <w:r>
              <w:rPr>
                <w:rFonts w:hint="eastAsia" w:ascii="宋体" w:hAnsi="宋体" w:eastAsia="宋体" w:cs="宋体"/>
                <w:highlight w:val="none"/>
              </w:rPr>
              <w:t>19</w:t>
            </w:r>
          </w:p>
        </w:tc>
        <w:tc>
          <w:tcPr>
            <w:tcW w:w="1984" w:type="dxa"/>
            <w:noWrap w:val="0"/>
            <w:vAlign w:val="center"/>
          </w:tcPr>
          <w:p>
            <w:pPr>
              <w:snapToGrid w:val="0"/>
              <w:spacing w:line="312" w:lineRule="auto"/>
              <w:rPr>
                <w:rFonts w:hint="eastAsia" w:ascii="宋体" w:hAnsi="宋体" w:eastAsia="宋体" w:cs="宋体"/>
                <w:highlight w:val="none"/>
              </w:rPr>
            </w:pPr>
            <w:r>
              <w:rPr>
                <w:rFonts w:hint="eastAsia" w:ascii="宋体" w:hAnsi="宋体" w:eastAsia="宋体" w:cs="宋体"/>
                <w:highlight w:val="none"/>
              </w:rPr>
              <w:t>投标保证金</w:t>
            </w:r>
          </w:p>
        </w:tc>
        <w:tc>
          <w:tcPr>
            <w:tcW w:w="6058" w:type="dxa"/>
            <w:gridSpan w:val="2"/>
            <w:noWrap w:val="0"/>
            <w:vAlign w:val="center"/>
          </w:tcPr>
          <w:p>
            <w:pPr>
              <w:snapToGrid w:val="0"/>
              <w:spacing w:line="312" w:lineRule="auto"/>
              <w:rPr>
                <w:rFonts w:hint="eastAsia" w:ascii="宋体" w:hAnsi="宋体" w:eastAsia="宋体" w:cs="宋体"/>
                <w:highlight w:val="none"/>
              </w:rPr>
            </w:pPr>
            <w:r>
              <w:rPr>
                <w:rFonts w:hint="eastAsia" w:ascii="宋体" w:hAnsi="宋体" w:eastAsia="宋体" w:cs="宋体"/>
                <w:highlight w:val="none"/>
              </w:rPr>
              <w:sym w:font="Wingdings 2" w:char="0052"/>
            </w:r>
            <w:r>
              <w:rPr>
                <w:rFonts w:hint="eastAsia" w:ascii="宋体" w:hAnsi="宋体" w:eastAsia="宋体" w:cs="宋体"/>
                <w:highlight w:val="none"/>
              </w:rPr>
              <w:t>不要求提供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 w:type="dxa"/>
            <w:vMerge w:val="restart"/>
            <w:noWrap w:val="0"/>
            <w:vAlign w:val="center"/>
          </w:tcPr>
          <w:p>
            <w:pPr>
              <w:snapToGrid w:val="0"/>
              <w:spacing w:line="312" w:lineRule="auto"/>
              <w:jc w:val="center"/>
              <w:rPr>
                <w:rFonts w:hint="eastAsia" w:ascii="宋体" w:hAnsi="宋体" w:eastAsia="宋体" w:cs="宋体"/>
                <w:highlight w:val="none"/>
              </w:rPr>
            </w:pPr>
            <w:r>
              <w:rPr>
                <w:rFonts w:hint="eastAsia" w:ascii="宋体" w:hAnsi="宋体" w:eastAsia="宋体" w:cs="宋体"/>
                <w:highlight w:val="none"/>
              </w:rPr>
              <w:t>20</w:t>
            </w:r>
          </w:p>
        </w:tc>
        <w:tc>
          <w:tcPr>
            <w:tcW w:w="1984" w:type="dxa"/>
            <w:vMerge w:val="restart"/>
            <w:noWrap w:val="0"/>
            <w:vAlign w:val="center"/>
          </w:tcPr>
          <w:p>
            <w:pPr>
              <w:snapToGrid w:val="0"/>
              <w:spacing w:line="312" w:lineRule="auto"/>
              <w:rPr>
                <w:rFonts w:hint="eastAsia" w:ascii="宋体" w:hAnsi="宋体" w:eastAsia="宋体" w:cs="宋体"/>
                <w:highlight w:val="none"/>
              </w:rPr>
            </w:pPr>
            <w:r>
              <w:rPr>
                <w:rFonts w:hint="eastAsia" w:ascii="宋体" w:hAnsi="宋体" w:eastAsia="宋体" w:cs="宋体"/>
                <w:highlight w:val="none"/>
              </w:rPr>
              <w:t>不予退还投标保证金的情形</w:t>
            </w:r>
          </w:p>
        </w:tc>
        <w:tc>
          <w:tcPr>
            <w:tcW w:w="6058" w:type="dxa"/>
            <w:gridSpan w:val="2"/>
            <w:noWrap w:val="0"/>
            <w:vAlign w:val="center"/>
          </w:tcPr>
          <w:p>
            <w:pPr>
              <w:snapToGrid w:val="0"/>
              <w:spacing w:line="312" w:lineRule="auto"/>
              <w:rPr>
                <w:rFonts w:hint="eastAsia" w:ascii="宋体" w:hAnsi="宋体" w:eastAsia="宋体" w:cs="宋体"/>
                <w:highlight w:val="none"/>
              </w:rPr>
            </w:pPr>
            <w:r>
              <w:rPr>
                <w:rFonts w:hint="eastAsia" w:ascii="宋体" w:hAnsi="宋体" w:eastAsia="宋体" w:cs="宋体"/>
                <w:highlight w:val="none"/>
              </w:rPr>
              <w:t>有下列情形之一的，投标保证金将不予退还：</w:t>
            </w:r>
          </w:p>
          <w:p>
            <w:pPr>
              <w:snapToGrid w:val="0"/>
              <w:spacing w:line="312" w:lineRule="auto"/>
              <w:rPr>
                <w:rFonts w:hint="eastAsia" w:ascii="宋体" w:hAnsi="宋体" w:eastAsia="宋体" w:cs="宋体"/>
                <w:highlight w:val="none"/>
              </w:rPr>
            </w:pPr>
            <w:r>
              <w:rPr>
                <w:rFonts w:hint="eastAsia" w:ascii="宋体" w:hAnsi="宋体" w:eastAsia="宋体" w:cs="宋体"/>
                <w:highlight w:val="none"/>
              </w:rPr>
              <w:t>（1）投标人串通投标或有视为串通投标情形之一的；</w:t>
            </w:r>
          </w:p>
          <w:p>
            <w:pPr>
              <w:snapToGrid w:val="0"/>
              <w:spacing w:line="312" w:lineRule="auto"/>
              <w:rPr>
                <w:rFonts w:hint="eastAsia" w:ascii="宋体" w:hAnsi="宋体" w:eastAsia="宋体" w:cs="宋体"/>
                <w:highlight w:val="none"/>
              </w:rPr>
            </w:pPr>
            <w:r>
              <w:rPr>
                <w:rFonts w:hint="eastAsia" w:ascii="宋体" w:hAnsi="宋体" w:eastAsia="宋体" w:cs="宋体"/>
                <w:highlight w:val="none"/>
              </w:rPr>
              <w:t>（2）投标人提供虚假材料；</w:t>
            </w:r>
          </w:p>
          <w:p>
            <w:pPr>
              <w:snapToGrid w:val="0"/>
              <w:spacing w:line="312" w:lineRule="auto"/>
              <w:rPr>
                <w:rFonts w:hint="eastAsia" w:ascii="宋体" w:hAnsi="宋体" w:eastAsia="宋体" w:cs="宋体"/>
                <w:highlight w:val="none"/>
              </w:rPr>
            </w:pPr>
            <w:r>
              <w:rPr>
                <w:rFonts w:hint="eastAsia" w:ascii="宋体" w:hAnsi="宋体" w:eastAsia="宋体" w:cs="宋体"/>
                <w:highlight w:val="none"/>
              </w:rPr>
              <w:t>（3）投标人采取不正当手段诋毁、排挤其他投标人；</w:t>
            </w:r>
          </w:p>
          <w:p>
            <w:pPr>
              <w:snapToGrid w:val="0"/>
              <w:spacing w:line="312" w:lineRule="auto"/>
              <w:rPr>
                <w:rFonts w:hint="eastAsia" w:ascii="宋体" w:hAnsi="宋体" w:eastAsia="宋体" w:cs="宋体"/>
                <w:highlight w:val="none"/>
              </w:rPr>
            </w:pPr>
            <w:r>
              <w:rPr>
                <w:rFonts w:hint="eastAsia" w:ascii="宋体" w:hAnsi="宋体" w:eastAsia="宋体" w:cs="宋体"/>
                <w:highlight w:val="none"/>
              </w:rPr>
              <w:t>（4）投标截止时间后，投标人在投标有效期内撤销投标文件；</w:t>
            </w:r>
          </w:p>
          <w:p>
            <w:pPr>
              <w:snapToGrid w:val="0"/>
              <w:spacing w:line="312" w:lineRule="auto"/>
              <w:rPr>
                <w:rFonts w:hint="eastAsia" w:ascii="宋体" w:hAnsi="宋体" w:eastAsia="宋体" w:cs="宋体"/>
                <w:highlight w:val="none"/>
              </w:rPr>
            </w:pPr>
            <w:r>
              <w:rPr>
                <w:rFonts w:hint="eastAsia" w:ascii="宋体" w:hAnsi="宋体" w:eastAsia="宋体" w:cs="宋体"/>
                <w:highlight w:val="none"/>
              </w:rPr>
              <w:t>（5）中标人有下列情形之一的：</w:t>
            </w:r>
          </w:p>
          <w:p>
            <w:pPr>
              <w:snapToGrid w:val="0"/>
              <w:spacing w:line="312" w:lineRule="auto"/>
              <w:rPr>
                <w:rFonts w:hint="eastAsia" w:ascii="宋体" w:hAnsi="宋体" w:eastAsia="宋体" w:cs="宋体"/>
                <w:highlight w:val="none"/>
              </w:rPr>
            </w:pPr>
            <w:r>
              <w:rPr>
                <w:rFonts w:hint="eastAsia" w:ascii="宋体" w:hAnsi="宋体" w:eastAsia="宋体" w:cs="宋体"/>
                <w:highlight w:val="none"/>
              </w:rPr>
              <w:t>a.除不可抗力外，因中标人自身原因未在中标通知书要求的期限内与采购人签订政府采购合同；</w:t>
            </w:r>
          </w:p>
          <w:p>
            <w:pPr>
              <w:snapToGrid w:val="0"/>
              <w:spacing w:line="312" w:lineRule="auto"/>
              <w:rPr>
                <w:rFonts w:hint="eastAsia" w:ascii="宋体" w:hAnsi="宋体" w:eastAsia="宋体" w:cs="宋体"/>
                <w:highlight w:val="none"/>
              </w:rPr>
            </w:pPr>
            <w:r>
              <w:rPr>
                <w:rFonts w:hint="eastAsia" w:ascii="宋体" w:hAnsi="宋体" w:eastAsia="宋体" w:cs="宋体"/>
                <w:highlight w:val="none"/>
              </w:rPr>
              <w:t>b.未按照招标文件、投标文件的约定签订政府采购合同或提交履约保证金。</w:t>
            </w:r>
          </w:p>
          <w:p>
            <w:pPr>
              <w:snapToGrid w:val="0"/>
              <w:spacing w:line="312" w:lineRule="auto"/>
              <w:rPr>
                <w:rFonts w:hint="eastAsia" w:ascii="宋体" w:hAnsi="宋体" w:eastAsia="宋体" w:cs="宋体"/>
                <w:highlight w:val="none"/>
              </w:rPr>
            </w:pPr>
            <w:r>
              <w:rPr>
                <w:rFonts w:hint="eastAsia" w:ascii="宋体" w:hAnsi="宋体" w:eastAsia="宋体" w:cs="宋体"/>
                <w:highlight w:val="none"/>
              </w:rPr>
              <w:t>注：若上述投标保证金不予退还情形给采购人（采购代理机构）造成损失，则投标人还要承担相应的赔偿责任。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 w:type="dxa"/>
            <w:vMerge w:val="continue"/>
            <w:noWrap w:val="0"/>
            <w:vAlign w:val="center"/>
          </w:tcPr>
          <w:p>
            <w:pPr>
              <w:snapToGrid w:val="0"/>
              <w:spacing w:line="312" w:lineRule="auto"/>
              <w:jc w:val="center"/>
              <w:rPr>
                <w:rFonts w:hint="eastAsia" w:ascii="宋体" w:hAnsi="宋体" w:eastAsia="宋体" w:cs="宋体"/>
                <w:highlight w:val="none"/>
              </w:rPr>
            </w:pPr>
          </w:p>
        </w:tc>
        <w:tc>
          <w:tcPr>
            <w:tcW w:w="1984" w:type="dxa"/>
            <w:vMerge w:val="continue"/>
            <w:noWrap w:val="0"/>
            <w:vAlign w:val="center"/>
          </w:tcPr>
          <w:p>
            <w:pPr>
              <w:snapToGrid w:val="0"/>
              <w:spacing w:line="312" w:lineRule="auto"/>
              <w:rPr>
                <w:rFonts w:hint="eastAsia" w:ascii="宋体" w:hAnsi="宋体" w:eastAsia="宋体" w:cs="宋体"/>
                <w:highlight w:val="none"/>
              </w:rPr>
            </w:pPr>
          </w:p>
        </w:tc>
        <w:tc>
          <w:tcPr>
            <w:tcW w:w="6058" w:type="dxa"/>
            <w:gridSpan w:val="2"/>
            <w:noWrap w:val="0"/>
            <w:vAlign w:val="center"/>
          </w:tcPr>
          <w:p>
            <w:pPr>
              <w:snapToGrid w:val="0"/>
              <w:spacing w:line="312" w:lineRule="auto"/>
              <w:rPr>
                <w:rFonts w:hint="eastAsia" w:ascii="宋体" w:hAnsi="宋体" w:eastAsia="宋体" w:cs="宋体"/>
                <w:highlight w:val="none"/>
                <w:lang w:eastAsia="zh-CN"/>
              </w:rPr>
            </w:pPr>
            <w:r>
              <w:rPr>
                <w:rFonts w:hint="eastAsia" w:ascii="宋体" w:hAnsi="宋体" w:eastAsia="宋体" w:cs="宋体"/>
                <w:highlight w:val="none"/>
              </w:rPr>
              <w:t>其他不予退还投标保证金的情形：</w:t>
            </w:r>
            <w:r>
              <w:rPr>
                <w:rFonts w:hint="eastAsia" w:ascii="宋体" w:hAnsi="宋体" w:eastAsia="宋体" w:cs="宋体"/>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 w:type="dxa"/>
            <w:noWrap w:val="0"/>
            <w:vAlign w:val="center"/>
          </w:tcPr>
          <w:p>
            <w:pPr>
              <w:snapToGrid w:val="0"/>
              <w:spacing w:line="312" w:lineRule="auto"/>
              <w:jc w:val="center"/>
              <w:rPr>
                <w:rFonts w:hint="eastAsia" w:ascii="宋体" w:hAnsi="宋体" w:eastAsia="宋体" w:cs="宋体"/>
                <w:highlight w:val="none"/>
              </w:rPr>
            </w:pPr>
            <w:r>
              <w:rPr>
                <w:rFonts w:hint="eastAsia" w:ascii="宋体" w:hAnsi="宋体" w:eastAsia="宋体" w:cs="宋体"/>
                <w:highlight w:val="none"/>
              </w:rPr>
              <w:t>21</w:t>
            </w:r>
          </w:p>
        </w:tc>
        <w:tc>
          <w:tcPr>
            <w:tcW w:w="1984" w:type="dxa"/>
            <w:noWrap w:val="0"/>
            <w:vAlign w:val="center"/>
          </w:tcPr>
          <w:p>
            <w:pPr>
              <w:snapToGrid w:val="0"/>
              <w:spacing w:line="312" w:lineRule="auto"/>
              <w:rPr>
                <w:rFonts w:hint="eastAsia" w:ascii="宋体" w:hAnsi="宋体" w:eastAsia="宋体" w:cs="宋体"/>
                <w:highlight w:val="none"/>
              </w:rPr>
            </w:pPr>
            <w:r>
              <w:rPr>
                <w:rFonts w:hint="eastAsia" w:ascii="宋体" w:hAnsi="宋体" w:eastAsia="宋体" w:cs="宋体"/>
                <w:highlight w:val="none"/>
              </w:rPr>
              <w:t>信用记录审查</w:t>
            </w:r>
          </w:p>
        </w:tc>
        <w:tc>
          <w:tcPr>
            <w:tcW w:w="6058" w:type="dxa"/>
            <w:gridSpan w:val="2"/>
            <w:noWrap w:val="0"/>
            <w:vAlign w:val="center"/>
          </w:tcPr>
          <w:p>
            <w:pPr>
              <w:snapToGrid w:val="0"/>
              <w:spacing w:line="312" w:lineRule="auto"/>
              <w:rPr>
                <w:rFonts w:hint="eastAsia" w:ascii="宋体" w:hAnsi="宋体" w:eastAsia="宋体" w:cs="宋体"/>
                <w:highlight w:val="none"/>
              </w:rPr>
            </w:pPr>
            <w:r>
              <w:rPr>
                <w:rFonts w:hint="eastAsia" w:ascii="宋体" w:hAnsi="宋体" w:eastAsia="宋体" w:cs="宋体"/>
                <w:highlight w:val="none"/>
              </w:rPr>
              <w:t>根据《财政部关于在政府采购活动中查询及使用信用记录有关问题的通知》（财库〔2016〕125号）规定，开标结束后，采购人、采购代理机构将通过“信用中国”网站（www.creditchina.gov.cn）、中国政府采购网（</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"http://www.ccgp.gov.cn" </w:instrText>
            </w:r>
            <w:r>
              <w:rPr>
                <w:rFonts w:hint="eastAsia" w:ascii="宋体" w:hAnsi="宋体" w:eastAsia="宋体" w:cs="宋体"/>
                <w:highlight w:val="none"/>
              </w:rPr>
              <w:fldChar w:fldCharType="separate"/>
            </w:r>
            <w:r>
              <w:rPr>
                <w:rFonts w:hint="eastAsia" w:ascii="宋体" w:hAnsi="宋体" w:eastAsia="宋体" w:cs="宋体"/>
                <w:highlight w:val="none"/>
              </w:rPr>
              <w:t>www.ccgp.gov.cn</w:t>
            </w:r>
            <w:r>
              <w:rPr>
                <w:rFonts w:hint="eastAsia" w:ascii="宋体" w:hAnsi="宋体" w:eastAsia="宋体" w:cs="宋体"/>
                <w:highlight w:val="none"/>
              </w:rPr>
              <w:fldChar w:fldCharType="end"/>
            </w:r>
            <w:r>
              <w:rPr>
                <w:rFonts w:hint="eastAsia" w:ascii="宋体" w:hAnsi="宋体" w:eastAsia="宋体" w:cs="宋体"/>
                <w:highlight w:val="none"/>
              </w:rPr>
              <w:t>），对投标人截止到投标截止时间的信用记录进行审查，对列入失信被执行人、重大税收违法案件当事人名单、政府采购严重违法失信行为记录名单及其他不符合《中华人民共和国政府采购法》第二十二条规定条件的投标人，其投标将被拒绝。</w:t>
            </w:r>
          </w:p>
          <w:p>
            <w:pPr>
              <w:snapToGrid w:val="0"/>
              <w:spacing w:line="312" w:lineRule="auto"/>
              <w:rPr>
                <w:rFonts w:hint="eastAsia" w:ascii="宋体" w:hAnsi="宋体" w:eastAsia="宋体" w:cs="宋体"/>
                <w:highlight w:val="none"/>
              </w:rPr>
            </w:pPr>
            <w:r>
              <w:rPr>
                <w:rFonts w:hint="eastAsia" w:ascii="宋体" w:hAnsi="宋体" w:eastAsia="宋体" w:cs="宋体"/>
                <w:highlight w:val="none"/>
              </w:rPr>
              <w:t>本次查询的信用记录仅限于本项目使用，查询结果将留存在采购档案中。</w:t>
            </w:r>
          </w:p>
          <w:p>
            <w:pPr>
              <w:snapToGrid w:val="0"/>
              <w:spacing w:line="312" w:lineRule="auto"/>
              <w:rPr>
                <w:rFonts w:hint="eastAsia" w:ascii="宋体" w:hAnsi="宋体" w:eastAsia="宋体" w:cs="宋体"/>
                <w:highlight w:val="none"/>
              </w:rPr>
            </w:pPr>
            <w:r>
              <w:rPr>
                <w:rFonts w:hint="eastAsia" w:ascii="宋体" w:hAnsi="宋体" w:eastAsia="宋体" w:cs="宋体"/>
                <w:highlight w:val="none"/>
              </w:rPr>
              <w:t>在上述指定网站不能查询信用信息的投标人，应提供相关证明材料（原件加盖公章）。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 w:type="dxa"/>
            <w:noWrap w:val="0"/>
            <w:vAlign w:val="center"/>
          </w:tcPr>
          <w:p>
            <w:pPr>
              <w:snapToGrid w:val="0"/>
              <w:spacing w:line="312" w:lineRule="auto"/>
              <w:jc w:val="center"/>
              <w:rPr>
                <w:rFonts w:hint="eastAsia" w:ascii="宋体" w:hAnsi="宋体" w:eastAsia="宋体" w:cs="宋体"/>
                <w:highlight w:val="none"/>
              </w:rPr>
            </w:pPr>
            <w:r>
              <w:rPr>
                <w:rFonts w:hint="eastAsia" w:ascii="宋体" w:hAnsi="宋体" w:eastAsia="宋体" w:cs="宋体"/>
                <w:highlight w:val="none"/>
              </w:rPr>
              <w:t>22</w:t>
            </w:r>
          </w:p>
        </w:tc>
        <w:tc>
          <w:tcPr>
            <w:tcW w:w="1984" w:type="dxa"/>
            <w:noWrap w:val="0"/>
            <w:vAlign w:val="center"/>
          </w:tcPr>
          <w:p>
            <w:pPr>
              <w:snapToGrid w:val="0"/>
              <w:spacing w:line="312" w:lineRule="auto"/>
              <w:rPr>
                <w:rFonts w:hint="eastAsia" w:ascii="宋体" w:hAnsi="宋体" w:eastAsia="宋体" w:cs="宋体"/>
                <w:highlight w:val="none"/>
              </w:rPr>
            </w:pPr>
            <w:r>
              <w:rPr>
                <w:rFonts w:hint="eastAsia" w:ascii="宋体" w:hAnsi="宋体" w:eastAsia="宋体" w:cs="宋体"/>
                <w:highlight w:val="none"/>
              </w:rPr>
              <w:t>支持中小型</w:t>
            </w:r>
          </w:p>
          <w:p>
            <w:pPr>
              <w:snapToGrid w:val="0"/>
              <w:spacing w:line="312" w:lineRule="auto"/>
              <w:rPr>
                <w:rFonts w:hint="eastAsia" w:ascii="宋体" w:hAnsi="宋体" w:eastAsia="宋体" w:cs="宋体"/>
                <w:highlight w:val="none"/>
              </w:rPr>
            </w:pPr>
            <w:r>
              <w:rPr>
                <w:rFonts w:hint="eastAsia" w:ascii="宋体" w:hAnsi="宋体" w:eastAsia="宋体" w:cs="宋体"/>
                <w:highlight w:val="none"/>
              </w:rPr>
              <w:t>企业发展</w:t>
            </w:r>
          </w:p>
        </w:tc>
        <w:tc>
          <w:tcPr>
            <w:tcW w:w="6058" w:type="dxa"/>
            <w:gridSpan w:val="2"/>
            <w:noWrap w:val="0"/>
            <w:vAlign w:val="center"/>
          </w:tcPr>
          <w:p>
            <w:pPr>
              <w:snapToGrid w:val="0"/>
              <w:spacing w:line="312" w:lineRule="auto"/>
              <w:rPr>
                <w:rFonts w:hint="eastAsia" w:ascii="宋体" w:hAnsi="宋体" w:eastAsia="宋体" w:cs="宋体"/>
                <w:highlight w:val="none"/>
              </w:rPr>
            </w:pPr>
            <w:r>
              <w:rPr>
                <w:rFonts w:hint="eastAsia" w:ascii="宋体" w:hAnsi="宋体" w:eastAsia="宋体" w:cs="宋体"/>
                <w:highlight w:val="none"/>
              </w:rPr>
              <w:t>根据《政府采购促进中小型企业发展管理办法》（财库〔2020〕46号），鼓励中小企业参加本项目采购活动。</w:t>
            </w:r>
          </w:p>
          <w:p>
            <w:pPr>
              <w:snapToGrid w:val="0"/>
              <w:spacing w:line="312" w:lineRule="auto"/>
              <w:rPr>
                <w:rFonts w:hint="eastAsia" w:ascii="宋体" w:hAnsi="宋体" w:eastAsia="宋体" w:cs="宋体"/>
                <w:highlight w:val="none"/>
              </w:rPr>
            </w:pPr>
            <w:r>
              <w:rPr>
                <w:rFonts w:hint="eastAsia" w:ascii="宋体" w:hAnsi="宋体" w:eastAsia="宋体" w:cs="宋体"/>
                <w:highlight w:val="none"/>
              </w:rPr>
              <w:t>在货物采购项目中，满足所有标的均由中小企业制造，即所有标的均由中小企业生产且使用该中小企业商号或者注册商标的，可享受中小企业扶持政策。</w:t>
            </w:r>
          </w:p>
          <w:p>
            <w:pPr>
              <w:snapToGrid w:val="0"/>
              <w:spacing w:line="312" w:lineRule="auto"/>
              <w:rPr>
                <w:rFonts w:hint="eastAsia" w:ascii="宋体" w:hAnsi="宋体" w:eastAsia="宋体" w:cs="宋体"/>
                <w:highlight w:val="none"/>
              </w:rPr>
            </w:pPr>
            <w:r>
              <w:rPr>
                <w:rFonts w:hint="eastAsia" w:ascii="宋体" w:hAnsi="宋体" w:eastAsia="宋体" w:cs="宋体"/>
                <w:highlight w:val="none"/>
              </w:rPr>
              <w:t>在服务采购项目中，满足服务由中小企业承接，即提供服务的人员为中小企业依照《中华人民共和国劳动合同法》订立劳动合同的从业人员的，可享受中小企业扶持政策。</w:t>
            </w:r>
          </w:p>
          <w:p>
            <w:pPr>
              <w:snapToGrid w:val="0"/>
              <w:spacing w:line="312" w:lineRule="auto"/>
              <w:rPr>
                <w:rFonts w:hint="eastAsia" w:ascii="宋体" w:hAnsi="宋体" w:eastAsia="宋体" w:cs="宋体"/>
                <w:highlight w:val="none"/>
              </w:rPr>
            </w:pPr>
            <w:r>
              <w:rPr>
                <w:rFonts w:hint="eastAsia" w:ascii="宋体" w:hAnsi="宋体" w:eastAsia="宋体" w:cs="宋体"/>
                <w:highlight w:val="none"/>
              </w:rPr>
              <w:t>本项目：</w:t>
            </w:r>
          </w:p>
          <w:p>
            <w:pPr>
              <w:snapToGrid w:val="0"/>
              <w:spacing w:line="312" w:lineRule="auto"/>
              <w:rPr>
                <w:rFonts w:hint="eastAsia" w:ascii="宋体" w:hAnsi="宋体" w:eastAsia="宋体" w:cs="宋体"/>
                <w:highlight w:val="none"/>
              </w:rPr>
            </w:pPr>
            <w:r>
              <w:rPr>
                <w:rFonts w:hint="eastAsia" w:ascii="宋体" w:hAnsi="宋体" w:eastAsia="宋体" w:cs="宋体"/>
                <w:highlight w:val="none"/>
                <w:lang w:eastAsia="zh-CN"/>
              </w:rPr>
              <w:t>☑</w:t>
            </w:r>
            <w:r>
              <w:rPr>
                <w:rFonts w:hint="eastAsia" w:ascii="宋体" w:hAnsi="宋体" w:eastAsia="宋体" w:cs="宋体"/>
                <w:highlight w:val="none"/>
              </w:rPr>
              <w:t>专门面向小</w:t>
            </w:r>
            <w:r>
              <w:rPr>
                <w:rFonts w:hint="eastAsia" w:cs="宋体"/>
                <w:highlight w:val="none"/>
                <w:lang w:val="en-US" w:eastAsia="zh-CN"/>
              </w:rPr>
              <w:t>微</w:t>
            </w:r>
            <w:r>
              <w:rPr>
                <w:rFonts w:hint="eastAsia" w:ascii="宋体" w:hAnsi="宋体" w:eastAsia="宋体" w:cs="宋体"/>
                <w:highlight w:val="none"/>
              </w:rPr>
              <w:t>企业采购项目。</w:t>
            </w:r>
          </w:p>
          <w:p>
            <w:pPr>
              <w:snapToGrid w:val="0"/>
              <w:spacing w:line="312" w:lineRule="auto"/>
              <w:rPr>
                <w:rFonts w:hint="eastAsia" w:ascii="宋体" w:hAnsi="宋体" w:eastAsia="宋体" w:cs="宋体"/>
                <w:highlight w:val="none"/>
              </w:rPr>
            </w:pPr>
            <w:r>
              <w:rPr>
                <w:rFonts w:hint="eastAsia" w:ascii="宋体" w:hAnsi="宋体" w:eastAsia="宋体" w:cs="宋体"/>
                <w:highlight w:val="none"/>
              </w:rPr>
              <w:t>□预留份额面向中小企业采购项目（说明：</w:t>
            </w:r>
            <w:r>
              <w:rPr>
                <w:rFonts w:hint="eastAsia" w:ascii="宋体" w:hAnsi="宋体" w:eastAsia="宋体" w:cs="宋体"/>
                <w:highlight w:val="none"/>
                <w:lang w:val="en-US" w:eastAsia="zh-CN"/>
              </w:rPr>
              <w:t>/</w:t>
            </w:r>
            <w:r>
              <w:rPr>
                <w:rFonts w:hint="eastAsia" w:ascii="宋体" w:hAnsi="宋体" w:eastAsia="宋体" w:cs="宋体"/>
                <w:highlight w:val="none"/>
              </w:rPr>
              <w:t>）。</w:t>
            </w:r>
          </w:p>
          <w:p>
            <w:pPr>
              <w:snapToGrid w:val="0"/>
              <w:spacing w:line="312" w:lineRule="auto"/>
              <w:rPr>
                <w:rFonts w:hint="eastAsia" w:ascii="宋体" w:hAnsi="宋体" w:eastAsia="宋体" w:cs="宋体"/>
                <w:highlight w:val="none"/>
              </w:rPr>
            </w:pPr>
            <w:r>
              <w:rPr>
                <w:rFonts w:hint="eastAsia" w:ascii="宋体" w:hAnsi="宋体" w:eastAsia="宋体" w:cs="宋体"/>
                <w:highlight w:val="none"/>
              </w:rPr>
              <w:sym w:font="Wingdings 2" w:char="F0A3"/>
            </w:r>
            <w:r>
              <w:rPr>
                <w:rFonts w:hint="eastAsia" w:ascii="宋体" w:hAnsi="宋体" w:eastAsia="宋体" w:cs="宋体"/>
                <w:highlight w:val="none"/>
              </w:rPr>
              <w:t>非专门面向中小企业采购项目。对小型和微型企业的投标价格给予</w:t>
            </w:r>
            <w:r>
              <w:rPr>
                <w:rFonts w:hint="eastAsia" w:ascii="宋体" w:hAnsi="宋体" w:eastAsia="宋体" w:cs="宋体"/>
                <w:highlight w:val="none"/>
                <w:lang w:val="en-US" w:eastAsia="zh-CN"/>
              </w:rPr>
              <w:t>/</w:t>
            </w:r>
            <w:r>
              <w:rPr>
                <w:rFonts w:hint="eastAsia" w:ascii="宋体" w:hAnsi="宋体" w:eastAsia="宋体" w:cs="宋体"/>
                <w:highlight w:val="none"/>
              </w:rPr>
              <w:t>%的扣除，用扣除后的价格参与评审。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 w:type="dxa"/>
            <w:noWrap w:val="0"/>
            <w:vAlign w:val="center"/>
          </w:tcPr>
          <w:p>
            <w:pPr>
              <w:snapToGrid w:val="0"/>
              <w:spacing w:line="312" w:lineRule="auto"/>
              <w:jc w:val="center"/>
              <w:rPr>
                <w:rFonts w:hint="eastAsia" w:ascii="宋体" w:hAnsi="宋体" w:eastAsia="宋体" w:cs="宋体"/>
                <w:highlight w:val="none"/>
              </w:rPr>
            </w:pPr>
            <w:r>
              <w:rPr>
                <w:rFonts w:hint="eastAsia" w:ascii="宋体" w:hAnsi="宋体" w:eastAsia="宋体" w:cs="宋体"/>
                <w:highlight w:val="none"/>
              </w:rPr>
              <w:t>23</w:t>
            </w:r>
          </w:p>
        </w:tc>
        <w:tc>
          <w:tcPr>
            <w:tcW w:w="1984" w:type="dxa"/>
            <w:noWrap w:val="0"/>
            <w:vAlign w:val="center"/>
          </w:tcPr>
          <w:p>
            <w:pPr>
              <w:snapToGrid w:val="0"/>
              <w:spacing w:line="312" w:lineRule="auto"/>
              <w:rPr>
                <w:rFonts w:hint="eastAsia" w:ascii="宋体" w:hAnsi="宋体" w:eastAsia="宋体" w:cs="宋体"/>
                <w:highlight w:val="none"/>
              </w:rPr>
            </w:pPr>
            <w:r>
              <w:rPr>
                <w:rFonts w:hint="eastAsia" w:ascii="宋体" w:hAnsi="宋体" w:eastAsia="宋体" w:cs="宋体"/>
                <w:highlight w:val="none"/>
              </w:rPr>
              <w:t>支持监狱企业发展</w:t>
            </w:r>
          </w:p>
        </w:tc>
        <w:tc>
          <w:tcPr>
            <w:tcW w:w="6058" w:type="dxa"/>
            <w:gridSpan w:val="2"/>
            <w:noWrap w:val="0"/>
            <w:vAlign w:val="center"/>
          </w:tcPr>
          <w:p>
            <w:pPr>
              <w:snapToGrid w:val="0"/>
              <w:spacing w:line="312" w:lineRule="auto"/>
              <w:rPr>
                <w:rFonts w:hint="eastAsia" w:ascii="宋体" w:hAnsi="宋体" w:eastAsia="宋体" w:cs="宋体"/>
                <w:highlight w:val="none"/>
              </w:rPr>
            </w:pPr>
            <w:r>
              <w:rPr>
                <w:rFonts w:hint="eastAsia" w:ascii="宋体" w:hAnsi="宋体" w:eastAsia="宋体" w:cs="宋体"/>
                <w:highlight w:val="none"/>
              </w:rPr>
              <w:t>根据《关于政府采购支持监狱企业发展有关问题的通知》（财库〔2014〕68号），监狱企业视同小型、微型企业，按照投标人须知前附表第22项享受价格扣除政策。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 w:type="dxa"/>
            <w:noWrap w:val="0"/>
            <w:vAlign w:val="center"/>
          </w:tcPr>
          <w:p>
            <w:pPr>
              <w:snapToGrid w:val="0"/>
              <w:spacing w:line="312" w:lineRule="auto"/>
              <w:jc w:val="center"/>
              <w:rPr>
                <w:rFonts w:hint="eastAsia" w:ascii="宋体" w:hAnsi="宋体" w:eastAsia="宋体" w:cs="宋体"/>
                <w:highlight w:val="none"/>
              </w:rPr>
            </w:pPr>
            <w:r>
              <w:rPr>
                <w:rFonts w:hint="eastAsia" w:ascii="宋体" w:hAnsi="宋体" w:eastAsia="宋体" w:cs="宋体"/>
                <w:highlight w:val="none"/>
              </w:rPr>
              <w:t>24</w:t>
            </w:r>
          </w:p>
        </w:tc>
        <w:tc>
          <w:tcPr>
            <w:tcW w:w="1984" w:type="dxa"/>
            <w:noWrap w:val="0"/>
            <w:vAlign w:val="center"/>
          </w:tcPr>
          <w:p>
            <w:pPr>
              <w:snapToGrid w:val="0"/>
              <w:spacing w:line="312" w:lineRule="auto"/>
              <w:rPr>
                <w:rFonts w:hint="eastAsia" w:ascii="宋体" w:hAnsi="宋体" w:eastAsia="宋体" w:cs="宋体"/>
                <w:highlight w:val="none"/>
              </w:rPr>
            </w:pPr>
            <w:r>
              <w:rPr>
                <w:rFonts w:hint="eastAsia" w:ascii="宋体" w:hAnsi="宋体" w:eastAsia="宋体" w:cs="宋体"/>
                <w:highlight w:val="none"/>
              </w:rPr>
              <w:t>促进残疾人</w:t>
            </w:r>
          </w:p>
          <w:p>
            <w:pPr>
              <w:snapToGrid w:val="0"/>
              <w:spacing w:line="312" w:lineRule="auto"/>
              <w:rPr>
                <w:rFonts w:hint="eastAsia" w:ascii="宋体" w:hAnsi="宋体" w:eastAsia="宋体" w:cs="宋体"/>
                <w:highlight w:val="none"/>
              </w:rPr>
            </w:pPr>
            <w:r>
              <w:rPr>
                <w:rFonts w:hint="eastAsia" w:ascii="宋体" w:hAnsi="宋体" w:eastAsia="宋体" w:cs="宋体"/>
                <w:highlight w:val="none"/>
              </w:rPr>
              <w:t>就业</w:t>
            </w:r>
          </w:p>
        </w:tc>
        <w:tc>
          <w:tcPr>
            <w:tcW w:w="6058" w:type="dxa"/>
            <w:gridSpan w:val="2"/>
            <w:noWrap w:val="0"/>
            <w:vAlign w:val="center"/>
          </w:tcPr>
          <w:p>
            <w:pPr>
              <w:snapToGrid w:val="0"/>
              <w:spacing w:line="312" w:lineRule="auto"/>
              <w:rPr>
                <w:rFonts w:hint="eastAsia" w:ascii="宋体" w:hAnsi="宋体" w:eastAsia="宋体" w:cs="宋体"/>
                <w:highlight w:val="none"/>
              </w:rPr>
            </w:pPr>
            <w:r>
              <w:rPr>
                <w:rFonts w:hint="eastAsia" w:ascii="宋体" w:hAnsi="宋体" w:eastAsia="宋体" w:cs="宋体"/>
                <w:highlight w:val="none"/>
              </w:rPr>
              <w:t>根据《关于促进残疾人就业政府采购政策的通知》（财库〔2017〕141号），残疾人福利性单位视同小型、微型企业，按照投标人须知前附表第22项享受价格扣除政策。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 w:type="dxa"/>
            <w:vMerge w:val="restart"/>
            <w:noWrap w:val="0"/>
            <w:vAlign w:val="center"/>
          </w:tcPr>
          <w:p>
            <w:pPr>
              <w:snapToGrid w:val="0"/>
              <w:spacing w:line="312" w:lineRule="auto"/>
              <w:jc w:val="center"/>
              <w:rPr>
                <w:rFonts w:hint="eastAsia" w:ascii="宋体" w:hAnsi="宋体" w:eastAsia="宋体" w:cs="宋体"/>
                <w:highlight w:val="none"/>
              </w:rPr>
            </w:pPr>
            <w:r>
              <w:rPr>
                <w:rFonts w:hint="eastAsia" w:ascii="宋体" w:hAnsi="宋体" w:eastAsia="宋体" w:cs="宋体"/>
                <w:highlight w:val="none"/>
              </w:rPr>
              <w:t>25</w:t>
            </w:r>
          </w:p>
        </w:tc>
        <w:tc>
          <w:tcPr>
            <w:tcW w:w="1984" w:type="dxa"/>
            <w:vMerge w:val="restart"/>
            <w:noWrap w:val="0"/>
            <w:vAlign w:val="center"/>
          </w:tcPr>
          <w:p>
            <w:pPr>
              <w:snapToGrid w:val="0"/>
              <w:spacing w:line="312" w:lineRule="auto"/>
              <w:rPr>
                <w:rFonts w:hint="eastAsia" w:ascii="宋体" w:hAnsi="宋体" w:eastAsia="宋体" w:cs="宋体"/>
                <w:highlight w:val="none"/>
              </w:rPr>
            </w:pPr>
            <w:r>
              <w:rPr>
                <w:rFonts w:hint="eastAsia" w:ascii="宋体" w:hAnsi="宋体" w:eastAsia="宋体" w:cs="宋体"/>
                <w:highlight w:val="none"/>
              </w:rPr>
              <w:t>其他法律法规强制性规定或扶持政策</w:t>
            </w:r>
          </w:p>
        </w:tc>
        <w:tc>
          <w:tcPr>
            <w:tcW w:w="6058" w:type="dxa"/>
            <w:gridSpan w:val="2"/>
            <w:noWrap w:val="0"/>
            <w:vAlign w:val="center"/>
          </w:tcPr>
          <w:p>
            <w:pPr>
              <w:snapToGrid w:val="0"/>
              <w:spacing w:line="312" w:lineRule="auto"/>
              <w:rPr>
                <w:rFonts w:hint="eastAsia" w:ascii="宋体" w:hAnsi="宋体" w:eastAsia="宋体" w:cs="宋体"/>
                <w:highlight w:val="none"/>
              </w:rPr>
            </w:pPr>
            <w:r>
              <w:rPr>
                <w:rFonts w:hint="eastAsia" w:ascii="宋体" w:hAnsi="宋体" w:eastAsia="宋体" w:cs="宋体"/>
                <w:highlight w:val="none"/>
              </w:rPr>
              <w:t>本项目中强制采购节能产品的货物名称：</w:t>
            </w:r>
            <w:r>
              <w:rPr>
                <w:rFonts w:hint="eastAsia" w:ascii="宋体" w:hAnsi="宋体" w:eastAsia="宋体" w:cs="宋体"/>
                <w:highlight w:val="none"/>
                <w:lang w:val="en-US" w:eastAsia="zh-CN"/>
              </w:rPr>
              <w:t>无（本项目不适用）</w:t>
            </w:r>
          </w:p>
          <w:p>
            <w:pPr>
              <w:snapToGrid w:val="0"/>
              <w:spacing w:line="312" w:lineRule="auto"/>
              <w:rPr>
                <w:rFonts w:hint="eastAsia" w:ascii="宋体" w:hAnsi="宋体" w:eastAsia="宋体" w:cs="宋体"/>
                <w:highlight w:val="none"/>
              </w:rPr>
            </w:pPr>
            <w:r>
              <w:rPr>
                <w:rFonts w:hint="eastAsia" w:ascii="宋体" w:hAnsi="宋体" w:eastAsia="宋体" w:cs="宋体"/>
                <w:highlight w:val="none"/>
              </w:rPr>
              <w:t>注：投标人所投上述产品必须具有节能产品认证证书，并提供依据国家确定的认证机构出具的、处于有效期之内的节能产品认证证书复印件，否则投标无效。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 w:type="dxa"/>
            <w:vMerge w:val="continue"/>
            <w:noWrap w:val="0"/>
            <w:vAlign w:val="center"/>
          </w:tcPr>
          <w:p>
            <w:pPr>
              <w:snapToGrid w:val="0"/>
              <w:spacing w:line="312" w:lineRule="auto"/>
              <w:jc w:val="center"/>
              <w:rPr>
                <w:rFonts w:hint="eastAsia" w:ascii="宋体" w:hAnsi="宋体" w:eastAsia="宋体" w:cs="宋体"/>
                <w:highlight w:val="none"/>
              </w:rPr>
            </w:pPr>
          </w:p>
        </w:tc>
        <w:tc>
          <w:tcPr>
            <w:tcW w:w="1984" w:type="dxa"/>
            <w:vMerge w:val="continue"/>
            <w:noWrap w:val="0"/>
            <w:vAlign w:val="center"/>
          </w:tcPr>
          <w:p>
            <w:pPr>
              <w:snapToGrid w:val="0"/>
              <w:spacing w:line="312" w:lineRule="auto"/>
              <w:rPr>
                <w:rFonts w:hint="eastAsia" w:ascii="宋体" w:hAnsi="宋体" w:eastAsia="宋体" w:cs="宋体"/>
                <w:highlight w:val="none"/>
              </w:rPr>
            </w:pPr>
          </w:p>
        </w:tc>
        <w:tc>
          <w:tcPr>
            <w:tcW w:w="6058" w:type="dxa"/>
            <w:gridSpan w:val="2"/>
            <w:noWrap w:val="0"/>
            <w:vAlign w:val="center"/>
          </w:tcPr>
          <w:p>
            <w:pPr>
              <w:snapToGrid w:val="0"/>
              <w:spacing w:line="312" w:lineRule="auto"/>
              <w:rPr>
                <w:rFonts w:hint="eastAsia" w:ascii="宋体" w:hAnsi="宋体" w:eastAsia="宋体" w:cs="宋体"/>
                <w:highlight w:val="none"/>
              </w:rPr>
            </w:pPr>
            <w:r>
              <w:rPr>
                <w:rFonts w:hint="eastAsia" w:ascii="宋体" w:hAnsi="宋体" w:eastAsia="宋体" w:cs="宋体"/>
                <w:highlight w:val="none"/>
              </w:rPr>
              <w:t>本项目中采购信息安全产品的货物名称：</w:t>
            </w:r>
            <w:r>
              <w:rPr>
                <w:rFonts w:hint="eastAsia" w:ascii="宋体" w:hAnsi="宋体" w:eastAsia="宋体" w:cs="宋体"/>
                <w:highlight w:val="none"/>
                <w:lang w:val="en-US" w:eastAsia="zh-CN"/>
              </w:rPr>
              <w:t>无（本项目不适用）</w:t>
            </w:r>
          </w:p>
          <w:p>
            <w:pPr>
              <w:snapToGrid w:val="0"/>
              <w:spacing w:line="312" w:lineRule="auto"/>
              <w:rPr>
                <w:rFonts w:hint="eastAsia" w:ascii="宋体" w:hAnsi="宋体" w:eastAsia="宋体" w:cs="宋体"/>
                <w:highlight w:val="none"/>
              </w:rPr>
            </w:pPr>
            <w:r>
              <w:rPr>
                <w:rFonts w:hint="eastAsia" w:ascii="宋体" w:hAnsi="宋体" w:eastAsia="宋体" w:cs="宋体"/>
                <w:highlight w:val="none"/>
              </w:rPr>
              <w:t>注：投标人所投上述产品需为国家认证的信息安全产品，并提供由中国网络安全审查技术与认证中心（原中国信息安全认证中心）按国家标准认证颁发的有效认证证书复印件，否则投标无效。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 w:type="dxa"/>
            <w:vMerge w:val="continue"/>
            <w:noWrap w:val="0"/>
            <w:vAlign w:val="center"/>
          </w:tcPr>
          <w:p>
            <w:pPr>
              <w:snapToGrid w:val="0"/>
              <w:spacing w:line="312" w:lineRule="auto"/>
              <w:jc w:val="center"/>
              <w:rPr>
                <w:rFonts w:hint="eastAsia" w:ascii="宋体" w:hAnsi="宋体" w:eastAsia="宋体" w:cs="宋体"/>
                <w:highlight w:val="none"/>
              </w:rPr>
            </w:pPr>
          </w:p>
        </w:tc>
        <w:tc>
          <w:tcPr>
            <w:tcW w:w="1984" w:type="dxa"/>
            <w:vMerge w:val="continue"/>
            <w:noWrap w:val="0"/>
            <w:vAlign w:val="center"/>
          </w:tcPr>
          <w:p>
            <w:pPr>
              <w:snapToGrid w:val="0"/>
              <w:spacing w:line="312" w:lineRule="auto"/>
              <w:rPr>
                <w:rFonts w:hint="eastAsia" w:ascii="宋体" w:hAnsi="宋体" w:eastAsia="宋体" w:cs="宋体"/>
                <w:highlight w:val="none"/>
              </w:rPr>
            </w:pPr>
          </w:p>
        </w:tc>
        <w:tc>
          <w:tcPr>
            <w:tcW w:w="6058" w:type="dxa"/>
            <w:gridSpan w:val="2"/>
            <w:noWrap w:val="0"/>
            <w:vAlign w:val="center"/>
          </w:tcPr>
          <w:p>
            <w:pPr>
              <w:snapToGrid w:val="0"/>
              <w:spacing w:line="312" w:lineRule="auto"/>
              <w:rPr>
                <w:rFonts w:hint="eastAsia" w:ascii="宋体" w:hAnsi="宋体" w:eastAsia="宋体" w:cs="宋体"/>
                <w:highlight w:val="none"/>
                <w:lang w:val="en-US" w:eastAsia="zh-CN"/>
              </w:rPr>
            </w:pPr>
            <w:r>
              <w:rPr>
                <w:rFonts w:hint="eastAsia" w:ascii="宋体" w:hAnsi="宋体" w:eastAsia="宋体" w:cs="宋体"/>
                <w:highlight w:val="none"/>
              </w:rPr>
              <w:t>其他法律法规强制性规定或扶持政策：</w:t>
            </w:r>
            <w:r>
              <w:rPr>
                <w:rFonts w:hint="eastAsia" w:ascii="宋体" w:hAnsi="宋体" w:eastAsia="宋体" w:cs="宋体"/>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 w:type="dxa"/>
            <w:noWrap w:val="0"/>
            <w:vAlign w:val="center"/>
          </w:tcPr>
          <w:p>
            <w:pPr>
              <w:snapToGrid w:val="0"/>
              <w:spacing w:line="312" w:lineRule="auto"/>
              <w:jc w:val="center"/>
              <w:rPr>
                <w:rFonts w:hint="eastAsia" w:ascii="宋体" w:hAnsi="宋体" w:eastAsia="宋体" w:cs="宋体"/>
                <w:highlight w:val="none"/>
              </w:rPr>
            </w:pPr>
            <w:r>
              <w:rPr>
                <w:rFonts w:hint="eastAsia" w:ascii="宋体" w:hAnsi="宋体" w:eastAsia="宋体" w:cs="宋体"/>
                <w:highlight w:val="none"/>
              </w:rPr>
              <w:t>26</w:t>
            </w:r>
          </w:p>
        </w:tc>
        <w:tc>
          <w:tcPr>
            <w:tcW w:w="1984" w:type="dxa"/>
            <w:noWrap w:val="0"/>
            <w:vAlign w:val="center"/>
          </w:tcPr>
          <w:p>
            <w:pPr>
              <w:snapToGrid w:val="0"/>
              <w:spacing w:line="312" w:lineRule="auto"/>
              <w:rPr>
                <w:rFonts w:hint="eastAsia" w:ascii="宋体" w:hAnsi="宋体" w:eastAsia="宋体" w:cs="宋体"/>
                <w:highlight w:val="none"/>
              </w:rPr>
            </w:pPr>
            <w:r>
              <w:rPr>
                <w:rFonts w:hint="eastAsia" w:ascii="宋体" w:hAnsi="宋体" w:eastAsia="宋体" w:cs="宋体"/>
                <w:highlight w:val="none"/>
              </w:rPr>
              <w:t>评标方法</w:t>
            </w:r>
          </w:p>
          <w:p>
            <w:pPr>
              <w:snapToGrid w:val="0"/>
              <w:spacing w:line="312" w:lineRule="auto"/>
              <w:rPr>
                <w:rFonts w:hint="eastAsia" w:ascii="宋体" w:hAnsi="宋体" w:eastAsia="宋体" w:cs="宋体"/>
                <w:highlight w:val="none"/>
              </w:rPr>
            </w:pPr>
            <w:r>
              <w:rPr>
                <w:rFonts w:hint="eastAsia" w:ascii="宋体" w:hAnsi="宋体" w:eastAsia="宋体" w:cs="宋体"/>
                <w:highlight w:val="none"/>
              </w:rPr>
              <w:t>及分值</w:t>
            </w:r>
          </w:p>
        </w:tc>
        <w:tc>
          <w:tcPr>
            <w:tcW w:w="6058" w:type="dxa"/>
            <w:gridSpan w:val="2"/>
            <w:noWrap w:val="0"/>
            <w:vAlign w:val="center"/>
          </w:tcPr>
          <w:p>
            <w:pPr>
              <w:snapToGrid w:val="0"/>
              <w:spacing w:line="312" w:lineRule="auto"/>
              <w:rPr>
                <w:rFonts w:hint="eastAsia" w:ascii="宋体" w:hAnsi="宋体" w:eastAsia="宋体" w:cs="宋体"/>
                <w:highlight w:val="none"/>
              </w:rPr>
            </w:pPr>
            <w:r>
              <w:rPr>
                <w:rFonts w:hint="eastAsia" w:ascii="宋体" w:hAnsi="宋体" w:eastAsia="宋体" w:cs="宋体"/>
                <w:highlight w:val="none"/>
              </w:rPr>
              <w:sym w:font="Wingdings 2" w:char="F0A3"/>
            </w:r>
            <w:r>
              <w:rPr>
                <w:rFonts w:hint="eastAsia" w:ascii="宋体" w:hAnsi="宋体" w:eastAsia="宋体" w:cs="宋体"/>
                <w:highlight w:val="none"/>
              </w:rPr>
              <w:t>本项目采用最低评标价法，详见招标文件商务部分第三章。</w:t>
            </w:r>
          </w:p>
          <w:p>
            <w:pPr>
              <w:snapToGrid w:val="0"/>
              <w:spacing w:line="312" w:lineRule="auto"/>
              <w:rPr>
                <w:rFonts w:hint="eastAsia" w:ascii="宋体" w:hAnsi="宋体" w:eastAsia="宋体" w:cs="宋体"/>
                <w:highlight w:val="none"/>
              </w:rPr>
            </w:pPr>
            <w:r>
              <w:rPr>
                <w:rFonts w:hint="eastAsia" w:ascii="宋体" w:hAnsi="宋体" w:eastAsia="宋体" w:cs="宋体"/>
                <w:highlight w:val="none"/>
              </w:rPr>
              <w:sym w:font="Wingdings 2" w:char="0052"/>
            </w:r>
            <w:r>
              <w:rPr>
                <w:rFonts w:hint="eastAsia" w:ascii="宋体" w:hAnsi="宋体" w:eastAsia="宋体" w:cs="宋体"/>
                <w:highlight w:val="none"/>
              </w:rPr>
              <w:t>本项目采用综合评分法，其中价格分值为20分，商务部分30分，技术部分50分详见招标文件商务部分第三章。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 w:type="dxa"/>
            <w:noWrap w:val="0"/>
            <w:vAlign w:val="center"/>
          </w:tcPr>
          <w:p>
            <w:pPr>
              <w:snapToGrid w:val="0"/>
              <w:spacing w:line="312" w:lineRule="auto"/>
              <w:jc w:val="center"/>
              <w:rPr>
                <w:rFonts w:hint="eastAsia" w:ascii="宋体" w:hAnsi="宋体" w:eastAsia="宋体" w:cs="宋体"/>
                <w:highlight w:val="none"/>
              </w:rPr>
            </w:pPr>
            <w:r>
              <w:rPr>
                <w:rFonts w:hint="eastAsia" w:ascii="宋体" w:hAnsi="宋体" w:eastAsia="宋体" w:cs="宋体"/>
                <w:highlight w:val="none"/>
              </w:rPr>
              <w:t>27</w:t>
            </w:r>
          </w:p>
        </w:tc>
        <w:tc>
          <w:tcPr>
            <w:tcW w:w="1984" w:type="dxa"/>
            <w:noWrap w:val="0"/>
            <w:vAlign w:val="center"/>
          </w:tcPr>
          <w:p>
            <w:pPr>
              <w:snapToGrid w:val="0"/>
              <w:spacing w:line="312" w:lineRule="auto"/>
              <w:rPr>
                <w:rFonts w:hint="eastAsia" w:ascii="宋体" w:hAnsi="宋体" w:eastAsia="宋体" w:cs="宋体"/>
                <w:highlight w:val="none"/>
              </w:rPr>
            </w:pPr>
            <w:r>
              <w:rPr>
                <w:rFonts w:hint="eastAsia" w:ascii="宋体" w:hAnsi="宋体" w:eastAsia="宋体" w:cs="宋体"/>
                <w:highlight w:val="none"/>
              </w:rPr>
              <w:t>履约保证金</w:t>
            </w:r>
          </w:p>
        </w:tc>
        <w:tc>
          <w:tcPr>
            <w:tcW w:w="6058" w:type="dxa"/>
            <w:gridSpan w:val="2"/>
            <w:noWrap w:val="0"/>
            <w:vAlign w:val="center"/>
          </w:tcPr>
          <w:p>
            <w:pPr>
              <w:snapToGrid w:val="0"/>
              <w:spacing w:line="312" w:lineRule="auto"/>
              <w:rPr>
                <w:rFonts w:hint="eastAsia" w:ascii="宋体" w:hAnsi="宋体" w:eastAsia="宋体" w:cs="宋体"/>
                <w:highlight w:val="none"/>
              </w:rPr>
            </w:pPr>
            <w:r>
              <w:rPr>
                <w:rFonts w:hint="eastAsia" w:ascii="宋体" w:hAnsi="宋体" w:eastAsia="宋体" w:cs="宋体"/>
                <w:highlight w:val="none"/>
              </w:rPr>
              <w:sym w:font="Wingdings 2" w:char="0052"/>
            </w:r>
            <w:r>
              <w:rPr>
                <w:rFonts w:hint="eastAsia" w:ascii="宋体" w:hAnsi="宋体" w:eastAsia="宋体" w:cs="宋体"/>
                <w:highlight w:val="none"/>
              </w:rPr>
              <w:t>不要求提供</w:t>
            </w:r>
          </w:p>
          <w:p>
            <w:pPr>
              <w:snapToGrid w:val="0"/>
              <w:spacing w:line="312" w:lineRule="auto"/>
              <w:rPr>
                <w:rFonts w:hint="eastAsia" w:ascii="宋体" w:hAnsi="宋体" w:eastAsia="宋体" w:cs="宋体"/>
                <w:highlight w:val="none"/>
              </w:rPr>
            </w:pPr>
            <w:r>
              <w:rPr>
                <w:rFonts w:hint="eastAsia" w:ascii="宋体" w:hAnsi="宋体" w:eastAsia="宋体" w:cs="宋体"/>
                <w:highlight w:val="none"/>
              </w:rPr>
              <w:sym w:font="Wingdings 2" w:char="00A3"/>
            </w:r>
            <w:r>
              <w:rPr>
                <w:rFonts w:hint="eastAsia" w:ascii="宋体" w:hAnsi="宋体" w:eastAsia="宋体" w:cs="宋体"/>
                <w:highlight w:val="none"/>
              </w:rPr>
              <w:t>本采购项目履约保证金为合同金额的</w:t>
            </w:r>
            <w:r>
              <w:rPr>
                <w:rFonts w:hint="eastAsia" w:ascii="宋体" w:hAnsi="宋体" w:eastAsia="宋体" w:cs="宋体"/>
                <w:highlight w:val="none"/>
                <w:lang w:val="en-US" w:eastAsia="zh-CN"/>
              </w:rPr>
              <w:t>/</w:t>
            </w:r>
            <w:r>
              <w:rPr>
                <w:rFonts w:hint="eastAsia" w:ascii="宋体" w:hAnsi="宋体" w:eastAsia="宋体" w:cs="宋体"/>
                <w:highlight w:val="none"/>
              </w:rPr>
              <w:t>%，提交方式为银行电汇、金融机构或担保机构出具的保函。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 w:type="dxa"/>
            <w:noWrap w:val="0"/>
            <w:vAlign w:val="center"/>
          </w:tcPr>
          <w:p>
            <w:pPr>
              <w:snapToGrid w:val="0"/>
              <w:spacing w:line="312" w:lineRule="auto"/>
              <w:jc w:val="center"/>
              <w:rPr>
                <w:rFonts w:hint="eastAsia" w:ascii="宋体" w:hAnsi="宋体" w:eastAsia="宋体" w:cs="宋体"/>
                <w:highlight w:val="none"/>
              </w:rPr>
            </w:pPr>
            <w:r>
              <w:rPr>
                <w:rFonts w:hint="eastAsia" w:ascii="宋体" w:hAnsi="宋体" w:eastAsia="宋体" w:cs="宋体"/>
                <w:highlight w:val="none"/>
              </w:rPr>
              <w:t>28</w:t>
            </w:r>
          </w:p>
        </w:tc>
        <w:tc>
          <w:tcPr>
            <w:tcW w:w="1984" w:type="dxa"/>
            <w:noWrap w:val="0"/>
            <w:vAlign w:val="center"/>
          </w:tcPr>
          <w:p>
            <w:pPr>
              <w:snapToGrid w:val="0"/>
              <w:spacing w:line="312" w:lineRule="auto"/>
              <w:rPr>
                <w:rFonts w:hint="eastAsia" w:ascii="宋体" w:hAnsi="宋体" w:eastAsia="宋体" w:cs="宋体"/>
                <w:highlight w:val="none"/>
              </w:rPr>
            </w:pPr>
            <w:r>
              <w:rPr>
                <w:rFonts w:hint="eastAsia" w:ascii="宋体" w:hAnsi="宋体" w:eastAsia="宋体" w:cs="宋体"/>
                <w:highlight w:val="none"/>
              </w:rPr>
              <w:t>接收质疑的方式、部门、电话和</w:t>
            </w:r>
          </w:p>
          <w:p>
            <w:pPr>
              <w:snapToGrid w:val="0"/>
              <w:spacing w:line="312" w:lineRule="auto"/>
              <w:rPr>
                <w:rFonts w:hint="eastAsia" w:ascii="宋体" w:hAnsi="宋体" w:eastAsia="宋体" w:cs="宋体"/>
                <w:highlight w:val="none"/>
              </w:rPr>
            </w:pPr>
            <w:r>
              <w:rPr>
                <w:rFonts w:hint="eastAsia" w:ascii="宋体" w:hAnsi="宋体" w:eastAsia="宋体" w:cs="宋体"/>
                <w:highlight w:val="none"/>
              </w:rPr>
              <w:t>通讯地址</w:t>
            </w:r>
          </w:p>
        </w:tc>
        <w:tc>
          <w:tcPr>
            <w:tcW w:w="6058" w:type="dxa"/>
            <w:gridSpan w:val="2"/>
            <w:noWrap w:val="0"/>
            <w:vAlign w:val="center"/>
          </w:tcPr>
          <w:p>
            <w:pPr>
              <w:snapToGrid w:val="0"/>
              <w:spacing w:line="312" w:lineRule="auto"/>
              <w:rPr>
                <w:rFonts w:hint="eastAsia" w:ascii="宋体" w:hAnsi="宋体" w:eastAsia="宋体" w:cs="宋体"/>
                <w:highlight w:val="none"/>
                <w:lang w:val="en-US" w:eastAsia="zh-CN"/>
              </w:rPr>
            </w:pPr>
            <w:r>
              <w:rPr>
                <w:rFonts w:hint="eastAsia" w:ascii="宋体" w:hAnsi="宋体" w:eastAsia="宋体" w:cs="宋体"/>
                <w:highlight w:val="none"/>
              </w:rPr>
              <w:t>（1）接收质疑函的方式：</w:t>
            </w:r>
            <w:r>
              <w:rPr>
                <w:rFonts w:hint="eastAsia" w:ascii="宋体" w:hAnsi="宋体" w:eastAsia="宋体" w:cs="宋体"/>
                <w:highlight w:val="none"/>
                <w:lang w:val="en-US" w:eastAsia="zh-CN"/>
              </w:rPr>
              <w:t>原件送达</w:t>
            </w:r>
          </w:p>
          <w:p>
            <w:pPr>
              <w:snapToGrid w:val="0"/>
              <w:spacing w:line="312" w:lineRule="auto"/>
              <w:rPr>
                <w:rFonts w:hint="eastAsia" w:ascii="宋体" w:hAnsi="宋体" w:eastAsia="宋体" w:cs="宋体"/>
                <w:highlight w:val="none"/>
                <w:lang w:val="en-US" w:eastAsia="zh-CN"/>
              </w:rPr>
            </w:pPr>
            <w:r>
              <w:rPr>
                <w:rFonts w:hint="eastAsia" w:ascii="宋体" w:hAnsi="宋体" w:eastAsia="宋体" w:cs="宋体"/>
                <w:highlight w:val="none"/>
              </w:rPr>
              <w:t>（2）联系部门：</w:t>
            </w:r>
            <w:r>
              <w:rPr>
                <w:rFonts w:hint="eastAsia" w:ascii="宋体" w:hAnsi="宋体" w:eastAsia="宋体" w:cs="宋体"/>
                <w:highlight w:val="none"/>
                <w:lang w:val="en-US" w:eastAsia="zh-CN"/>
              </w:rPr>
              <w:t>湖北普华工程咨询有限公司</w:t>
            </w:r>
          </w:p>
          <w:p>
            <w:pPr>
              <w:snapToGrid w:val="0"/>
              <w:spacing w:line="312" w:lineRule="auto"/>
              <w:rPr>
                <w:rFonts w:hint="eastAsia" w:ascii="宋体" w:hAnsi="宋体" w:eastAsia="宋体" w:cs="宋体"/>
                <w:highlight w:val="none"/>
                <w:lang w:val="en-US" w:eastAsia="zh-CN"/>
              </w:rPr>
            </w:pPr>
            <w:r>
              <w:rPr>
                <w:rFonts w:hint="eastAsia" w:ascii="宋体" w:hAnsi="宋体" w:eastAsia="宋体" w:cs="宋体"/>
                <w:highlight w:val="none"/>
              </w:rPr>
              <w:t>（3）联系电话：</w:t>
            </w:r>
            <w:r>
              <w:rPr>
                <w:rFonts w:hint="eastAsia" w:ascii="宋体" w:hAnsi="宋体" w:eastAsia="宋体" w:cs="宋体"/>
                <w:highlight w:val="none"/>
                <w:lang w:val="en-US" w:eastAsia="zh-CN"/>
              </w:rPr>
              <w:t>0719-8789589</w:t>
            </w:r>
          </w:p>
          <w:p>
            <w:pPr>
              <w:snapToGrid w:val="0"/>
              <w:spacing w:line="312" w:lineRule="auto"/>
              <w:rPr>
                <w:rFonts w:hint="eastAsia" w:ascii="宋体" w:hAnsi="宋体" w:eastAsia="宋体" w:cs="宋体"/>
                <w:highlight w:val="none"/>
                <w:lang w:val="en-US" w:eastAsia="zh-CN"/>
              </w:rPr>
            </w:pPr>
            <w:r>
              <w:rPr>
                <w:rFonts w:hint="eastAsia" w:ascii="宋体" w:hAnsi="宋体" w:eastAsia="宋体" w:cs="宋体"/>
                <w:highlight w:val="none"/>
              </w:rPr>
              <w:t>（4）通讯地址：</w:t>
            </w:r>
            <w:r>
              <w:rPr>
                <w:rFonts w:hint="eastAsia" w:ascii="宋体" w:hAnsi="宋体" w:eastAsia="宋体" w:cs="宋体"/>
                <w:highlight w:val="none"/>
                <w:lang w:val="en-US" w:eastAsia="zh-CN"/>
              </w:rPr>
              <w:t>湖北普华工程咨询有限公司（十堰市茅箭区重庆路99号汉成天地2号写字楼22层）</w:t>
            </w:r>
          </w:p>
          <w:p>
            <w:pPr>
              <w:snapToGrid w:val="0"/>
              <w:spacing w:line="312" w:lineRule="auto"/>
              <w:rPr>
                <w:rFonts w:hint="eastAsia" w:ascii="宋体" w:hAnsi="宋体" w:eastAsia="宋体" w:cs="宋体"/>
                <w:highlight w:val="none"/>
              </w:rPr>
            </w:pPr>
            <w:r>
              <w:rPr>
                <w:rFonts w:hint="eastAsia" w:ascii="宋体" w:hAnsi="宋体" w:eastAsia="宋体" w:cs="宋体"/>
                <w:highlight w:val="none"/>
              </w:rPr>
              <w:t>（5）电子邮箱：</w:t>
            </w:r>
            <w:r>
              <w:rPr>
                <w:rFonts w:hint="eastAsia" w:ascii="宋体" w:hAnsi="宋体" w:eastAsia="宋体" w:cs="宋体"/>
                <w:highlight w:val="none"/>
                <w:lang w:val="en-US" w:eastAsia="zh-CN"/>
              </w:rPr>
              <w:t>67466890@qq.com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 w:type="dxa"/>
            <w:noWrap w:val="0"/>
            <w:vAlign w:val="center"/>
          </w:tcPr>
          <w:p>
            <w:pPr>
              <w:snapToGrid w:val="0"/>
              <w:spacing w:line="312" w:lineRule="auto"/>
              <w:jc w:val="center"/>
              <w:rPr>
                <w:rFonts w:hint="eastAsia" w:ascii="宋体" w:hAnsi="宋体" w:eastAsia="宋体" w:cs="宋体"/>
                <w:highlight w:val="none"/>
              </w:rPr>
            </w:pPr>
            <w:r>
              <w:rPr>
                <w:rFonts w:hint="eastAsia" w:ascii="宋体" w:hAnsi="宋体" w:eastAsia="宋体" w:cs="宋体"/>
                <w:highlight w:val="none"/>
              </w:rPr>
              <w:t>29</w:t>
            </w:r>
          </w:p>
        </w:tc>
        <w:tc>
          <w:tcPr>
            <w:tcW w:w="1984" w:type="dxa"/>
            <w:noWrap w:val="0"/>
            <w:vAlign w:val="center"/>
          </w:tcPr>
          <w:p>
            <w:pPr>
              <w:snapToGrid w:val="0"/>
              <w:spacing w:line="312" w:lineRule="auto"/>
              <w:rPr>
                <w:rFonts w:hint="eastAsia" w:ascii="宋体" w:hAnsi="宋体" w:eastAsia="宋体" w:cs="宋体"/>
                <w:highlight w:val="none"/>
              </w:rPr>
            </w:pPr>
            <w:r>
              <w:rPr>
                <w:rFonts w:hint="eastAsia" w:ascii="宋体" w:hAnsi="宋体" w:eastAsia="宋体" w:cs="宋体"/>
                <w:highlight w:val="none"/>
              </w:rPr>
              <w:t>需提交的</w:t>
            </w:r>
          </w:p>
          <w:p>
            <w:pPr>
              <w:snapToGrid w:val="0"/>
              <w:spacing w:line="312" w:lineRule="auto"/>
              <w:rPr>
                <w:rFonts w:hint="eastAsia" w:ascii="宋体" w:hAnsi="宋体" w:eastAsia="宋体" w:cs="宋体"/>
                <w:highlight w:val="none"/>
              </w:rPr>
            </w:pPr>
            <w:r>
              <w:rPr>
                <w:rFonts w:hint="eastAsia" w:ascii="宋体" w:hAnsi="宋体" w:eastAsia="宋体" w:cs="宋体"/>
                <w:highlight w:val="none"/>
              </w:rPr>
              <w:t>投标文件份数</w:t>
            </w:r>
          </w:p>
        </w:tc>
        <w:tc>
          <w:tcPr>
            <w:tcW w:w="6058" w:type="dxa"/>
            <w:gridSpan w:val="2"/>
            <w:noWrap w:val="0"/>
            <w:vAlign w:val="center"/>
          </w:tcPr>
          <w:p>
            <w:pPr>
              <w:snapToGrid w:val="0"/>
              <w:spacing w:line="312" w:lineRule="auto"/>
              <w:rPr>
                <w:rFonts w:hint="eastAsia" w:ascii="宋体" w:hAnsi="宋体" w:eastAsia="宋体" w:cs="宋体"/>
                <w:highlight w:val="none"/>
              </w:rPr>
            </w:pPr>
            <w:r>
              <w:rPr>
                <w:rFonts w:hint="eastAsia" w:ascii="宋体" w:hAnsi="宋体" w:eastAsia="宋体" w:cs="宋体"/>
                <w:highlight w:val="none"/>
              </w:rPr>
              <w:t>（1）正本1份、副本</w:t>
            </w:r>
            <w:r>
              <w:rPr>
                <w:rFonts w:hint="eastAsia" w:ascii="宋体" w:hAnsi="宋体" w:eastAsia="宋体" w:cs="宋体"/>
                <w:highlight w:val="none"/>
                <w:lang w:val="en-US" w:eastAsia="zh-CN"/>
              </w:rPr>
              <w:t>2</w:t>
            </w:r>
            <w:r>
              <w:rPr>
                <w:rFonts w:hint="eastAsia" w:ascii="宋体" w:hAnsi="宋体" w:eastAsia="宋体" w:cs="宋体"/>
                <w:highlight w:val="none"/>
              </w:rPr>
              <w:t>份</w:t>
            </w:r>
            <w:r>
              <w:rPr>
                <w:rFonts w:hint="eastAsia" w:ascii="宋体" w:hAnsi="宋体" w:eastAsia="宋体" w:cs="宋体"/>
                <w:highlight w:val="none"/>
                <w:lang w:eastAsia="zh-CN"/>
              </w:rPr>
              <w:t>、</w:t>
            </w:r>
            <w:r>
              <w:rPr>
                <w:rFonts w:hint="eastAsia" w:ascii="宋体" w:hAnsi="宋体" w:eastAsia="宋体" w:cs="宋体"/>
                <w:highlight w:val="none"/>
                <w:lang w:val="en-US" w:eastAsia="zh-CN"/>
              </w:rPr>
              <w:t>单独密封的报价信封1份（开标一览表）</w:t>
            </w:r>
            <w:r>
              <w:rPr>
                <w:rFonts w:hint="eastAsia" w:ascii="宋体" w:hAnsi="宋体" w:eastAsia="宋体" w:cs="宋体"/>
                <w:highlight w:val="none"/>
              </w:rPr>
              <w:t>。</w:t>
            </w:r>
          </w:p>
          <w:p>
            <w:pPr>
              <w:snapToGrid w:val="0"/>
              <w:spacing w:line="312" w:lineRule="auto"/>
              <w:rPr>
                <w:rFonts w:hint="eastAsia" w:ascii="宋体" w:hAnsi="宋体" w:eastAsia="宋体" w:cs="宋体"/>
                <w:highlight w:val="none"/>
              </w:rPr>
            </w:pPr>
            <w:r>
              <w:rPr>
                <w:rFonts w:hint="eastAsia" w:ascii="宋体" w:hAnsi="宋体" w:eastAsia="宋体" w:cs="宋体"/>
                <w:highlight w:val="none"/>
              </w:rPr>
              <w:t>（2）电子文件</w:t>
            </w:r>
            <w:r>
              <w:rPr>
                <w:rFonts w:hint="eastAsia" w:ascii="宋体" w:hAnsi="宋体" w:eastAsia="宋体" w:cs="宋体"/>
                <w:highlight w:val="none"/>
                <w:lang w:val="en-US" w:eastAsia="zh-CN"/>
              </w:rPr>
              <w:t>1</w:t>
            </w:r>
            <w:r>
              <w:rPr>
                <w:rFonts w:hint="eastAsia" w:ascii="宋体" w:hAnsi="宋体" w:eastAsia="宋体" w:cs="宋体"/>
                <w:highlight w:val="none"/>
              </w:rPr>
              <w:t>份（</w:t>
            </w:r>
            <w:r>
              <w:rPr>
                <w:rFonts w:hint="eastAsia" w:ascii="宋体" w:hAnsi="宋体" w:eastAsia="宋体" w:cs="宋体"/>
                <w:highlight w:val="none"/>
                <w:lang w:eastAsia="zh-CN"/>
              </w:rPr>
              <w:t>☑</w:t>
            </w:r>
            <w:r>
              <w:rPr>
                <w:rFonts w:hint="eastAsia" w:ascii="宋体" w:hAnsi="宋体" w:eastAsia="宋体" w:cs="宋体"/>
                <w:highlight w:val="none"/>
              </w:rPr>
              <w:t xml:space="preserve">扫描件 </w:t>
            </w:r>
            <w:r>
              <w:rPr>
                <w:rFonts w:hint="eastAsia" w:ascii="宋体" w:hAnsi="宋体" w:eastAsia="宋体" w:cs="宋体"/>
                <w:highlight w:val="none"/>
                <w:lang w:eastAsia="zh-CN"/>
              </w:rPr>
              <w:t>□</w:t>
            </w:r>
            <w:r>
              <w:rPr>
                <w:rFonts w:hint="eastAsia" w:ascii="宋体" w:hAnsi="宋体" w:eastAsia="宋体" w:cs="宋体"/>
                <w:highlight w:val="none"/>
              </w:rPr>
              <w:t>Word）。</w:t>
            </w:r>
          </w:p>
          <w:p>
            <w:pPr>
              <w:snapToGrid w:val="0"/>
              <w:spacing w:line="312" w:lineRule="auto"/>
              <w:rPr>
                <w:rFonts w:hint="eastAsia" w:ascii="宋体" w:hAnsi="宋体" w:eastAsia="宋体" w:cs="宋体"/>
                <w:highlight w:val="none"/>
              </w:rPr>
            </w:pPr>
            <w:r>
              <w:rPr>
                <w:rFonts w:hint="eastAsia" w:ascii="宋体" w:hAnsi="宋体" w:eastAsia="宋体" w:cs="宋体"/>
                <w:highlight w:val="none"/>
              </w:rPr>
              <w:t>采用光盘或U盘刻录提交</w:t>
            </w:r>
            <w:r>
              <w:rPr>
                <w:rFonts w:hint="eastAsia" w:ascii="宋体" w:hAnsi="宋体" w:eastAsia="宋体" w:cs="宋体"/>
                <w:highlight w:val="none"/>
                <w:lang w:eastAsia="zh-CN"/>
              </w:rPr>
              <w:t>（</w:t>
            </w:r>
            <w:r>
              <w:rPr>
                <w:rFonts w:hint="eastAsia" w:ascii="宋体" w:hAnsi="宋体" w:eastAsia="宋体" w:cs="宋体"/>
                <w:highlight w:val="none"/>
                <w:lang w:val="en-US" w:eastAsia="zh-CN"/>
              </w:rPr>
              <w:t>优先U盘</w:t>
            </w:r>
            <w:r>
              <w:rPr>
                <w:rFonts w:hint="eastAsia" w:ascii="宋体" w:hAnsi="宋体" w:eastAsia="宋体" w:cs="宋体"/>
                <w:highlight w:val="none"/>
                <w:lang w:eastAsia="zh-CN"/>
              </w:rPr>
              <w:t>）</w:t>
            </w:r>
            <w:r>
              <w:rPr>
                <w:rFonts w:hint="eastAsia" w:ascii="宋体" w:hAnsi="宋体" w:eastAsia="宋体" w:cs="宋体"/>
                <w:highlight w:val="none"/>
              </w:rPr>
              <w:t>。</w:t>
            </w:r>
          </w:p>
          <w:p>
            <w:pPr>
              <w:snapToGrid w:val="0"/>
              <w:spacing w:line="312" w:lineRule="auto"/>
              <w:rPr>
                <w:rFonts w:hint="eastAsia" w:ascii="宋体" w:hAnsi="宋体" w:eastAsia="宋体" w:cs="宋体"/>
                <w:highlight w:val="none"/>
              </w:rPr>
            </w:pPr>
            <w:r>
              <w:rPr>
                <w:rFonts w:hint="eastAsia" w:ascii="宋体" w:hAnsi="宋体" w:eastAsia="宋体" w:cs="宋体"/>
                <w:highlight w:val="none"/>
                <w:lang w:val="en-US" w:eastAsia="zh-CN"/>
              </w:rPr>
              <w:t>注：投标文件应使用不透明的牛皮纸或档案袋等材料密封包装，并在外包装封面注明“投标文件”或“报价信封”，以及项目编号、项目名称、开标时间等信息，密封处加盖投标公章或授权代表签字均可，避免投标文件被误拆或提前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 w:type="dxa"/>
            <w:noWrap w:val="0"/>
            <w:vAlign w:val="center"/>
          </w:tcPr>
          <w:p>
            <w:pPr>
              <w:snapToGrid w:val="0"/>
              <w:spacing w:line="312" w:lineRule="auto"/>
              <w:jc w:val="center"/>
              <w:rPr>
                <w:rFonts w:hint="eastAsia" w:ascii="宋体" w:hAnsi="宋体" w:eastAsia="宋体" w:cs="宋体"/>
                <w:highlight w:val="none"/>
              </w:rPr>
            </w:pPr>
            <w:r>
              <w:rPr>
                <w:rFonts w:hint="eastAsia" w:ascii="宋体" w:hAnsi="宋体" w:eastAsia="宋体" w:cs="宋体"/>
                <w:highlight w:val="none"/>
              </w:rPr>
              <w:t>30</w:t>
            </w:r>
          </w:p>
        </w:tc>
        <w:tc>
          <w:tcPr>
            <w:tcW w:w="1984" w:type="dxa"/>
            <w:noWrap w:val="0"/>
            <w:vAlign w:val="center"/>
          </w:tcPr>
          <w:p>
            <w:pPr>
              <w:snapToGrid w:val="0"/>
              <w:spacing w:line="312" w:lineRule="auto"/>
              <w:rPr>
                <w:rFonts w:hint="eastAsia" w:ascii="宋体" w:hAnsi="宋体" w:eastAsia="宋体" w:cs="宋体"/>
                <w:highlight w:val="none"/>
              </w:rPr>
            </w:pPr>
            <w:r>
              <w:rPr>
                <w:rFonts w:hint="eastAsia" w:ascii="宋体" w:hAnsi="宋体" w:eastAsia="宋体" w:cs="宋体"/>
                <w:highlight w:val="none"/>
              </w:rPr>
              <w:t>代理费用</w:t>
            </w:r>
          </w:p>
        </w:tc>
        <w:tc>
          <w:tcPr>
            <w:tcW w:w="6058" w:type="dxa"/>
            <w:gridSpan w:val="2"/>
            <w:noWrap w:val="0"/>
            <w:vAlign w:val="center"/>
          </w:tcPr>
          <w:p>
            <w:pPr>
              <w:snapToGrid w:val="0"/>
              <w:spacing w:line="312" w:lineRule="auto"/>
              <w:rPr>
                <w:rFonts w:hint="eastAsia" w:ascii="宋体" w:hAnsi="宋体" w:eastAsia="宋体" w:cs="宋体"/>
                <w:highlight w:val="none"/>
              </w:rPr>
            </w:pPr>
            <w:r>
              <w:rPr>
                <w:rFonts w:hint="eastAsia" w:ascii="宋体" w:hAnsi="宋体" w:eastAsia="宋体" w:cs="宋体"/>
                <w:highlight w:val="none"/>
              </w:rPr>
              <w:t>代理费用：</w:t>
            </w:r>
          </w:p>
          <w:p>
            <w:pPr>
              <w:snapToGrid w:val="0"/>
              <w:spacing w:line="312" w:lineRule="auto"/>
              <w:rPr>
                <w:rFonts w:hint="eastAsia" w:ascii="宋体" w:hAnsi="宋体" w:eastAsia="宋体" w:cs="宋体"/>
                <w:highlight w:val="none"/>
              </w:rPr>
            </w:pPr>
            <w:r>
              <w:rPr>
                <w:rFonts w:hint="eastAsia" w:ascii="宋体" w:hAnsi="宋体" w:eastAsia="宋体" w:cs="宋体"/>
                <w:highlight w:val="none"/>
              </w:rPr>
              <w:t>（1）本项目代理费用由中标人支付。</w:t>
            </w:r>
          </w:p>
          <w:p>
            <w:pPr>
              <w:snapToGrid w:val="0"/>
              <w:spacing w:line="312" w:lineRule="auto"/>
              <w:rPr>
                <w:rFonts w:hint="eastAsia" w:ascii="宋体" w:hAnsi="宋体" w:eastAsia="宋体" w:cs="宋体"/>
                <w:highlight w:val="none"/>
              </w:rPr>
            </w:pPr>
            <w:r>
              <w:rPr>
                <w:rFonts w:hint="eastAsia" w:ascii="宋体" w:hAnsi="宋体" w:eastAsia="宋体" w:cs="宋体"/>
                <w:highlight w:val="none"/>
              </w:rPr>
              <w:t>（2）代理费用收取方式及标准：</w:t>
            </w:r>
          </w:p>
          <w:p>
            <w:pPr>
              <w:snapToGrid w:val="0"/>
              <w:spacing w:line="312" w:lineRule="auto"/>
              <w:rPr>
                <w:rFonts w:hint="eastAsia" w:ascii="宋体" w:hAnsi="宋体" w:eastAsia="宋体" w:cs="宋体"/>
                <w:highlight w:val="none"/>
              </w:rPr>
            </w:pPr>
            <w:r>
              <w:rPr>
                <w:rFonts w:hint="eastAsia" w:cs="宋体"/>
                <w:b/>
                <w:sz w:val="24"/>
                <w:highlight w:val="none"/>
              </w:rPr>
              <w:t>按《国家计委关于印发&lt;招标代理服务收费管理暂行办法&gt;的通知》(计价格[2002]1980号)和国家发改委办公厅《关于招标代理服务收费有关问题的通知》(发改办价格[2003]857号)规定标准以70%的折扣率计取(含税)。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 w:type="dxa"/>
            <w:noWrap w:val="0"/>
            <w:vAlign w:val="center"/>
          </w:tcPr>
          <w:p>
            <w:pPr>
              <w:snapToGrid w:val="0"/>
              <w:spacing w:line="312" w:lineRule="auto"/>
              <w:jc w:val="center"/>
              <w:rPr>
                <w:rFonts w:hint="eastAsia" w:ascii="宋体" w:hAnsi="宋体" w:eastAsia="宋体" w:cs="宋体"/>
                <w:highlight w:val="none"/>
              </w:rPr>
            </w:pPr>
            <w:r>
              <w:rPr>
                <w:rFonts w:hint="eastAsia" w:ascii="宋体" w:hAnsi="宋体" w:eastAsia="宋体" w:cs="宋体"/>
                <w:highlight w:val="none"/>
              </w:rPr>
              <w:t>31</w:t>
            </w:r>
          </w:p>
        </w:tc>
        <w:tc>
          <w:tcPr>
            <w:tcW w:w="1984" w:type="dxa"/>
            <w:noWrap w:val="0"/>
            <w:vAlign w:val="center"/>
          </w:tcPr>
          <w:p>
            <w:pPr>
              <w:snapToGrid w:val="0"/>
              <w:spacing w:line="312" w:lineRule="auto"/>
              <w:rPr>
                <w:rFonts w:hint="eastAsia" w:ascii="宋体" w:hAnsi="宋体" w:eastAsia="宋体" w:cs="宋体"/>
                <w:highlight w:val="none"/>
              </w:rPr>
            </w:pPr>
            <w:r>
              <w:rPr>
                <w:rFonts w:hint="eastAsia" w:ascii="宋体" w:hAnsi="宋体" w:eastAsia="宋体" w:cs="宋体"/>
                <w:highlight w:val="none"/>
              </w:rPr>
              <w:t>其他补充事项</w:t>
            </w:r>
          </w:p>
        </w:tc>
        <w:tc>
          <w:tcPr>
            <w:tcW w:w="6058" w:type="dxa"/>
            <w:gridSpan w:val="2"/>
            <w:noWrap w:val="0"/>
            <w:vAlign w:val="center"/>
          </w:tcPr>
          <w:p>
            <w:pPr>
              <w:snapToGrid w:val="0"/>
              <w:spacing w:line="312" w:lineRule="auto"/>
              <w:rPr>
                <w:rFonts w:hint="eastAsia" w:ascii="宋体" w:hAnsi="宋体" w:eastAsia="宋体" w:cs="宋体"/>
                <w:highlight w:val="none"/>
                <w:lang w:eastAsia="zh-CN"/>
              </w:rPr>
            </w:pPr>
            <w:r>
              <w:rPr>
                <w:rFonts w:hint="eastAsia" w:ascii="宋体" w:hAnsi="宋体" w:eastAsia="宋体" w:cs="宋体"/>
                <w:highlight w:val="none"/>
              </w:rPr>
              <w:t>其他补充事项：</w:t>
            </w:r>
            <w:r>
              <w:rPr>
                <w:rFonts w:hint="eastAsia" w:ascii="宋体" w:hAnsi="宋体" w:eastAsia="宋体" w:cs="宋体"/>
                <w:highlight w:val="none"/>
                <w:lang w:val="en-US" w:eastAsia="zh-CN"/>
              </w:rPr>
              <w:t>无</w:t>
            </w:r>
          </w:p>
        </w:tc>
      </w:tr>
    </w:tbl>
    <w:p>
      <w:pPr>
        <w:bidi w:val="0"/>
        <w:rPr>
          <w:highlight w:val="none"/>
        </w:rPr>
      </w:pPr>
    </w:p>
    <w:p>
      <w:pPr>
        <w:rPr>
          <w:rFonts w:cs="宋体"/>
          <w:highlight w:val="none"/>
        </w:rPr>
      </w:pPr>
    </w:p>
    <w:p>
      <w:pPr>
        <w:rPr>
          <w:rFonts w:cs="宋体"/>
          <w:highlight w:val="none"/>
        </w:rPr>
        <w:sectPr>
          <w:pgSz w:w="11906" w:h="16838"/>
          <w:pgMar w:top="1440" w:right="1083" w:bottom="1440" w:left="1083" w:header="851" w:footer="992" w:gutter="0"/>
          <w:cols w:space="720" w:num="1"/>
          <w:titlePg/>
          <w:docGrid w:type="lines" w:linePitch="312" w:charSpace="0"/>
        </w:sectPr>
      </w:pPr>
    </w:p>
    <w:p>
      <w:pPr>
        <w:snapToGrid w:val="0"/>
        <w:spacing w:line="360" w:lineRule="auto"/>
        <w:rPr>
          <w:rFonts w:cs="宋体"/>
          <w:b/>
          <w:bCs/>
          <w:highlight w:val="none"/>
        </w:rPr>
      </w:pPr>
      <w:r>
        <w:rPr>
          <w:rFonts w:hint="eastAsia" w:cs="宋体"/>
          <w:b/>
          <w:bCs/>
          <w:highlight w:val="none"/>
        </w:rPr>
        <w:t>附件：</w:t>
      </w:r>
    </w:p>
    <w:p>
      <w:pPr>
        <w:widowControl/>
        <w:shd w:val="clear" w:color="auto" w:fill="FFFFFF"/>
        <w:snapToGrid w:val="0"/>
        <w:spacing w:before="100" w:beforeAutospacing="1" w:after="100" w:afterAutospacing="1" w:line="360" w:lineRule="auto"/>
        <w:jc w:val="center"/>
        <w:rPr>
          <w:rFonts w:cs="宋体"/>
          <w:color w:val="000000"/>
          <w:sz w:val="21"/>
          <w:szCs w:val="21"/>
          <w:highlight w:val="none"/>
        </w:rPr>
      </w:pPr>
      <w:r>
        <w:rPr>
          <w:rFonts w:hint="eastAsia" w:cs="宋体"/>
          <w:b/>
          <w:bCs/>
          <w:color w:val="000000"/>
          <w:sz w:val="28"/>
          <w:szCs w:val="28"/>
          <w:highlight w:val="none"/>
        </w:rPr>
        <w:t>中小企业划型标准规定</w:t>
      </w:r>
    </w:p>
    <w:p>
      <w:pPr>
        <w:snapToGrid w:val="0"/>
        <w:spacing w:line="360" w:lineRule="auto"/>
        <w:rPr>
          <w:rFonts w:cs="宋体"/>
          <w:highlight w:val="none"/>
        </w:rPr>
      </w:pPr>
      <w:r>
        <w:rPr>
          <w:rFonts w:hint="eastAsia" w:cs="宋体"/>
          <w:highlight w:val="none"/>
        </w:rPr>
        <w:t>一、根据《中华人民共和国中小企业促进法》和《国务院关于进一步促进中小企业发展的若干意见》(国发〔2009〕36号)，制定本规定。</w:t>
      </w:r>
    </w:p>
    <w:p>
      <w:pPr>
        <w:snapToGrid w:val="0"/>
        <w:spacing w:line="360" w:lineRule="auto"/>
        <w:rPr>
          <w:rFonts w:cs="宋体"/>
          <w:highlight w:val="none"/>
        </w:rPr>
      </w:pPr>
      <w:r>
        <w:rPr>
          <w:rFonts w:hint="eastAsia" w:cs="宋体"/>
          <w:highlight w:val="none"/>
        </w:rPr>
        <w:t>二、中小企业划分为中型、小型、微型三种类型，具体标准根据企业从业人员、营业收入、资产总额等指标，结合行业特点制定。</w:t>
      </w:r>
    </w:p>
    <w:p>
      <w:pPr>
        <w:snapToGrid w:val="0"/>
        <w:spacing w:line="360" w:lineRule="auto"/>
        <w:rPr>
          <w:rFonts w:cs="宋体"/>
          <w:highlight w:val="none"/>
        </w:rPr>
      </w:pPr>
      <w:r>
        <w:rPr>
          <w:rFonts w:hint="eastAsia" w:cs="宋体"/>
          <w:highlight w:val="none"/>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snapToGrid w:val="0"/>
        <w:spacing w:line="360" w:lineRule="auto"/>
        <w:rPr>
          <w:rFonts w:cs="宋体"/>
          <w:highlight w:val="none"/>
        </w:rPr>
      </w:pPr>
      <w:r>
        <w:rPr>
          <w:rFonts w:hint="eastAsia" w:cs="宋体"/>
          <w:highlight w:val="none"/>
        </w:rPr>
        <w:t>四、各行业划型标准为：</w:t>
      </w:r>
    </w:p>
    <w:p>
      <w:pPr>
        <w:snapToGrid w:val="0"/>
        <w:spacing w:line="360" w:lineRule="auto"/>
        <w:rPr>
          <w:rFonts w:cs="宋体"/>
          <w:highlight w:val="none"/>
        </w:rPr>
      </w:pPr>
      <w:r>
        <w:rPr>
          <w:rFonts w:hint="eastAsia" w:cs="宋体"/>
          <w:highlight w:val="none"/>
        </w:rPr>
        <w:t>（一）农、林、牧、渔业。营业收入20000万元以下的为中小微型企业。其中，营业收入500万元及以上的为中型企业，营业收入50万元及以上的为小型企业，营业收入50万元以下的为微型企业。</w:t>
      </w:r>
    </w:p>
    <w:p>
      <w:pPr>
        <w:snapToGrid w:val="0"/>
        <w:spacing w:line="360" w:lineRule="auto"/>
        <w:rPr>
          <w:rFonts w:cs="宋体"/>
          <w:highlight w:val="none"/>
        </w:rPr>
      </w:pPr>
      <w:r>
        <w:rPr>
          <w:rFonts w:hint="eastAsia" w:cs="宋体"/>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snapToGrid w:val="0"/>
        <w:spacing w:line="360" w:lineRule="auto"/>
        <w:rPr>
          <w:rFonts w:cs="宋体"/>
          <w:highlight w:val="none"/>
        </w:rPr>
      </w:pPr>
      <w:r>
        <w:rPr>
          <w:rFonts w:hint="eastAsia" w:cs="宋体"/>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snapToGrid w:val="0"/>
        <w:spacing w:line="360" w:lineRule="auto"/>
        <w:rPr>
          <w:rFonts w:cs="宋体"/>
          <w:highlight w:val="none"/>
        </w:rPr>
      </w:pPr>
      <w:r>
        <w:rPr>
          <w:rFonts w:hint="eastAsia" w:cs="宋体"/>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snapToGrid w:val="0"/>
        <w:spacing w:line="360" w:lineRule="auto"/>
        <w:rPr>
          <w:rFonts w:cs="宋体"/>
          <w:highlight w:val="none"/>
        </w:rPr>
      </w:pPr>
      <w:r>
        <w:rPr>
          <w:rFonts w:hint="eastAsia" w:cs="宋体"/>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snapToGrid w:val="0"/>
        <w:spacing w:line="360" w:lineRule="auto"/>
        <w:rPr>
          <w:rFonts w:cs="宋体"/>
          <w:highlight w:val="none"/>
        </w:rPr>
      </w:pPr>
      <w:r>
        <w:rPr>
          <w:rFonts w:hint="eastAsia" w:cs="宋体"/>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snapToGrid w:val="0"/>
        <w:spacing w:line="360" w:lineRule="auto"/>
        <w:rPr>
          <w:rFonts w:cs="宋体"/>
          <w:highlight w:val="none"/>
        </w:rPr>
      </w:pPr>
      <w:r>
        <w:rPr>
          <w:rFonts w:hint="eastAsia" w:cs="宋体"/>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snapToGrid w:val="0"/>
        <w:spacing w:line="360" w:lineRule="auto"/>
        <w:rPr>
          <w:rFonts w:cs="宋体"/>
          <w:highlight w:val="none"/>
        </w:rPr>
      </w:pPr>
      <w:r>
        <w:rPr>
          <w:rFonts w:hint="eastAsia" w:cs="宋体"/>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snapToGrid w:val="0"/>
        <w:spacing w:line="360" w:lineRule="auto"/>
        <w:rPr>
          <w:rFonts w:cs="宋体"/>
          <w:highlight w:val="none"/>
        </w:rPr>
      </w:pPr>
      <w:r>
        <w:rPr>
          <w:rFonts w:hint="eastAsia" w:cs="宋体"/>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snapToGrid w:val="0"/>
        <w:spacing w:line="360" w:lineRule="auto"/>
        <w:rPr>
          <w:rFonts w:cs="宋体"/>
          <w:highlight w:val="none"/>
        </w:rPr>
      </w:pPr>
      <w:r>
        <w:rPr>
          <w:rFonts w:hint="eastAsia" w:cs="宋体"/>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snapToGrid w:val="0"/>
        <w:spacing w:line="360" w:lineRule="auto"/>
        <w:rPr>
          <w:rFonts w:cs="宋体"/>
          <w:highlight w:val="none"/>
        </w:rPr>
      </w:pPr>
      <w:r>
        <w:rPr>
          <w:rFonts w:hint="eastAsia" w:cs="宋体"/>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snapToGrid w:val="0"/>
        <w:spacing w:line="360" w:lineRule="auto"/>
        <w:rPr>
          <w:rFonts w:cs="宋体"/>
          <w:highlight w:val="none"/>
        </w:rPr>
      </w:pPr>
      <w:r>
        <w:rPr>
          <w:rFonts w:hint="eastAsia" w:cs="宋体"/>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snapToGrid w:val="0"/>
        <w:spacing w:line="360" w:lineRule="auto"/>
        <w:rPr>
          <w:rFonts w:cs="宋体"/>
          <w:highlight w:val="none"/>
        </w:rPr>
      </w:pPr>
      <w:r>
        <w:rPr>
          <w:rFonts w:hint="eastAsia" w:cs="宋体"/>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snapToGrid w:val="0"/>
        <w:spacing w:line="360" w:lineRule="auto"/>
        <w:rPr>
          <w:rFonts w:cs="宋体"/>
          <w:highlight w:val="none"/>
        </w:rPr>
      </w:pPr>
      <w:r>
        <w:rPr>
          <w:rFonts w:hint="eastAsia" w:cs="宋体"/>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snapToGrid w:val="0"/>
        <w:spacing w:line="360" w:lineRule="auto"/>
        <w:rPr>
          <w:rFonts w:cs="宋体"/>
          <w:highlight w:val="none"/>
        </w:rPr>
      </w:pPr>
      <w:r>
        <w:rPr>
          <w:rFonts w:hint="eastAsia" w:cs="宋体"/>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snapToGrid w:val="0"/>
        <w:spacing w:line="360" w:lineRule="auto"/>
        <w:rPr>
          <w:rFonts w:cs="宋体"/>
          <w:highlight w:val="none"/>
        </w:rPr>
      </w:pPr>
      <w:r>
        <w:rPr>
          <w:rFonts w:hint="eastAsia" w:cs="宋体"/>
          <w:highlight w:val="none"/>
        </w:rPr>
        <w:t>（十六）其他未列明行业。从业人员300人以下的为中小微型企业。其中，从业人员100人及以上的为中型企业；从业人员10人及以上的为小型企业；从业人员10人以下的为微型企业。</w:t>
      </w:r>
    </w:p>
    <w:p>
      <w:pPr>
        <w:snapToGrid w:val="0"/>
        <w:spacing w:line="360" w:lineRule="auto"/>
        <w:rPr>
          <w:rFonts w:cs="宋体"/>
          <w:highlight w:val="none"/>
        </w:rPr>
      </w:pPr>
      <w:r>
        <w:rPr>
          <w:rFonts w:hint="eastAsia" w:cs="宋体"/>
          <w:highlight w:val="none"/>
        </w:rPr>
        <w:t>五、企业类型的划分以统计部门的统计数据为依据。</w:t>
      </w:r>
    </w:p>
    <w:p>
      <w:pPr>
        <w:snapToGrid w:val="0"/>
        <w:spacing w:line="360" w:lineRule="auto"/>
        <w:rPr>
          <w:rFonts w:cs="宋体"/>
          <w:highlight w:val="none"/>
        </w:rPr>
      </w:pPr>
      <w:r>
        <w:rPr>
          <w:rFonts w:hint="eastAsia" w:cs="宋体"/>
          <w:highlight w:val="none"/>
        </w:rPr>
        <w:t>六、本规定适用于在中华人民共和国境内依法设立的各类所有制和各种组织形式的企业。个体工商户和本规定以外的行业，参照本规定进行划型。</w:t>
      </w:r>
    </w:p>
    <w:p>
      <w:pPr>
        <w:snapToGrid w:val="0"/>
        <w:spacing w:line="360" w:lineRule="auto"/>
        <w:rPr>
          <w:rFonts w:cs="宋体"/>
          <w:highlight w:val="none"/>
        </w:rPr>
      </w:pPr>
      <w:r>
        <w:rPr>
          <w:rFonts w:hint="eastAsia" w:cs="宋体"/>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pPr>
        <w:snapToGrid w:val="0"/>
        <w:spacing w:line="360" w:lineRule="auto"/>
        <w:rPr>
          <w:rFonts w:cs="宋体"/>
          <w:highlight w:val="none"/>
        </w:rPr>
      </w:pPr>
      <w:r>
        <w:rPr>
          <w:rFonts w:hint="eastAsia" w:cs="宋体"/>
          <w:highlight w:val="none"/>
        </w:rPr>
        <w:t>八、本规定由工业和信息化部、国家统计局会同有关部门根据《国民经济行业分类》修订情况和企业发展变化情况适时修订。</w:t>
      </w:r>
    </w:p>
    <w:p>
      <w:pPr>
        <w:snapToGrid w:val="0"/>
        <w:spacing w:line="360" w:lineRule="auto"/>
        <w:rPr>
          <w:rFonts w:cs="宋体"/>
          <w:highlight w:val="none"/>
        </w:rPr>
      </w:pPr>
      <w:r>
        <w:rPr>
          <w:rFonts w:hint="eastAsia" w:cs="宋体"/>
          <w:highlight w:val="none"/>
        </w:rPr>
        <w:t>九、本规定由工业和信息化部、国家统计局会同有关部门负责解释。</w:t>
      </w:r>
    </w:p>
    <w:p>
      <w:pPr>
        <w:snapToGrid w:val="0"/>
        <w:spacing w:line="360" w:lineRule="auto"/>
        <w:rPr>
          <w:rFonts w:cs="宋体"/>
          <w:b/>
          <w:highlight w:val="none"/>
        </w:rPr>
      </w:pPr>
      <w:r>
        <w:rPr>
          <w:rFonts w:hint="eastAsia" w:cs="宋体"/>
          <w:highlight w:val="none"/>
        </w:rPr>
        <w:t>十、本规定自发布之日起执行，原国家经贸委、原国家计委、财政部和国家统计局2003年颁布的《中小企业标准暂行规定》同时废止。</w:t>
      </w:r>
      <w:r>
        <w:rPr>
          <w:rFonts w:hint="eastAsia" w:cs="宋体"/>
          <w:b/>
          <w:highlight w:val="none"/>
        </w:rPr>
        <w:br w:type="page"/>
      </w:r>
    </w:p>
    <w:p>
      <w:pPr>
        <w:adjustRightInd w:val="0"/>
        <w:snapToGrid w:val="0"/>
        <w:spacing w:beforeLines="50" w:afterLines="50" w:line="332" w:lineRule="auto"/>
        <w:ind w:firstLine="480" w:firstLineChars="200"/>
        <w:rPr>
          <w:rFonts w:hint="eastAsia" w:ascii="宋体" w:hAnsi="宋体" w:eastAsia="宋体" w:cs="宋体"/>
          <w:highlight w:val="none"/>
        </w:rPr>
      </w:pPr>
      <w:bookmarkStart w:id="47" w:name="_Toc38030149"/>
      <w:bookmarkStart w:id="48" w:name="_Toc28619"/>
      <w:bookmarkStart w:id="49" w:name="_Toc1762322514"/>
      <w:bookmarkStart w:id="50" w:name="_Toc11149"/>
      <w:bookmarkStart w:id="51" w:name="_Toc16998"/>
      <w:bookmarkStart w:id="52" w:name="_Toc937455070"/>
      <w:bookmarkStart w:id="53" w:name="_Toc14666"/>
      <w:bookmarkStart w:id="54" w:name="_Toc525052846"/>
      <w:bookmarkStart w:id="55" w:name="_Toc1168671576"/>
      <w:bookmarkStart w:id="56" w:name="_Toc1481241717"/>
      <w:bookmarkStart w:id="57" w:name="_Toc1380332034"/>
      <w:bookmarkStart w:id="58" w:name="_Toc1298913388"/>
      <w:r>
        <w:rPr>
          <w:rFonts w:hint="eastAsia" w:ascii="宋体" w:hAnsi="宋体" w:eastAsia="宋体" w:cs="宋体"/>
          <w:highlight w:val="none"/>
        </w:rPr>
        <w:t>一、总则</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1.预算资金及来源</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1.1 本项目已经</w:t>
      </w:r>
      <w:r>
        <w:rPr>
          <w:rFonts w:hint="eastAsia" w:cs="宋体"/>
          <w:b/>
          <w:bCs/>
          <w:highlight w:val="yellow"/>
          <w:u w:val="single"/>
          <w:lang w:eastAsia="zh-CN"/>
        </w:rPr>
        <w:t>国家税务总局十堰市税务局</w:t>
      </w:r>
      <w:r>
        <w:rPr>
          <w:rFonts w:hint="eastAsia" w:ascii="宋体" w:hAnsi="宋体" w:eastAsia="宋体" w:cs="宋体"/>
          <w:highlight w:val="none"/>
        </w:rPr>
        <w:t>批准立项。</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1.2 本项目预算资金见投标人须知前附表，已列入</w:t>
      </w:r>
      <w:r>
        <w:rPr>
          <w:rFonts w:hint="eastAsia" w:cs="宋体"/>
          <w:b/>
          <w:bCs/>
          <w:highlight w:val="yellow"/>
          <w:u w:val="single"/>
          <w:lang w:eastAsia="zh-CN"/>
        </w:rPr>
        <w:t>国家税务总局十堰市税务局</w:t>
      </w:r>
      <w:r>
        <w:rPr>
          <w:rFonts w:hint="eastAsia" w:ascii="宋体" w:hAnsi="宋体" w:eastAsia="宋体" w:cs="宋体"/>
          <w:highlight w:val="none"/>
        </w:rPr>
        <w:t>预算。</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2.合格的产品和服务</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2.1 本项目所涉及的所有产品和服务均应来自中国境内（指关境内），合同金额的支付也仅限于这些产品和服务。</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2.2 合格的产品和服务即采购需求见招标文件（技术部分）。</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2.3 投标人应保证所提供的产品及服务免受第三方提出侵犯其知识产权（专利权、商标权、工业设计权及使用权）的请求及起诉。</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3.合格的投标人</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3.1一般规定</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3.1.1投标人应遵守《</w:t>
      </w:r>
      <w:r>
        <w:rPr>
          <w:rFonts w:hint="eastAsia" w:ascii="宋体" w:hAnsi="宋体" w:eastAsia="宋体" w:cs="宋体"/>
          <w:highlight w:val="none"/>
          <w:lang w:eastAsia="zh-CN"/>
        </w:rPr>
        <w:t>中华人民共和国政府采购法</w:t>
      </w:r>
      <w:r>
        <w:rPr>
          <w:rFonts w:hint="eastAsia" w:ascii="宋体" w:hAnsi="宋体" w:eastAsia="宋体" w:cs="宋体"/>
          <w:highlight w:val="none"/>
        </w:rPr>
        <w:t>》及其实施条例、《政府采购货物和服务招标投标管理办法》、《政府采购质疑和投诉办法》及有关政府采购的规定，同时还应遵守有关法律、法规和规章的强制性规定。</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3.1.2投标人的资格要求及本项目的特定资格要求见投标人须知前附表。</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3.1.3资格条件中所称“重大违法记录”，是指投标人因违法经营受到刑事处罚或者责令停产停业、吊销许可证或者执照、较大数额罚款等行政处罚。</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投标人在参加政府采购活动前3年内因违法经营被禁止在一定期限内参加政府采购活动，期限届满的，可以参加政府采购活动。</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“较大数额罚款”认定为200万元以上的罚款，法律、行政法规以及国务院有关部门明确规定相关领域“较大数额罚款”标准高于200万元的，从其规定。</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3.1.4信用记录要求</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采购人、采购代理机构应当通过“信用中国”网站（www.creditchina.gov.cn）、中国政府采购网（www.ccgp.gov.cn）等渠道查询投标人的信用记录，并对投标人信用记录进行甄别，对列入失信被执行人、重大税收违法案件当事人名单、政府采购严重违法失信行为记录名单及其他不符合《中华人民共和国政府采购法》第二十二条规定条件的投标人，应当拒绝其参与政府采购活动。</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两个以上的自然人、法人或者其他组织组成一个联合体，以一个投标人的身份共同参加政府采购活动的，应当对所有联合体成员进行信用记录查询，联合体成员存在不良信用记录的，视同联合体存在不良信用记录。</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3.2联合体</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3.2.1若本项目接受联合体投标，则两个以上的自然人、法人或者其他组织可以组成一个联合体，以一个投标人的身份共同参加政府采购。</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3.2.2以联合体形式参加投标的，联合体各方应按第二章要求提供资格条件材料。</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3.2.3联合体中有同类资质的投标人按照联合体分工承担相同工作的，应当按照资质等级较低的投标人确定资质等级。</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3.2.4联合体应当提交联合协议，载明联合体各方承担的工作和义务。</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3.2.5联合体各方应当共同与采购人签订采购合同，就采购合同约定的事项对采购人承担连带责任。</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3.2.6以联合体形式参加政府采购活动的，联合体各方不得再单独参加或者与其他投标人另外组成联合体参加同一合同项下的政府采购活动。</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3.3禁止规定</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3.3.1单位负责人为同一人或者存在直接控股、管理关系的不同投标人，不得参加同一采购包的政府采购活动。否则投标均无效。</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3.3.2除单一来源采购项目外，为采购项目提供整体设计、规范编制或者项目管理、监理、检测等服务的供应商，不得再参加该采购项目的其他采购活动。否则投标无效。</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4.投标费用</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4.1 投标人应承担所有与编写、提交投标文件有关的费用，不论招标的结果如何，采购人在任何情况下均无义务和责任承担这些费用。</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二、招标文件</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5.招标文件构成</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第一部分 商务部分</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（1）招标公告</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（2）投标人须知</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（3）评标方法及标准</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（4）政府采购合同文本</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（5）投标文件格式</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第二部分 技术部分</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6.招标文件询问、澄清或修改</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6.1 投标人对招标文件如有疑问的，可以向采购人或者采购代理机构提出询问，采购人或者采购代理机构应当在3个工作日内作出答复，但答复的内容不得涉及商业秘密。如有必要，采购人或者采购代理机构可对招标文件进行澄清或者修改。</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6.2 采购人或者采购代理机构可主动对招标文件进行必要的澄清或者修改，但不得改变采购标的和资格条件。</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6.3 澄清或者修改应当在原公告发布媒体上发布澄清公告，线上采购项目还应通过国家税务总局政府采购评审管理系统（以下简称“评审管理系统”）通知所有获取招标文件的潜在投标人。</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6.4 澄清或者修改的内容可能影响投标文件编制的，采购人或者采购代理机构应当在投标截止时间至少15日前，以书面形式或通过评审管理系统（适用于线上采购，下同）通知所有获取招标文件的潜在投标人；不足15日的，采购人或者采购代理机构应当顺延提交投标文件的截止时间。</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6.5 澄清或者修改的内容为招标文件的组成部分。</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三、投标文件</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7．投标文件编制</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7.1投标文件的编制</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7.1.1投标人应先仔细阅读招标文件的全部内容后，再进行投标文件的编制。</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7.1.2投标文件应满足招标文件提出的实质性要求和条件，并保证其所提交的全部资料是不可割离且真实、有效、准确、完整和不具有任何误导性的，否则造</w:t>
      </w:r>
      <w:r>
        <w:rPr>
          <w:rFonts w:hint="eastAsia" w:ascii="宋体" w:hAnsi="宋体" w:eastAsia="宋体" w:cs="宋体"/>
          <w:highlight w:val="none"/>
          <w:lang w:eastAsia="zh-CN"/>
        </w:rPr>
        <w:t>成的</w:t>
      </w:r>
      <w:r>
        <w:rPr>
          <w:rFonts w:hint="eastAsia" w:ascii="宋体" w:hAnsi="宋体" w:eastAsia="宋体" w:cs="宋体"/>
          <w:highlight w:val="none"/>
        </w:rPr>
        <w:t>不利后果由投标人承担责任。</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7.2投标文件的语言</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7.2.1除招标文件另有规定外，投标文件应使用中文文本并使用中文简化字，若有不同文本，以中文简化字文本为准。</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7.2.2投标文件提供的全部资料中，若属于非中文描述的，应同时提供中文简化字译本。</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7.2.3除在招标文件的要求中另有规定外，投标文件计量单位应使用中华人民共和国法定计量单位。</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7.3投标人制作投标文件前须提前办理数字证书和电子签章，办理方式和注意事项详见网站《供应商操作手册》。供应商在国家税务总局集中采购中心网站（https://swcg.chinatax.gov.cn） “下载中心”下载并安装“供应商投标工具”，使用投标工具编制投标文件。（线上采购项目适用）</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8.投标文件的组成</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8.1 投标文件包括商务部分和技术部分。</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8.2 投标文件商务部分主要包括的文件和资料：</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8.2.1 资格证明文件，见投标人须知前附表。</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8.2.2 其他文件及资料，见投标人须知前附表。</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8.3 投标文件技术部分主要包括的文件及资料，见投标人须知前附表。</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8.4 证明资料如标明有效期的，必须在有效期内。</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9.报价要求</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9.1 除招标文件另有规定外，投标应以人民币报价，线上采购项目还须按照投标工具的流程和提示编制并上传投标报价表。</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9.2 本项目不接受任何形式的赠送、“零”报价和折扣报价。</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9.3 本项目以投标报价为依据计算价格分。投标报价应包括招标文件中要求投标人承担所有工作内容的全部费用。</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9.4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9.5 最低报价不能作为中标的保证。</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10.投标文件的书写、密封、签署、盖章</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10.1书写</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10.1.1投标文件应使用不能擦去的墨料或墨水打印、书写。</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10.1.2投标文件内容应没有涂改或行间插字。若有前述改动，在改动处应由单位负责人（投标人代表）签字确认或加盖投标人的单位公章或校正章。</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10.2密封</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10.2.1投标文件应胶装或装订成册，避免材料散装、脱落。</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10.2.2投标文件应使用不透明的牛皮纸或档案袋等材料密封包装，并在外包装封面注明“正本”或“副本”，以及项目编号、项目名称、开标时间等信息，避免投标文件被误拆或提前拆封。投标文件正本应按上述要求制作。副本可按上述要求制作，也可用正本的完整复印件，并与正本保持一致（若不一致，以正本为准）</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10.3签署、盖章</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10.3.1投标文件中要求签字处应由投标人的单位负责人（投标人代表）签字或加盖个人印章。</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10.3.2投标文件必须按照招标文件给出文件格式的签署要求进行签署。</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10.3.3投标人在“投标函”“法定代表人授权委托书”上应当按格式要求加盖与投标人名称全称一致的标准公章，并按照招标文件第五章投标文件格式中的相应格式文件要求签署全名或加盖名章。</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10.3.4投标文件中的“盖章”指加盖投标人的“公章”，而非“合同专用章”、“投标专用章”等其他非公章。</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10.3.5线上采购项目可以使用电子签章。</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11．投标有效期</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11.1 投标有效期见投标人须知前附表，在此期间，投标文件对投标人具有法律约束力，以保证采购人或者采购代理机构有足够的时间完成评标、定标以及签订合同。投标文件中承诺的投标有效期应当不少于招标文件中载明的投标有效期，否则作为无效投标处理。</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11.2 特殊情况下，在原投标有效期期满之前，采购人或者采购代理机构可征得投标人同意延长投标有效期。</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四、投标文件递交</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12．投标文件递交</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12.1 投标人应当在投标人须知前附表要求提交投标文件截止时间前，根据《投标人须知前附表》载明方式提交投标文件。提交投标文件截止时间后，递交投标文件的投标将被拒绝。</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12.2 线上采购项目应登录评审管理系统并使用投标工具加密上传投标文件。除上述方式之外，不接受投标人以纸质文件以及其他任何方式提交的投标文件。投标人应充分考虑网络传输时间等因素，合理安排上传时间。提交投标文件截止时间后，评审管理系统不提供投标文件上传功能。投标人未完成投标文件上传的，投标将被拒绝。</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13．投标文件补充、修改或撤回</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13.1 投标人在投标截止时间前，可以对所递交的投标文件进行补充、修改或者撤回，并书面通知采购人或者采购代理机构。补充、修改的内容应当按照招标文件要求签署、盖章、密封后，作为投标文件的组成部分。</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13.2 线上采购项目，投标人在投标截止时间前，可以登录评审管理系统对所提交的投标文件进行撤回、补充、修改、重新提交。补充、修改的内容应当按照招标文件要求签署、盖章。</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13.3 提交投标文件截止时间后，不支持对已提交的投标文件作任何补充、修改或者撤回。</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五、开标与评标</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14．开标</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14.1 开标在招标文件确定的提交投标文件截止时间的同一时间进行。开标地点详见投标人须知前附表。</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14.2 开标由采购人或者采购代理机构主持，邀请投标人参加。评标委员会成员不得参加开标活动。</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14.3 开标时，由投标人或者其推选的代表检查投标文件的密封情况；经确认无误后，由采购人或者采购代理机构工作人员当众拆封，宣布投标人名称、投标价格和招标文件规定的需要宣布的其他内容。</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14.4 开标过程由采购人或者采购代理机构负责记录，由参加开标的各投标人代表和相关工作人员签字确认后随采购文件一并存档。投标人未参加开标的，视同认可开标结果。</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14.5 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14.6 在政府采购活动中，采购人员及相关人员与投标人有下列利害关系之一的，应当回避：</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（1）参加采购活动前3年内与投标人存在劳动关系；</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（2）参加采购活动前3年内担任投标人的董事、监事；</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（3）参加采购活动前3年内是投标人的控股股东或者实际控制人；</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（4）与投标人的法定代表人或者负责人有夫妻、直系血亲、三代以内旁系血亲或者近姻亲关系；</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（5）与投标人有其他可能影响政府采购活动公平、公正进行的关系。</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投标人认为采购人员及相关人员（包括评标委员会的组成人员）与其他投标人有利害关系的，可以向采购人或者采购代理机构书面提出回避申请，并说明理由。采购人或者采购代理机构应当及时询问被申请回避人员，有利害关系的被申请回避人员应当回避。</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14.7 对线上采购项目，采购人或者采购代理机构将在投标人须知前附表规定的时间进行电子开标，采购人或者采购代理机构将对开标、评标现场活动进行全程录音录像，音像资料作为采购文件一并存档。开标由采购人或者采购代理机构主持，投标人通过登录评审管理系统进入开标大厅远程参加。</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15．投标资格审查</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15.1 公开招标采购项目开标结束后，由采购人或者采购代理机构依法对投标人的资格进行审查，以确定投标人是否具备投标资格。</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15.1.1 审查投标人按照8.2.1提交的“资格证明文件”。</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15.1.2 信用记录审查。见投标人须知前附表。</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15.2 未通过资格审查的投标人，其投标无效。</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15.3 合格投标人不足3家的，不得评标。</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16．评标委员会的组成</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16.1 采购人或者采购代理机构根据有关法律法规规定组建评标委员会，评标委员会由采购人代表和评审专家组成。</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17．投标符合性审查</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17.1 评标委员会对符合资格的投标人的投标文件进行符合性审查，以确定其是否符合招标文件的商务、技术等实质性要求。</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17.2 未通过符合性审查的投标人，其投标无效。</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17.3 通过符合性审查的投标人不足3家的，应予以废标。</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18．投标文件的澄清</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18.1对于投标文件中含义不明确、同类问题表述不一致或者有明显文字和计算错误的内容，评标委员会应当以书面形式要求投标人作出必要的澄清、说明或者补正。</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18.2投标人的澄清、说明或者补正应当采用书面形式，并加盖公章，或者由法定代表人或其授权的代表签字。（线上采购项目的通过评审管理系统上传加盖电子公章的扫描件）。投标人的澄清、说明或者补正不得超出投标文件的范围或者改变投标文件的实质性内容。</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18.3关于投标描述（即投标文件中描述的内容）</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（1）投标描述前后不一致且不涉及证明材料的：按照本节第18.1条规定执行。</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（2）投标描述与证明材料不一致或多份证明材料之间不一致的：</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①评标委员会将要求投标人进行书面澄清，无法澄清的将按照不利于投标人的内容进行评标。</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②投标人按照要求进行澄清的，采购人以澄清内容为准进行验收；投标人未按照要求进行澄清的，采购人以投标描述或证明材料中有利于采购人的内容进行验收。投标人应对证明材料的真实性、有效性承担责任。</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3）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18.4 除评标委员会要求投标人做出的澄清、说明或者补正以外，评标委员会不接受投标人的任何询问、说明、</w:t>
      </w:r>
      <w:r>
        <w:rPr>
          <w:rFonts w:hint="eastAsia" w:ascii="宋体" w:hAnsi="宋体" w:eastAsia="宋体" w:cs="宋体"/>
          <w:highlight w:val="none"/>
          <w:lang w:eastAsia="zh-CN"/>
        </w:rPr>
        <w:t>更改</w:t>
      </w:r>
      <w:r>
        <w:rPr>
          <w:rFonts w:hint="eastAsia" w:ascii="宋体" w:hAnsi="宋体" w:eastAsia="宋体" w:cs="宋体"/>
          <w:highlight w:val="none"/>
        </w:rPr>
        <w:t>文件。</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18.5 投标人的澄清必须在规定的时间内提交。</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19．核价原则</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19.1 投标文件报价出现前后不一致的，除招标文件另有规定外，按照下列规定修正：</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（1）投标文件中开标一览表（总报价表）内容与投标文件中相应内容不一致的，以开标一览表（总报价表）为准；</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（2）大写金额和小写金额不一致的，以大写金额为准；</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（3）单价金额小数点或者百分比有明显错位的，以开标一览表的总价为准，并修改单价；</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（4）总价金额与按单价汇总金额不一致的，以单价金额计算结果为准。</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（5）同时出现两种以上不一致的，按照前款规定的顺序修正。修正后的报价按照18.2条的规定经投标人确认后产生约束力，投标人不确认的，其投标无效。</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20．投标无效</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20.1 投标人及投标文件有下列情况之一的，应当在资格审查时按照投标无效处理：</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（1） 不具备招标文件中规定的资格要求的；</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（2） 投标文件组成中“资格证明文件”未提供或无效的；</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（3） 未通过信用记录审查或未提供相关证明材料的。</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20.2 投标人及投标文件有下列情况之一的，应当在符合性审查时按照投标无效处理：</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（1） 投标文件组成中除“资格证明文件”外，★条款相关文件及资料未提供或提供无效的；</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（2） 投标文件未按招标文件要求签署、盖章的；</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（3） 投标报价超过招标文件中规定的预算金额或者最高限价的；</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（4） 投标有效期不足的；</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（5） 投标文件含有采购人不能接受的附加条件的；</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20.3 除20.1及20.2情形外，投标人及投标文件有下列情况之一的，应当按照投标无效处理：</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（1） 提供虚假投标文件材料的；</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（2） 投标人串通投标的；</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（3） 投标报价明显低于其他通过符合性审查投标人的报价，且不能证明其报价合理性的。</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（4） 法律、法规和招标文件规定的其他无效情形。</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21．比较与评价</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21.1 评标委员会按照招标文件中规定的评标方法和标准，对符合性审查合格的投标文件进行商务和技术评估，综合比较与评价。</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21.2 价格分应当采用低价优先法计算。小型、微型企业和监狱企业、残疾人福利性单位的投标报价按照投标人须知前附表规定，分别给予扣除，并以扣除后的报价计算价格分。未提供《中小型企业声明函》、《监狱企业证明文件》、《残疾人福利性单位声明函》的，价格不予扣除。同一投标人不得重复享受价格扣除政策。</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21.3 评标委员会各成员独立对每个投标人的投标文件进行评价，并汇总得出每个投标人的评审得分。</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21.4 评标结果按评审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21.5 评标方法及标准详见招标文件商务部分第三章。</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21.6 评标委员会成员应当在评标报告上签字，对自己的评审意见承担法律责任。评标委员会成员对需要共同认定的事项存在争议的，应当按照少数服从多数的原则作出结论。持不同意见的评标委员会成员应当在评标报告上签署不同意见及理由，否则视为同意评标报告。</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22．废标</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22.1 在招标采购中，出现下列情形之一的，应予废标：</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（1）符合专业条件的供应商或者对招标文件作实质响应的供应商不足三家的；</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（2）出现影响采购公正的违法、违规行为的；</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（3）投标人的报价均超过了采购预算，采购人不能支付的；</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（4）因重大变故，采购任务取消的。</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22.2 废标后，采购人或者采购代理机构将废标理由通知所有投标人。</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六、中标和合同</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23．中标</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23.1采购代理机构应当在评标结束后2个工作日内将评标报告送采购人。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采购人自行组织招标的，采购人应当在评标结束后5个工作日内，按评标报告推荐的中标候选人顺序确定中标人。</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23.2 采购人或者采购代理机构应当自中标人确定之日起2个工作日内，在投标人须知前附表规定的媒体上公告中标结果，招标文件应随中标结果同时公告。中标公告期限为1个工作日。</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23.3 在公告中标结果的同时，采购人或者采购代理机构应当向中标人发出中标通知书（对线上采购项目，通过评审管理系统发出中标通知书）；对未通过资格审查的投标人，告知其未通过的原因；采用综合评分法评审的，同时告知未中标人本人的评审得分与排序。</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23.4 中标通知书发出后，采购人或者采购代理机构不得违法改变中标结果，中标人无正当理由不得放弃中标。</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23.5 中标通知书对采购人和中标人具有同等法律效力。</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24．签订合同</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24.1 采购人应当自中标通知书发出之日起30日内，按照招标文件和中标人投标文件的规定，与中标人签订合同。线上采购项目可通过评审管理系统签订合同。</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24.2 所签订的合同不得对招标文件确定的事项和中标人投标文件作实质性修改。</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24.3 采购人不得向中标人提出任何不合理的要求作为签订合同的条件。</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24.4 中标人拒绝与采购人签订合同的，采购人可以按照评审报告推荐的中标候选人名单排序，确定下一候选人为中标人，也可以重新开展政府采购活动。</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25．履约保证金</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25.1 需提交履约保证金的项目，中标人应在合同签订之日起30日内，按照投标人须知前附表的规定，向采购人提交履约保证金。</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七、询问和质疑</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26. 询问</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26.1潜在投标人、投标人对政府采购活动事项有疑问的，可以向采购人或者采购代理机构提出询问，采购人或者采购代理机构应当在3个工作日内对依法提出的询问作出答复，但答复的内容不得涉及商业秘密。</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27．质疑</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27.1潜在投标人、投标人（统称质疑人）认为招标文件、招标过程和中标结果使自己的权益受到损害的，可以在知道或者应知其权益受到损害之日起7个工作日内以书面形式向采购人或者采购代理机构提出质疑（线上采购项目可以通过评审管理系统提交）。联系部门、联系电话、通讯地址、电子邮箱见投标人须知前附表。</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27.2在法定质疑期内，针对同一采购程序环节的质疑应一次性提出。</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 xml:space="preserve">27.3质疑人应知其权益受到损害之日，是指： </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（1）对可以质疑的采购文件提出质疑的，为收到采购文件之日或者采购文件公告期限届满之日；</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（2）对采购过程提出质疑的，为各采购程序环节结束之日；</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（3）对中标结果提出质疑的，为中标结果公告期限届满之日。</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27.4质疑应当有明确的请求和必要的证明材料。供应商为自然人的，应当由本人签字；供应商为法人或者其他组织的，应当由法定代表人、主要负责人，或者其授权代表签字或者签章，并加盖公章。</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27.5 采购人或者代理机构应当在收到供应商的质疑函后7个工作日内，对质疑内容作出答复，书面形式通知质疑供应商和其他有关供应商，但答复内容不得涉及商业秘密。</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27.6质疑人对采购人、采购代理机构的答复不满意或者采购人、采购代理机构未在规定的时间内作出答复的，可以在答复期满后15个工作日内向同级人民政府财政部门投诉。</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27.7投诉应当有明确的请求和必要的证明材料。投诉的事项不得超出已质疑事项的范围。</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八、其他</w:t>
      </w:r>
    </w:p>
    <w:p>
      <w:pPr>
        <w:adjustRightInd w:val="0"/>
        <w:snapToGrid w:val="0"/>
        <w:spacing w:beforeLines="50" w:afterLines="50" w:line="332" w:lineRule="auto"/>
        <w:ind w:firstLine="480" w:firstLineChars="200"/>
        <w:rPr>
          <w:rFonts w:hint="eastAsia" w:ascii="宋体" w:hAnsi="宋体" w:eastAsia="宋体" w:cs="宋体"/>
          <w:highlight w:val="none"/>
        </w:rPr>
      </w:pPr>
      <w:bookmarkStart w:id="59" w:name="_Toc319519285"/>
      <w:bookmarkStart w:id="60" w:name="_Toc262111390"/>
      <w:bookmarkStart w:id="61" w:name="_Toc233181902"/>
      <w:bookmarkStart w:id="62" w:name="_Toc217989361"/>
      <w:r>
        <w:rPr>
          <w:rFonts w:hint="eastAsia" w:ascii="宋体" w:hAnsi="宋体" w:eastAsia="宋体" w:cs="宋体"/>
          <w:highlight w:val="none"/>
        </w:rPr>
        <w:t>28．保密</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28.1采购人、采购代理机构应当采取必要措施，保证评标在严格保密的情况下进行。除采购人代表、评标现场组织人员外，采购人的其他工作人员以及与评标工作无关的人员不得进入评标现场。</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28.2 评标委员会成员和参与评标工作的有关人员对评标情况以及在评标过程中获悉的国家秘密、商业秘密负有保密责任。</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29. 知识产权与规避专利、版权纠纷</w:t>
      </w:r>
      <w:bookmarkEnd w:id="59"/>
      <w:bookmarkEnd w:id="60"/>
      <w:bookmarkEnd w:id="61"/>
      <w:bookmarkEnd w:id="62"/>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29.1 知识产权</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29.1.1 项目系统的版权属于采购人所有，中标人应向采购人开放并提供涉及本项目软件开发、升级完善、运行维护等工作的全部源代码（含保证期内的后续升级版本）。由本项目系统形成的技术和成果的专利申请权、专利权、技术秘密的所有权、使用权、转让权等知识产权归采购人所有。</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29.2 规避专利、版权纠纷</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29.2.1 投标人应保证其投标方案中的有关软件、文件、图纸等没有违反有关专利和版权等知识产权的规定。</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29.2.2 中标人应保证采购人在中华人民共和国使用本项目成果任何一部分、或接受乙方服务时，免受第三方提出的侵犯其专利权、商标权或工业设计权等知识产权的索赔或起诉。</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29.2.3 如果采购人在使用本项目任何一部分时被任何第三方诉称侵犯了第三方知识产权或任何其它权利，中标人应负责处理这一指控并应以中标人的名义自负费用向起诉方提出抗辩。由此可能产生的一切法律责任和经济责任均由中标人承担。</w:t>
      </w:r>
    </w:p>
    <w:p>
      <w:pPr>
        <w:adjustRightInd w:val="0"/>
        <w:snapToGrid w:val="0"/>
        <w:spacing w:beforeLines="50" w:afterLines="50" w:line="332" w:lineRule="auto"/>
        <w:ind w:firstLine="480" w:firstLineChars="200"/>
        <w:rPr>
          <w:rFonts w:hint="eastAsia" w:ascii="宋体" w:hAnsi="宋体" w:eastAsia="宋体" w:cs="宋体"/>
          <w:highlight w:val="none"/>
        </w:rPr>
      </w:pPr>
      <w:r>
        <w:rPr>
          <w:rFonts w:hint="eastAsia" w:ascii="宋体" w:hAnsi="宋体" w:eastAsia="宋体" w:cs="宋体"/>
          <w:highlight w:val="none"/>
        </w:rPr>
        <w:t>29.2.4 如果采购人发现任何第三方在采购人未被许可的范围内非法使用采购人获得的知识产权，采购人应通知中标人。中标人应在收到采购人通知后14天内采取行动制止非法使用行为，否则由中标人承担相应的责任。</w:t>
      </w:r>
    </w:p>
    <w:p>
      <w:pPr>
        <w:rPr>
          <w:rFonts w:hint="eastAsia" w:ascii="宋体" w:hAnsi="宋体" w:eastAsia="宋体" w:cs="宋体"/>
          <w:bCs/>
          <w:snapToGrid/>
          <w:kern w:val="2"/>
          <w:sz w:val="32"/>
          <w:highlight w:val="none"/>
        </w:rPr>
      </w:pPr>
      <w:r>
        <w:rPr>
          <w:rFonts w:hint="eastAsia" w:ascii="宋体" w:hAnsi="宋体" w:eastAsia="宋体" w:cs="宋体"/>
          <w:bCs/>
          <w:snapToGrid/>
          <w:kern w:val="2"/>
          <w:sz w:val="32"/>
          <w:highlight w:val="none"/>
        </w:rPr>
        <w:br w:type="page"/>
      </w:r>
    </w:p>
    <w:p>
      <w:pPr>
        <w:pStyle w:val="3"/>
        <w:autoSpaceDE/>
        <w:autoSpaceDN/>
        <w:snapToGrid w:val="0"/>
        <w:spacing w:line="240" w:lineRule="auto"/>
        <w:jc w:val="center"/>
        <w:rPr>
          <w:rFonts w:ascii="宋体" w:hAnsi="宋体" w:eastAsia="宋体" w:cs="宋体"/>
          <w:bCs/>
          <w:snapToGrid/>
          <w:kern w:val="2"/>
          <w:sz w:val="32"/>
          <w:highlight w:val="none"/>
        </w:rPr>
      </w:pPr>
      <w:r>
        <w:rPr>
          <w:rFonts w:hint="eastAsia" w:ascii="宋体" w:hAnsi="宋体" w:eastAsia="宋体" w:cs="宋体"/>
          <w:bCs/>
          <w:snapToGrid/>
          <w:kern w:val="2"/>
          <w:sz w:val="32"/>
          <w:highlight w:val="none"/>
        </w:rPr>
        <w:t>第三章评标方法及标准</w:t>
      </w:r>
      <w:bookmarkEnd w:id="47"/>
      <w:bookmarkEnd w:id="48"/>
      <w:bookmarkEnd w:id="49"/>
      <w:bookmarkEnd w:id="50"/>
      <w:bookmarkEnd w:id="51"/>
      <w:bookmarkEnd w:id="52"/>
      <w:bookmarkEnd w:id="53"/>
      <w:bookmarkEnd w:id="54"/>
      <w:bookmarkEnd w:id="55"/>
      <w:bookmarkEnd w:id="56"/>
      <w:bookmarkEnd w:id="57"/>
      <w:bookmarkEnd w:id="58"/>
    </w:p>
    <w:p>
      <w:pPr>
        <w:snapToGrid w:val="0"/>
        <w:spacing w:before="290"/>
        <w:jc w:val="center"/>
        <w:rPr>
          <w:rFonts w:cs="宋体"/>
          <w:sz w:val="28"/>
          <w:szCs w:val="28"/>
          <w:highlight w:val="none"/>
        </w:rPr>
      </w:pPr>
      <w:r>
        <w:rPr>
          <w:rFonts w:hint="eastAsia" w:cs="宋体"/>
          <w:b/>
          <w:bCs/>
          <w:spacing w:val="-4"/>
          <w:sz w:val="28"/>
          <w:szCs w:val="28"/>
          <w:highlight w:val="none"/>
        </w:rPr>
        <w:t>评标办法前附表</w:t>
      </w:r>
    </w:p>
    <w:tbl>
      <w:tblPr>
        <w:tblStyle w:val="35"/>
        <w:tblpPr w:leftFromText="180" w:rightFromText="180" w:vertAnchor="text" w:horzAnchor="page" w:tblpXSpec="center" w:tblpY="172"/>
        <w:tblOverlap w:val="never"/>
        <w:tblW w:w="1005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3"/>
        <w:gridCol w:w="1040"/>
        <w:gridCol w:w="1821"/>
        <w:gridCol w:w="614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2093" w:type="dxa"/>
            <w:gridSpan w:val="2"/>
            <w:shd w:val="clear" w:color="auto" w:fill="D7D7D7"/>
            <w:vAlign w:val="center"/>
          </w:tcPr>
          <w:p>
            <w:pPr>
              <w:snapToGrid w:val="0"/>
              <w:spacing w:line="360" w:lineRule="auto"/>
              <w:jc w:val="center"/>
              <w:rPr>
                <w:rFonts w:cs="宋体"/>
                <w:sz w:val="21"/>
                <w:szCs w:val="21"/>
                <w:highlight w:val="none"/>
              </w:rPr>
            </w:pPr>
            <w:r>
              <w:rPr>
                <w:rFonts w:hint="eastAsia" w:cs="宋体"/>
                <w:sz w:val="21"/>
                <w:szCs w:val="21"/>
                <w:highlight w:val="none"/>
              </w:rPr>
              <w:t>条款号</w:t>
            </w:r>
          </w:p>
        </w:tc>
        <w:tc>
          <w:tcPr>
            <w:tcW w:w="1821" w:type="dxa"/>
            <w:shd w:val="clear" w:color="auto" w:fill="D7D7D7"/>
            <w:vAlign w:val="center"/>
          </w:tcPr>
          <w:p>
            <w:pPr>
              <w:snapToGrid w:val="0"/>
              <w:spacing w:line="360" w:lineRule="auto"/>
              <w:jc w:val="center"/>
              <w:rPr>
                <w:rFonts w:cs="宋体"/>
                <w:sz w:val="21"/>
                <w:szCs w:val="21"/>
                <w:highlight w:val="none"/>
              </w:rPr>
            </w:pPr>
            <w:r>
              <w:rPr>
                <w:rFonts w:hint="eastAsia" w:cs="宋体"/>
                <w:sz w:val="21"/>
                <w:szCs w:val="21"/>
                <w:highlight w:val="none"/>
              </w:rPr>
              <w:t>评审因素</w:t>
            </w:r>
          </w:p>
        </w:tc>
        <w:tc>
          <w:tcPr>
            <w:tcW w:w="6141" w:type="dxa"/>
            <w:shd w:val="clear" w:color="auto" w:fill="D7D7D7"/>
            <w:vAlign w:val="center"/>
          </w:tcPr>
          <w:p>
            <w:pPr>
              <w:snapToGrid w:val="0"/>
              <w:spacing w:line="360" w:lineRule="auto"/>
              <w:jc w:val="center"/>
              <w:rPr>
                <w:rFonts w:cs="宋体"/>
                <w:sz w:val="21"/>
                <w:szCs w:val="21"/>
                <w:highlight w:val="none"/>
              </w:rPr>
            </w:pPr>
            <w:r>
              <w:rPr>
                <w:rFonts w:hint="eastAsia" w:cs="宋体"/>
                <w:sz w:val="21"/>
                <w:szCs w:val="21"/>
                <w:highlight w:val="none"/>
              </w:rPr>
              <w:t>评审标准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1053" w:type="dxa"/>
            <w:vMerge w:val="restart"/>
            <w:vAlign w:val="center"/>
          </w:tcPr>
          <w:p>
            <w:pPr>
              <w:snapToGrid w:val="0"/>
              <w:spacing w:line="360" w:lineRule="auto"/>
              <w:jc w:val="center"/>
              <w:rPr>
                <w:rFonts w:cs="宋体"/>
                <w:sz w:val="21"/>
                <w:szCs w:val="21"/>
                <w:highlight w:val="none"/>
              </w:rPr>
            </w:pPr>
            <w:r>
              <w:rPr>
                <w:rFonts w:hint="eastAsia" w:cs="宋体"/>
                <w:sz w:val="21"/>
                <w:szCs w:val="21"/>
                <w:highlight w:val="none"/>
              </w:rPr>
              <w:t>2.1.1</w:t>
            </w:r>
          </w:p>
        </w:tc>
        <w:tc>
          <w:tcPr>
            <w:tcW w:w="1040" w:type="dxa"/>
            <w:vMerge w:val="restart"/>
            <w:vAlign w:val="center"/>
          </w:tcPr>
          <w:p>
            <w:pPr>
              <w:snapToGrid w:val="0"/>
              <w:spacing w:line="360" w:lineRule="auto"/>
              <w:jc w:val="center"/>
              <w:rPr>
                <w:rFonts w:cs="宋体"/>
                <w:sz w:val="21"/>
                <w:szCs w:val="21"/>
                <w:highlight w:val="none"/>
              </w:rPr>
            </w:pPr>
            <w:r>
              <w:rPr>
                <w:rFonts w:hint="eastAsia" w:cs="宋体"/>
                <w:sz w:val="21"/>
                <w:szCs w:val="21"/>
                <w:highlight w:val="none"/>
              </w:rPr>
              <w:t>资格性审 查标准</w:t>
            </w:r>
          </w:p>
        </w:tc>
        <w:tc>
          <w:tcPr>
            <w:tcW w:w="1821" w:type="dxa"/>
            <w:vAlign w:val="center"/>
          </w:tcPr>
          <w:p>
            <w:pPr>
              <w:snapToGrid w:val="0"/>
              <w:spacing w:line="360" w:lineRule="auto"/>
              <w:jc w:val="center"/>
              <w:rPr>
                <w:rFonts w:cs="宋体"/>
                <w:sz w:val="21"/>
                <w:szCs w:val="21"/>
                <w:highlight w:val="none"/>
              </w:rPr>
            </w:pPr>
            <w:r>
              <w:rPr>
                <w:rFonts w:hint="eastAsia" w:cs="宋体"/>
                <w:sz w:val="21"/>
                <w:szCs w:val="21"/>
                <w:highlight w:val="none"/>
              </w:rPr>
              <w:t>具有独立承担民事责任的能力</w:t>
            </w:r>
          </w:p>
        </w:tc>
        <w:tc>
          <w:tcPr>
            <w:tcW w:w="6141" w:type="dxa"/>
            <w:vAlign w:val="center"/>
          </w:tcPr>
          <w:p>
            <w:pPr>
              <w:snapToGrid w:val="0"/>
              <w:spacing w:line="360" w:lineRule="auto"/>
              <w:jc w:val="left"/>
              <w:rPr>
                <w:rFonts w:cs="宋体"/>
                <w:sz w:val="21"/>
                <w:szCs w:val="21"/>
                <w:highlight w:val="none"/>
              </w:rPr>
            </w:pPr>
            <w:r>
              <w:rPr>
                <w:rFonts w:hint="eastAsia" w:cs="宋体"/>
                <w:sz w:val="21"/>
                <w:szCs w:val="21"/>
                <w:highlight w:val="none"/>
              </w:rPr>
              <w:t>法人或者其他组织的营业执照等证明文件（复印件），自然人的身份证明（复印件）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jc w:val="center"/>
        </w:trPr>
        <w:tc>
          <w:tcPr>
            <w:tcW w:w="1053" w:type="dxa"/>
            <w:vMerge w:val="continue"/>
            <w:vAlign w:val="center"/>
          </w:tcPr>
          <w:p>
            <w:pPr>
              <w:snapToGrid w:val="0"/>
              <w:spacing w:line="360" w:lineRule="auto"/>
              <w:jc w:val="center"/>
              <w:rPr>
                <w:rFonts w:cs="宋体"/>
                <w:sz w:val="21"/>
                <w:szCs w:val="21"/>
                <w:highlight w:val="none"/>
              </w:rPr>
            </w:pPr>
          </w:p>
        </w:tc>
        <w:tc>
          <w:tcPr>
            <w:tcW w:w="1040" w:type="dxa"/>
            <w:vMerge w:val="continue"/>
            <w:vAlign w:val="center"/>
          </w:tcPr>
          <w:p>
            <w:pPr>
              <w:snapToGrid w:val="0"/>
              <w:spacing w:line="360" w:lineRule="auto"/>
              <w:jc w:val="center"/>
              <w:rPr>
                <w:rFonts w:cs="宋体"/>
                <w:sz w:val="21"/>
                <w:szCs w:val="21"/>
                <w:highlight w:val="none"/>
              </w:rPr>
            </w:pPr>
          </w:p>
        </w:tc>
        <w:tc>
          <w:tcPr>
            <w:tcW w:w="1821" w:type="dxa"/>
            <w:vAlign w:val="center"/>
          </w:tcPr>
          <w:p>
            <w:pPr>
              <w:snapToGrid w:val="0"/>
              <w:spacing w:line="360" w:lineRule="auto"/>
              <w:jc w:val="center"/>
              <w:rPr>
                <w:rFonts w:cs="宋体"/>
                <w:sz w:val="21"/>
                <w:szCs w:val="21"/>
                <w:highlight w:val="none"/>
              </w:rPr>
            </w:pPr>
            <w:r>
              <w:rPr>
                <w:rFonts w:hint="eastAsia" w:cs="宋体"/>
                <w:sz w:val="21"/>
                <w:szCs w:val="21"/>
                <w:highlight w:val="none"/>
              </w:rPr>
              <w:t>具有良好的商业信誉和健全的财务会计制度</w:t>
            </w:r>
          </w:p>
        </w:tc>
        <w:tc>
          <w:tcPr>
            <w:tcW w:w="6141" w:type="dxa"/>
            <w:vAlign w:val="center"/>
          </w:tcPr>
          <w:p>
            <w:pPr>
              <w:snapToGrid w:val="0"/>
              <w:spacing w:line="360" w:lineRule="auto"/>
              <w:jc w:val="left"/>
              <w:rPr>
                <w:rFonts w:cs="宋体"/>
                <w:b/>
                <w:bCs/>
                <w:sz w:val="21"/>
                <w:szCs w:val="21"/>
                <w:highlight w:val="none"/>
              </w:rPr>
            </w:pPr>
            <w:r>
              <w:rPr>
                <w:rFonts w:hint="eastAsia" w:cs="宋体"/>
                <w:b/>
                <w:bCs/>
                <w:sz w:val="21"/>
                <w:szCs w:val="21"/>
                <w:highlight w:val="none"/>
              </w:rPr>
              <w:t>由供应商对以下内容提供书面承诺或提供相应证明材料。</w:t>
            </w:r>
          </w:p>
          <w:p>
            <w:pPr>
              <w:snapToGrid w:val="0"/>
              <w:spacing w:line="360" w:lineRule="auto"/>
              <w:jc w:val="left"/>
              <w:rPr>
                <w:rFonts w:cs="宋体"/>
                <w:sz w:val="21"/>
                <w:szCs w:val="21"/>
                <w:highlight w:val="none"/>
              </w:rPr>
            </w:pPr>
            <w:r>
              <w:rPr>
                <w:rFonts w:hint="eastAsia" w:cs="宋体"/>
                <w:sz w:val="21"/>
                <w:szCs w:val="21"/>
                <w:highlight w:val="none"/>
              </w:rPr>
              <w:t>2024年度财务状况报告或财务报表均可，开业不满一年的应提供公司成立之日后的财务状况报表（复印件）或出具当年的验资报告（复印件）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5" w:hRule="atLeast"/>
          <w:jc w:val="center"/>
        </w:trPr>
        <w:tc>
          <w:tcPr>
            <w:tcW w:w="1053" w:type="dxa"/>
            <w:vMerge w:val="continue"/>
            <w:vAlign w:val="center"/>
          </w:tcPr>
          <w:p>
            <w:pPr>
              <w:snapToGrid w:val="0"/>
              <w:spacing w:line="360" w:lineRule="auto"/>
              <w:jc w:val="center"/>
              <w:rPr>
                <w:rFonts w:cs="宋体"/>
                <w:sz w:val="21"/>
                <w:szCs w:val="21"/>
                <w:highlight w:val="none"/>
              </w:rPr>
            </w:pPr>
          </w:p>
        </w:tc>
        <w:tc>
          <w:tcPr>
            <w:tcW w:w="1040" w:type="dxa"/>
            <w:vMerge w:val="continue"/>
            <w:vAlign w:val="center"/>
          </w:tcPr>
          <w:p>
            <w:pPr>
              <w:snapToGrid w:val="0"/>
              <w:spacing w:line="360" w:lineRule="auto"/>
              <w:jc w:val="center"/>
              <w:rPr>
                <w:rFonts w:cs="宋体"/>
                <w:sz w:val="21"/>
                <w:szCs w:val="21"/>
                <w:highlight w:val="none"/>
              </w:rPr>
            </w:pPr>
          </w:p>
        </w:tc>
        <w:tc>
          <w:tcPr>
            <w:tcW w:w="1821" w:type="dxa"/>
            <w:vAlign w:val="center"/>
          </w:tcPr>
          <w:p>
            <w:pPr>
              <w:snapToGrid w:val="0"/>
              <w:spacing w:line="360" w:lineRule="auto"/>
              <w:jc w:val="center"/>
              <w:rPr>
                <w:rFonts w:cs="宋体"/>
                <w:sz w:val="21"/>
                <w:szCs w:val="21"/>
                <w:highlight w:val="none"/>
              </w:rPr>
            </w:pPr>
            <w:r>
              <w:rPr>
                <w:rFonts w:hint="eastAsia" w:cs="宋体"/>
                <w:sz w:val="21"/>
                <w:szCs w:val="21"/>
                <w:highlight w:val="none"/>
              </w:rPr>
              <w:t>具有履行合同所必需的设备和专业技术能力</w:t>
            </w:r>
          </w:p>
        </w:tc>
        <w:tc>
          <w:tcPr>
            <w:tcW w:w="6141" w:type="dxa"/>
            <w:vAlign w:val="center"/>
          </w:tcPr>
          <w:p>
            <w:pPr>
              <w:snapToGrid w:val="0"/>
              <w:spacing w:line="360" w:lineRule="auto"/>
              <w:jc w:val="left"/>
              <w:rPr>
                <w:rFonts w:cs="宋体"/>
                <w:b/>
                <w:bCs/>
                <w:sz w:val="21"/>
                <w:szCs w:val="21"/>
                <w:highlight w:val="none"/>
              </w:rPr>
            </w:pPr>
            <w:r>
              <w:rPr>
                <w:rFonts w:hint="eastAsia" w:cs="宋体"/>
                <w:b/>
                <w:bCs/>
                <w:sz w:val="21"/>
                <w:szCs w:val="21"/>
                <w:highlight w:val="none"/>
              </w:rPr>
              <w:t>由供应商对以下内容提供书面承诺或提供相应证明材料。</w:t>
            </w:r>
          </w:p>
          <w:p>
            <w:pPr>
              <w:snapToGrid w:val="0"/>
              <w:spacing w:line="360" w:lineRule="auto"/>
              <w:jc w:val="left"/>
              <w:rPr>
                <w:rFonts w:cs="宋体"/>
                <w:sz w:val="21"/>
                <w:szCs w:val="21"/>
                <w:highlight w:val="none"/>
              </w:rPr>
            </w:pPr>
            <w:r>
              <w:rPr>
                <w:rFonts w:hint="eastAsia" w:cs="宋体"/>
                <w:sz w:val="21"/>
                <w:szCs w:val="21"/>
                <w:highlight w:val="none"/>
              </w:rPr>
              <w:t>供应商履行合同所必需的设备和专业技术能力的证明材料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053" w:type="dxa"/>
            <w:vMerge w:val="continue"/>
            <w:vAlign w:val="center"/>
          </w:tcPr>
          <w:p>
            <w:pPr>
              <w:snapToGrid w:val="0"/>
              <w:spacing w:line="360" w:lineRule="auto"/>
              <w:jc w:val="center"/>
              <w:rPr>
                <w:rFonts w:cs="宋体"/>
                <w:sz w:val="21"/>
                <w:szCs w:val="21"/>
                <w:highlight w:val="none"/>
              </w:rPr>
            </w:pPr>
          </w:p>
        </w:tc>
        <w:tc>
          <w:tcPr>
            <w:tcW w:w="1040" w:type="dxa"/>
            <w:vMerge w:val="continue"/>
            <w:vAlign w:val="center"/>
          </w:tcPr>
          <w:p>
            <w:pPr>
              <w:snapToGrid w:val="0"/>
              <w:spacing w:line="360" w:lineRule="auto"/>
              <w:jc w:val="center"/>
              <w:rPr>
                <w:rFonts w:cs="宋体"/>
                <w:sz w:val="21"/>
                <w:szCs w:val="21"/>
                <w:highlight w:val="none"/>
              </w:rPr>
            </w:pPr>
          </w:p>
        </w:tc>
        <w:tc>
          <w:tcPr>
            <w:tcW w:w="1821" w:type="dxa"/>
            <w:vAlign w:val="center"/>
          </w:tcPr>
          <w:p>
            <w:pPr>
              <w:snapToGrid w:val="0"/>
              <w:spacing w:line="360" w:lineRule="auto"/>
              <w:jc w:val="center"/>
              <w:rPr>
                <w:rFonts w:cs="宋体"/>
                <w:sz w:val="21"/>
                <w:szCs w:val="21"/>
                <w:highlight w:val="none"/>
              </w:rPr>
            </w:pPr>
            <w:r>
              <w:rPr>
                <w:rFonts w:hint="eastAsia" w:cs="宋体"/>
                <w:sz w:val="21"/>
                <w:szCs w:val="21"/>
                <w:highlight w:val="none"/>
              </w:rPr>
              <w:t>供应商依法缴纳税收的证明材料</w:t>
            </w:r>
          </w:p>
        </w:tc>
        <w:tc>
          <w:tcPr>
            <w:tcW w:w="6141" w:type="dxa"/>
            <w:vAlign w:val="center"/>
          </w:tcPr>
          <w:p>
            <w:pPr>
              <w:snapToGrid w:val="0"/>
              <w:spacing w:line="360" w:lineRule="auto"/>
              <w:jc w:val="left"/>
              <w:rPr>
                <w:rFonts w:cs="宋体"/>
                <w:b/>
                <w:bCs/>
                <w:sz w:val="21"/>
                <w:szCs w:val="21"/>
                <w:highlight w:val="none"/>
              </w:rPr>
            </w:pPr>
            <w:r>
              <w:rPr>
                <w:rFonts w:hint="eastAsia" w:cs="宋体"/>
                <w:b/>
                <w:bCs/>
                <w:sz w:val="21"/>
                <w:szCs w:val="21"/>
                <w:highlight w:val="none"/>
              </w:rPr>
              <w:t>由供应商对以下内容提供书面承诺或提供相应证明材料。</w:t>
            </w:r>
          </w:p>
          <w:p>
            <w:pPr>
              <w:snapToGrid w:val="0"/>
              <w:spacing w:line="360" w:lineRule="auto"/>
              <w:jc w:val="left"/>
              <w:rPr>
                <w:rFonts w:cs="宋体"/>
                <w:sz w:val="21"/>
                <w:szCs w:val="21"/>
                <w:highlight w:val="none"/>
              </w:rPr>
            </w:pPr>
            <w:r>
              <w:rPr>
                <w:rFonts w:hint="eastAsia" w:cs="宋体"/>
                <w:sz w:val="21"/>
                <w:szCs w:val="21"/>
                <w:highlight w:val="none"/>
              </w:rPr>
              <w:t>本项目公告发布时间前半年内任一月缴纳增值税、企业所得税的凭据（完税证、缴款书、银行代扣（代缴）转账凭证等均可）（复印件）；依法免税的供应商，应提供相应证明材料。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0" w:hRule="atLeast"/>
          <w:jc w:val="center"/>
        </w:trPr>
        <w:tc>
          <w:tcPr>
            <w:tcW w:w="1053" w:type="dxa"/>
            <w:vMerge w:val="continue"/>
            <w:vAlign w:val="center"/>
          </w:tcPr>
          <w:p>
            <w:pPr>
              <w:snapToGrid w:val="0"/>
              <w:spacing w:line="360" w:lineRule="auto"/>
              <w:jc w:val="center"/>
              <w:rPr>
                <w:rFonts w:cs="宋体"/>
                <w:sz w:val="21"/>
                <w:szCs w:val="21"/>
                <w:highlight w:val="none"/>
              </w:rPr>
            </w:pPr>
          </w:p>
        </w:tc>
        <w:tc>
          <w:tcPr>
            <w:tcW w:w="1040" w:type="dxa"/>
            <w:vMerge w:val="continue"/>
            <w:vAlign w:val="center"/>
          </w:tcPr>
          <w:p>
            <w:pPr>
              <w:snapToGrid w:val="0"/>
              <w:spacing w:line="360" w:lineRule="auto"/>
              <w:jc w:val="center"/>
              <w:rPr>
                <w:rFonts w:cs="宋体"/>
                <w:sz w:val="21"/>
                <w:szCs w:val="21"/>
                <w:highlight w:val="none"/>
              </w:rPr>
            </w:pPr>
          </w:p>
        </w:tc>
        <w:tc>
          <w:tcPr>
            <w:tcW w:w="1821" w:type="dxa"/>
            <w:vAlign w:val="center"/>
          </w:tcPr>
          <w:p>
            <w:pPr>
              <w:snapToGrid w:val="0"/>
              <w:spacing w:line="360" w:lineRule="auto"/>
              <w:jc w:val="center"/>
              <w:rPr>
                <w:rFonts w:cs="宋体"/>
                <w:sz w:val="21"/>
                <w:szCs w:val="21"/>
                <w:highlight w:val="none"/>
              </w:rPr>
            </w:pPr>
            <w:r>
              <w:rPr>
                <w:rFonts w:hint="eastAsia" w:cs="宋体"/>
                <w:sz w:val="21"/>
                <w:szCs w:val="21"/>
                <w:highlight w:val="none"/>
              </w:rPr>
              <w:t>供应商依法缴纳社会保障资金的证明材料</w:t>
            </w:r>
          </w:p>
        </w:tc>
        <w:tc>
          <w:tcPr>
            <w:tcW w:w="6141" w:type="dxa"/>
            <w:vAlign w:val="center"/>
          </w:tcPr>
          <w:p>
            <w:pPr>
              <w:snapToGrid w:val="0"/>
              <w:spacing w:line="360" w:lineRule="auto"/>
              <w:jc w:val="left"/>
              <w:rPr>
                <w:rFonts w:cs="宋体"/>
                <w:b/>
                <w:bCs/>
                <w:sz w:val="21"/>
                <w:szCs w:val="21"/>
                <w:highlight w:val="none"/>
              </w:rPr>
            </w:pPr>
            <w:r>
              <w:rPr>
                <w:rFonts w:hint="eastAsia" w:cs="宋体"/>
                <w:b/>
                <w:bCs/>
                <w:sz w:val="21"/>
                <w:szCs w:val="21"/>
                <w:highlight w:val="none"/>
              </w:rPr>
              <w:t>由供应商对以下内容提供书面承诺或提供相应证明材料。</w:t>
            </w:r>
          </w:p>
          <w:p>
            <w:pPr>
              <w:snapToGrid w:val="0"/>
              <w:spacing w:line="360" w:lineRule="auto"/>
              <w:jc w:val="left"/>
              <w:rPr>
                <w:rFonts w:cs="宋体"/>
                <w:sz w:val="21"/>
                <w:szCs w:val="21"/>
                <w:highlight w:val="none"/>
              </w:rPr>
            </w:pPr>
            <w:r>
              <w:rPr>
                <w:rFonts w:hint="eastAsia" w:cs="宋体"/>
                <w:sz w:val="21"/>
                <w:szCs w:val="21"/>
                <w:highlight w:val="none"/>
              </w:rPr>
              <w:t>本项目公告发布时间前半年内任一月缴纳社会保险的凭据（专用收据或社会保险缴纳清单）；依法不需要缴纳社会保障资金的供应商，应提供相应证明材料。</w:t>
            </w:r>
          </w:p>
          <w:p>
            <w:pPr>
              <w:snapToGrid w:val="0"/>
              <w:spacing w:line="360" w:lineRule="auto"/>
              <w:jc w:val="left"/>
              <w:rPr>
                <w:rFonts w:cs="宋体"/>
                <w:sz w:val="21"/>
                <w:szCs w:val="21"/>
                <w:highlight w:val="none"/>
              </w:rPr>
            </w:pPr>
            <w:r>
              <w:rPr>
                <w:rFonts w:hint="eastAsia" w:cs="宋体"/>
                <w:sz w:val="21"/>
                <w:szCs w:val="21"/>
                <w:highlight w:val="none"/>
              </w:rPr>
              <w:t>供应商为其他组织或自然人的，也需要按此项规定提供缴纳社会保险的凭据；不需要缴纳社会保障资金的供应商，应提供相应文件证明其不需要缴纳社会保障资金。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jc w:val="center"/>
        </w:trPr>
        <w:tc>
          <w:tcPr>
            <w:tcW w:w="1053" w:type="dxa"/>
            <w:vMerge w:val="continue"/>
            <w:vAlign w:val="center"/>
          </w:tcPr>
          <w:p>
            <w:pPr>
              <w:snapToGrid w:val="0"/>
              <w:spacing w:line="360" w:lineRule="auto"/>
              <w:jc w:val="center"/>
              <w:rPr>
                <w:rFonts w:cs="宋体"/>
                <w:sz w:val="21"/>
                <w:szCs w:val="21"/>
                <w:highlight w:val="none"/>
              </w:rPr>
            </w:pPr>
          </w:p>
        </w:tc>
        <w:tc>
          <w:tcPr>
            <w:tcW w:w="1040" w:type="dxa"/>
            <w:vMerge w:val="continue"/>
            <w:vAlign w:val="center"/>
          </w:tcPr>
          <w:p>
            <w:pPr>
              <w:snapToGrid w:val="0"/>
              <w:spacing w:line="360" w:lineRule="auto"/>
              <w:jc w:val="center"/>
              <w:rPr>
                <w:rFonts w:cs="宋体"/>
                <w:sz w:val="21"/>
                <w:szCs w:val="21"/>
                <w:highlight w:val="none"/>
              </w:rPr>
            </w:pPr>
          </w:p>
        </w:tc>
        <w:tc>
          <w:tcPr>
            <w:tcW w:w="1821" w:type="dxa"/>
            <w:vAlign w:val="center"/>
          </w:tcPr>
          <w:p>
            <w:pPr>
              <w:snapToGrid w:val="0"/>
              <w:spacing w:line="360" w:lineRule="auto"/>
              <w:jc w:val="center"/>
              <w:rPr>
                <w:rFonts w:cs="宋体"/>
                <w:sz w:val="21"/>
                <w:szCs w:val="21"/>
                <w:highlight w:val="none"/>
              </w:rPr>
            </w:pPr>
            <w:r>
              <w:rPr>
                <w:rFonts w:hint="eastAsia" w:cs="宋体"/>
                <w:sz w:val="21"/>
                <w:szCs w:val="21"/>
                <w:highlight w:val="none"/>
              </w:rPr>
              <w:t>没有重大违法记录的书面声明</w:t>
            </w:r>
          </w:p>
        </w:tc>
        <w:tc>
          <w:tcPr>
            <w:tcW w:w="6141" w:type="dxa"/>
            <w:vAlign w:val="center"/>
          </w:tcPr>
          <w:p>
            <w:pPr>
              <w:snapToGrid w:val="0"/>
              <w:spacing w:line="360" w:lineRule="auto"/>
              <w:jc w:val="left"/>
              <w:rPr>
                <w:rFonts w:cs="宋体"/>
                <w:sz w:val="21"/>
                <w:szCs w:val="21"/>
                <w:highlight w:val="none"/>
              </w:rPr>
            </w:pPr>
            <w:r>
              <w:rPr>
                <w:rFonts w:hint="eastAsia" w:cs="宋体"/>
                <w:sz w:val="21"/>
                <w:szCs w:val="21"/>
                <w:highlight w:val="none"/>
              </w:rPr>
              <w:t>提交参加政府采购活动前三年内在经营活动中没有重大违法记录的书面声明。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jc w:val="center"/>
        </w:trPr>
        <w:tc>
          <w:tcPr>
            <w:tcW w:w="1053" w:type="dxa"/>
            <w:vMerge w:val="continue"/>
            <w:vAlign w:val="center"/>
          </w:tcPr>
          <w:p>
            <w:pPr>
              <w:snapToGrid w:val="0"/>
              <w:spacing w:line="360" w:lineRule="auto"/>
              <w:jc w:val="center"/>
              <w:rPr>
                <w:rFonts w:cs="宋体"/>
                <w:sz w:val="21"/>
                <w:szCs w:val="21"/>
                <w:highlight w:val="none"/>
              </w:rPr>
            </w:pPr>
          </w:p>
        </w:tc>
        <w:tc>
          <w:tcPr>
            <w:tcW w:w="1040" w:type="dxa"/>
            <w:vMerge w:val="continue"/>
            <w:vAlign w:val="center"/>
          </w:tcPr>
          <w:p>
            <w:pPr>
              <w:snapToGrid w:val="0"/>
              <w:spacing w:line="360" w:lineRule="auto"/>
              <w:jc w:val="center"/>
              <w:rPr>
                <w:rFonts w:cs="宋体"/>
                <w:sz w:val="21"/>
                <w:szCs w:val="21"/>
                <w:highlight w:val="none"/>
              </w:rPr>
            </w:pPr>
          </w:p>
        </w:tc>
        <w:tc>
          <w:tcPr>
            <w:tcW w:w="1821" w:type="dxa"/>
            <w:vAlign w:val="center"/>
          </w:tcPr>
          <w:p>
            <w:pPr>
              <w:snapToGrid w:val="0"/>
              <w:spacing w:line="360" w:lineRule="auto"/>
              <w:jc w:val="center"/>
              <w:rPr>
                <w:rFonts w:cs="宋体"/>
                <w:sz w:val="21"/>
                <w:szCs w:val="21"/>
                <w:highlight w:val="none"/>
              </w:rPr>
            </w:pPr>
            <w:r>
              <w:rPr>
                <w:rFonts w:hint="eastAsia" w:cs="宋体"/>
                <w:sz w:val="21"/>
                <w:szCs w:val="21"/>
                <w:highlight w:val="none"/>
              </w:rPr>
              <w:t>失信记录</w:t>
            </w:r>
          </w:p>
        </w:tc>
        <w:tc>
          <w:tcPr>
            <w:tcW w:w="6141" w:type="dxa"/>
            <w:vAlign w:val="center"/>
          </w:tcPr>
          <w:p>
            <w:pPr>
              <w:snapToGrid w:val="0"/>
              <w:spacing w:line="360" w:lineRule="auto"/>
              <w:jc w:val="left"/>
              <w:rPr>
                <w:rFonts w:cs="宋体"/>
                <w:sz w:val="21"/>
                <w:szCs w:val="21"/>
                <w:highlight w:val="none"/>
              </w:rPr>
            </w:pPr>
            <w:r>
              <w:rPr>
                <w:rFonts w:hint="eastAsia" w:cs="宋体"/>
                <w:sz w:val="21"/>
                <w:szCs w:val="21"/>
                <w:highlight w:val="none"/>
              </w:rPr>
              <w:t>不存在失信记录查询（信用中国网站、中国政府采购网）。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1053" w:type="dxa"/>
            <w:vMerge w:val="continue"/>
            <w:vAlign w:val="center"/>
          </w:tcPr>
          <w:p>
            <w:pPr>
              <w:snapToGrid w:val="0"/>
              <w:spacing w:line="360" w:lineRule="auto"/>
              <w:jc w:val="center"/>
              <w:rPr>
                <w:rFonts w:cs="宋体"/>
                <w:sz w:val="21"/>
                <w:szCs w:val="21"/>
                <w:highlight w:val="none"/>
              </w:rPr>
            </w:pPr>
          </w:p>
        </w:tc>
        <w:tc>
          <w:tcPr>
            <w:tcW w:w="1040" w:type="dxa"/>
            <w:vMerge w:val="continue"/>
            <w:vAlign w:val="center"/>
          </w:tcPr>
          <w:p>
            <w:pPr>
              <w:snapToGrid w:val="0"/>
              <w:spacing w:line="360" w:lineRule="auto"/>
              <w:jc w:val="center"/>
              <w:rPr>
                <w:rFonts w:cs="宋体"/>
                <w:sz w:val="21"/>
                <w:szCs w:val="21"/>
                <w:highlight w:val="none"/>
              </w:rPr>
            </w:pPr>
          </w:p>
        </w:tc>
        <w:tc>
          <w:tcPr>
            <w:tcW w:w="1821" w:type="dxa"/>
            <w:vAlign w:val="center"/>
          </w:tcPr>
          <w:p>
            <w:pPr>
              <w:snapToGrid w:val="0"/>
              <w:spacing w:line="360" w:lineRule="auto"/>
              <w:jc w:val="center"/>
              <w:rPr>
                <w:rFonts w:cs="宋体"/>
                <w:sz w:val="21"/>
                <w:szCs w:val="21"/>
                <w:highlight w:val="none"/>
              </w:rPr>
            </w:pPr>
            <w:r>
              <w:rPr>
                <w:rFonts w:hint="eastAsia" w:cs="宋体"/>
                <w:sz w:val="21"/>
                <w:szCs w:val="21"/>
                <w:highlight w:val="none"/>
              </w:rPr>
              <w:t>有效许可证</w:t>
            </w:r>
          </w:p>
        </w:tc>
        <w:tc>
          <w:tcPr>
            <w:tcW w:w="6141" w:type="dxa"/>
            <w:vAlign w:val="center"/>
          </w:tcPr>
          <w:p>
            <w:pPr>
              <w:snapToGrid w:val="0"/>
              <w:spacing w:line="360" w:lineRule="auto"/>
              <w:jc w:val="left"/>
              <w:rPr>
                <w:rFonts w:cs="宋体"/>
                <w:sz w:val="21"/>
                <w:szCs w:val="21"/>
                <w:highlight w:val="none"/>
              </w:rPr>
            </w:pPr>
            <w:r>
              <w:rPr>
                <w:rFonts w:hint="eastAsia" w:cs="宋体"/>
                <w:sz w:val="21"/>
                <w:szCs w:val="21"/>
                <w:highlight w:val="none"/>
              </w:rPr>
              <w:t>有效的餐饮服务许可证或食品经营许可证。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9" w:hRule="atLeast"/>
          <w:jc w:val="center"/>
        </w:trPr>
        <w:tc>
          <w:tcPr>
            <w:tcW w:w="1053" w:type="dxa"/>
            <w:vMerge w:val="continue"/>
            <w:vAlign w:val="center"/>
          </w:tcPr>
          <w:p>
            <w:pPr>
              <w:snapToGrid w:val="0"/>
              <w:spacing w:line="360" w:lineRule="auto"/>
              <w:jc w:val="center"/>
              <w:rPr>
                <w:rFonts w:cs="宋体"/>
                <w:sz w:val="21"/>
                <w:szCs w:val="21"/>
                <w:highlight w:val="none"/>
              </w:rPr>
            </w:pPr>
          </w:p>
        </w:tc>
        <w:tc>
          <w:tcPr>
            <w:tcW w:w="1040" w:type="dxa"/>
            <w:vMerge w:val="continue"/>
            <w:vAlign w:val="center"/>
          </w:tcPr>
          <w:p>
            <w:pPr>
              <w:snapToGrid w:val="0"/>
              <w:spacing w:line="360" w:lineRule="auto"/>
              <w:jc w:val="center"/>
              <w:rPr>
                <w:rFonts w:cs="宋体"/>
                <w:sz w:val="21"/>
                <w:szCs w:val="21"/>
                <w:highlight w:val="none"/>
              </w:rPr>
            </w:pPr>
          </w:p>
        </w:tc>
        <w:tc>
          <w:tcPr>
            <w:tcW w:w="1821" w:type="dxa"/>
            <w:vAlign w:val="center"/>
          </w:tcPr>
          <w:p>
            <w:pPr>
              <w:snapToGrid w:val="0"/>
              <w:spacing w:line="360" w:lineRule="auto"/>
              <w:jc w:val="center"/>
              <w:rPr>
                <w:rFonts w:cs="宋体"/>
                <w:sz w:val="21"/>
                <w:szCs w:val="21"/>
                <w:highlight w:val="none"/>
              </w:rPr>
            </w:pPr>
            <w:r>
              <w:rPr>
                <w:rFonts w:hint="eastAsia" w:cs="宋体"/>
                <w:sz w:val="21"/>
                <w:szCs w:val="21"/>
                <w:highlight w:val="none"/>
              </w:rPr>
              <w:t>落实中小企业预留采购份额要求</w:t>
            </w:r>
          </w:p>
        </w:tc>
        <w:tc>
          <w:tcPr>
            <w:tcW w:w="6141" w:type="dxa"/>
            <w:vAlign w:val="center"/>
          </w:tcPr>
          <w:p>
            <w:pPr>
              <w:snapToGrid w:val="0"/>
              <w:spacing w:line="360" w:lineRule="auto"/>
              <w:jc w:val="left"/>
              <w:rPr>
                <w:rFonts w:cs="宋体"/>
                <w:sz w:val="21"/>
                <w:szCs w:val="21"/>
                <w:highlight w:val="none"/>
              </w:rPr>
            </w:pPr>
            <w:r>
              <w:rPr>
                <w:rFonts w:hint="eastAsia" w:cs="宋体"/>
                <w:sz w:val="21"/>
                <w:szCs w:val="21"/>
                <w:highlight w:val="none"/>
              </w:rPr>
              <w:t>提供符合要求的《中小企业声明函》，且声明函中声明</w:t>
            </w:r>
            <w:r>
              <w:rPr>
                <w:rFonts w:hint="eastAsia" w:cs="宋体"/>
                <w:color w:val="0000FF"/>
                <w:sz w:val="21"/>
                <w:szCs w:val="21"/>
                <w:highlight w:val="none"/>
              </w:rPr>
              <w:t>为小型企业或微型企业。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 w:hRule="atLeast"/>
          <w:jc w:val="center"/>
        </w:trPr>
        <w:tc>
          <w:tcPr>
            <w:tcW w:w="2093" w:type="dxa"/>
            <w:gridSpan w:val="2"/>
            <w:shd w:val="clear" w:color="auto" w:fill="D7D7D7"/>
            <w:vAlign w:val="center"/>
          </w:tcPr>
          <w:p>
            <w:pPr>
              <w:snapToGrid w:val="0"/>
              <w:spacing w:line="360" w:lineRule="auto"/>
              <w:jc w:val="center"/>
              <w:rPr>
                <w:rFonts w:cs="宋体"/>
                <w:sz w:val="21"/>
                <w:szCs w:val="21"/>
                <w:highlight w:val="none"/>
              </w:rPr>
            </w:pPr>
            <w:r>
              <w:rPr>
                <w:rFonts w:hint="eastAsia" w:cs="宋体"/>
                <w:sz w:val="21"/>
                <w:szCs w:val="21"/>
                <w:highlight w:val="none"/>
              </w:rPr>
              <w:t>条款号</w:t>
            </w:r>
          </w:p>
        </w:tc>
        <w:tc>
          <w:tcPr>
            <w:tcW w:w="1821" w:type="dxa"/>
            <w:shd w:val="clear" w:color="auto" w:fill="D7D7D7"/>
            <w:vAlign w:val="center"/>
          </w:tcPr>
          <w:p>
            <w:pPr>
              <w:snapToGrid w:val="0"/>
              <w:spacing w:line="360" w:lineRule="auto"/>
              <w:jc w:val="center"/>
              <w:rPr>
                <w:rFonts w:cs="宋体"/>
                <w:sz w:val="21"/>
                <w:szCs w:val="21"/>
                <w:highlight w:val="none"/>
              </w:rPr>
            </w:pPr>
            <w:r>
              <w:rPr>
                <w:rFonts w:hint="eastAsia" w:cs="宋体"/>
                <w:sz w:val="21"/>
                <w:szCs w:val="21"/>
                <w:highlight w:val="none"/>
              </w:rPr>
              <w:t>评审因素</w:t>
            </w:r>
          </w:p>
        </w:tc>
        <w:tc>
          <w:tcPr>
            <w:tcW w:w="6141" w:type="dxa"/>
            <w:tcBorders>
              <w:bottom w:val="single" w:color="auto" w:sz="4" w:space="0"/>
            </w:tcBorders>
            <w:shd w:val="clear" w:color="auto" w:fill="D7D7D7"/>
            <w:vAlign w:val="center"/>
          </w:tcPr>
          <w:p>
            <w:pPr>
              <w:snapToGrid w:val="0"/>
              <w:spacing w:line="360" w:lineRule="auto"/>
              <w:jc w:val="center"/>
              <w:rPr>
                <w:rFonts w:cs="宋体"/>
                <w:sz w:val="21"/>
                <w:szCs w:val="21"/>
                <w:highlight w:val="none"/>
              </w:rPr>
            </w:pPr>
            <w:r>
              <w:rPr>
                <w:rFonts w:hint="eastAsia" w:cs="宋体"/>
                <w:sz w:val="21"/>
                <w:szCs w:val="21"/>
                <w:highlight w:val="none"/>
              </w:rPr>
              <w:t>评审标准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 w:hRule="atLeast"/>
          <w:jc w:val="center"/>
        </w:trPr>
        <w:tc>
          <w:tcPr>
            <w:tcW w:w="1053" w:type="dxa"/>
            <w:vMerge w:val="restart"/>
            <w:vAlign w:val="center"/>
          </w:tcPr>
          <w:p>
            <w:pPr>
              <w:snapToGrid w:val="0"/>
              <w:spacing w:line="360" w:lineRule="auto"/>
              <w:jc w:val="center"/>
              <w:rPr>
                <w:rFonts w:cs="宋体"/>
                <w:sz w:val="21"/>
                <w:szCs w:val="21"/>
                <w:highlight w:val="none"/>
              </w:rPr>
            </w:pPr>
            <w:r>
              <w:rPr>
                <w:rFonts w:hint="eastAsia" w:cs="宋体"/>
                <w:sz w:val="21"/>
                <w:szCs w:val="21"/>
                <w:highlight w:val="none"/>
              </w:rPr>
              <w:t>2.1.2</w:t>
            </w:r>
          </w:p>
        </w:tc>
        <w:tc>
          <w:tcPr>
            <w:tcW w:w="1040" w:type="dxa"/>
            <w:vMerge w:val="restart"/>
            <w:vAlign w:val="center"/>
          </w:tcPr>
          <w:p>
            <w:pPr>
              <w:snapToGrid w:val="0"/>
              <w:spacing w:line="360" w:lineRule="auto"/>
              <w:jc w:val="center"/>
              <w:rPr>
                <w:rFonts w:cs="宋体"/>
                <w:sz w:val="21"/>
                <w:szCs w:val="21"/>
                <w:highlight w:val="none"/>
              </w:rPr>
            </w:pPr>
            <w:r>
              <w:rPr>
                <w:rFonts w:hint="eastAsia" w:cs="宋体"/>
                <w:sz w:val="21"/>
                <w:szCs w:val="21"/>
                <w:highlight w:val="none"/>
              </w:rPr>
              <w:t>符合性审 查标准</w:t>
            </w:r>
          </w:p>
        </w:tc>
        <w:tc>
          <w:tcPr>
            <w:tcW w:w="1821" w:type="dxa"/>
            <w:vAlign w:val="center"/>
          </w:tcPr>
          <w:p>
            <w:pPr>
              <w:snapToGrid w:val="0"/>
              <w:spacing w:line="360" w:lineRule="auto"/>
              <w:jc w:val="center"/>
              <w:rPr>
                <w:rFonts w:cs="宋体"/>
                <w:sz w:val="21"/>
                <w:szCs w:val="21"/>
                <w:highlight w:val="none"/>
              </w:rPr>
            </w:pPr>
            <w:r>
              <w:rPr>
                <w:rFonts w:hint="eastAsia" w:cs="宋体"/>
                <w:sz w:val="21"/>
                <w:szCs w:val="21"/>
                <w:highlight w:val="none"/>
              </w:rPr>
              <w:t>投标报价</w:t>
            </w:r>
          </w:p>
        </w:tc>
        <w:tc>
          <w:tcPr>
            <w:tcW w:w="6141" w:type="dxa"/>
            <w:tcBorders>
              <w:bottom w:val="single" w:color="auto" w:sz="4" w:space="0"/>
            </w:tcBorders>
            <w:vAlign w:val="center"/>
          </w:tcPr>
          <w:p>
            <w:pPr>
              <w:snapToGrid w:val="0"/>
              <w:spacing w:line="360" w:lineRule="auto"/>
              <w:jc w:val="left"/>
              <w:rPr>
                <w:rFonts w:cs="宋体"/>
                <w:sz w:val="21"/>
                <w:szCs w:val="21"/>
                <w:highlight w:val="none"/>
              </w:rPr>
            </w:pPr>
            <w:r>
              <w:rPr>
                <w:rFonts w:hint="eastAsia" w:cs="宋体"/>
                <w:sz w:val="21"/>
                <w:szCs w:val="21"/>
                <w:highlight w:val="none"/>
              </w:rPr>
              <w:t>供应商的投标报价是否高于本项目的总预算金额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1053" w:type="dxa"/>
            <w:vMerge w:val="continue"/>
            <w:vAlign w:val="center"/>
          </w:tcPr>
          <w:p>
            <w:pPr>
              <w:snapToGrid w:val="0"/>
              <w:spacing w:line="360" w:lineRule="auto"/>
              <w:jc w:val="center"/>
              <w:rPr>
                <w:rFonts w:cs="宋体"/>
                <w:sz w:val="21"/>
                <w:szCs w:val="21"/>
                <w:highlight w:val="none"/>
              </w:rPr>
            </w:pPr>
          </w:p>
        </w:tc>
        <w:tc>
          <w:tcPr>
            <w:tcW w:w="1040" w:type="dxa"/>
            <w:vMerge w:val="continue"/>
            <w:vAlign w:val="center"/>
          </w:tcPr>
          <w:p>
            <w:pPr>
              <w:snapToGrid w:val="0"/>
              <w:spacing w:line="360" w:lineRule="auto"/>
              <w:jc w:val="center"/>
              <w:rPr>
                <w:rFonts w:cs="宋体"/>
                <w:sz w:val="21"/>
                <w:szCs w:val="21"/>
                <w:highlight w:val="none"/>
              </w:rPr>
            </w:pPr>
          </w:p>
        </w:tc>
        <w:tc>
          <w:tcPr>
            <w:tcW w:w="1821" w:type="dxa"/>
            <w:tcBorders>
              <w:top w:val="single" w:color="auto" w:sz="4" w:space="0"/>
            </w:tcBorders>
            <w:vAlign w:val="center"/>
          </w:tcPr>
          <w:p>
            <w:pPr>
              <w:snapToGrid w:val="0"/>
              <w:spacing w:line="360" w:lineRule="auto"/>
              <w:jc w:val="center"/>
              <w:rPr>
                <w:rFonts w:cs="宋体"/>
                <w:sz w:val="21"/>
                <w:szCs w:val="21"/>
                <w:highlight w:val="none"/>
              </w:rPr>
            </w:pPr>
            <w:r>
              <w:rPr>
                <w:rFonts w:hint="eastAsia" w:cs="宋体"/>
                <w:sz w:val="21"/>
                <w:szCs w:val="21"/>
                <w:highlight w:val="none"/>
              </w:rPr>
              <w:t>投标文件签字盖章</w:t>
            </w:r>
          </w:p>
        </w:tc>
        <w:tc>
          <w:tcPr>
            <w:tcW w:w="6141" w:type="dxa"/>
            <w:tcBorders>
              <w:top w:val="single" w:color="auto" w:sz="4" w:space="0"/>
            </w:tcBorders>
            <w:vAlign w:val="center"/>
          </w:tcPr>
          <w:p>
            <w:pPr>
              <w:snapToGrid w:val="0"/>
              <w:spacing w:line="360" w:lineRule="auto"/>
              <w:jc w:val="left"/>
              <w:rPr>
                <w:rFonts w:cs="宋体"/>
                <w:sz w:val="21"/>
                <w:szCs w:val="21"/>
                <w:highlight w:val="none"/>
              </w:rPr>
            </w:pPr>
            <w:r>
              <w:rPr>
                <w:rFonts w:hint="eastAsia" w:cs="宋体"/>
                <w:sz w:val="21"/>
                <w:szCs w:val="21"/>
                <w:highlight w:val="none"/>
              </w:rPr>
              <w:t>有法定代表人或其委托代理人签字或加盖单位公章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jc w:val="center"/>
        </w:trPr>
        <w:tc>
          <w:tcPr>
            <w:tcW w:w="1053" w:type="dxa"/>
            <w:vMerge w:val="continue"/>
            <w:vAlign w:val="center"/>
          </w:tcPr>
          <w:p>
            <w:pPr>
              <w:snapToGrid w:val="0"/>
              <w:spacing w:line="360" w:lineRule="auto"/>
              <w:jc w:val="center"/>
              <w:rPr>
                <w:rFonts w:cs="宋体"/>
                <w:sz w:val="21"/>
                <w:szCs w:val="21"/>
                <w:highlight w:val="none"/>
              </w:rPr>
            </w:pPr>
          </w:p>
        </w:tc>
        <w:tc>
          <w:tcPr>
            <w:tcW w:w="1040" w:type="dxa"/>
            <w:vMerge w:val="continue"/>
            <w:vAlign w:val="center"/>
          </w:tcPr>
          <w:p>
            <w:pPr>
              <w:snapToGrid w:val="0"/>
              <w:spacing w:line="360" w:lineRule="auto"/>
              <w:jc w:val="center"/>
              <w:rPr>
                <w:rFonts w:cs="宋体"/>
                <w:sz w:val="21"/>
                <w:szCs w:val="21"/>
                <w:highlight w:val="none"/>
              </w:rPr>
            </w:pPr>
          </w:p>
        </w:tc>
        <w:tc>
          <w:tcPr>
            <w:tcW w:w="1821" w:type="dxa"/>
            <w:vAlign w:val="center"/>
          </w:tcPr>
          <w:p>
            <w:pPr>
              <w:snapToGrid w:val="0"/>
              <w:spacing w:line="360" w:lineRule="auto"/>
              <w:jc w:val="center"/>
              <w:rPr>
                <w:rFonts w:cs="宋体"/>
                <w:sz w:val="21"/>
                <w:szCs w:val="21"/>
                <w:highlight w:val="none"/>
              </w:rPr>
            </w:pPr>
            <w:r>
              <w:rPr>
                <w:rFonts w:hint="eastAsia" w:cs="宋体"/>
                <w:sz w:val="21"/>
                <w:szCs w:val="21"/>
                <w:highlight w:val="none"/>
              </w:rPr>
              <w:t>投标有效期</w:t>
            </w:r>
          </w:p>
        </w:tc>
        <w:tc>
          <w:tcPr>
            <w:tcW w:w="6141" w:type="dxa"/>
            <w:vAlign w:val="center"/>
          </w:tcPr>
          <w:p>
            <w:pPr>
              <w:snapToGrid w:val="0"/>
              <w:spacing w:line="360" w:lineRule="auto"/>
              <w:jc w:val="left"/>
              <w:rPr>
                <w:rFonts w:cs="宋体"/>
                <w:sz w:val="21"/>
                <w:szCs w:val="21"/>
                <w:highlight w:val="none"/>
              </w:rPr>
            </w:pPr>
            <w:r>
              <w:rPr>
                <w:rFonts w:hint="eastAsia" w:cs="宋体"/>
                <w:sz w:val="21"/>
                <w:szCs w:val="21"/>
                <w:highlight w:val="none"/>
              </w:rPr>
              <w:t>投标有效期满足招标文件要求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jc w:val="center"/>
        </w:trPr>
        <w:tc>
          <w:tcPr>
            <w:tcW w:w="1053" w:type="dxa"/>
            <w:vMerge w:val="continue"/>
            <w:vAlign w:val="center"/>
          </w:tcPr>
          <w:p>
            <w:pPr>
              <w:snapToGrid w:val="0"/>
              <w:spacing w:line="360" w:lineRule="auto"/>
              <w:jc w:val="center"/>
              <w:rPr>
                <w:rFonts w:cs="宋体"/>
                <w:sz w:val="21"/>
                <w:szCs w:val="21"/>
                <w:highlight w:val="none"/>
              </w:rPr>
            </w:pPr>
          </w:p>
        </w:tc>
        <w:tc>
          <w:tcPr>
            <w:tcW w:w="1040" w:type="dxa"/>
            <w:vMerge w:val="continue"/>
            <w:vAlign w:val="center"/>
          </w:tcPr>
          <w:p>
            <w:pPr>
              <w:snapToGrid w:val="0"/>
              <w:spacing w:line="360" w:lineRule="auto"/>
              <w:jc w:val="center"/>
              <w:rPr>
                <w:rFonts w:cs="宋体"/>
                <w:sz w:val="21"/>
                <w:szCs w:val="21"/>
                <w:highlight w:val="none"/>
              </w:rPr>
            </w:pPr>
          </w:p>
        </w:tc>
        <w:tc>
          <w:tcPr>
            <w:tcW w:w="1821" w:type="dxa"/>
            <w:vAlign w:val="center"/>
          </w:tcPr>
          <w:p>
            <w:pPr>
              <w:snapToGrid w:val="0"/>
              <w:spacing w:line="360" w:lineRule="auto"/>
              <w:jc w:val="center"/>
              <w:rPr>
                <w:rFonts w:cs="宋体"/>
                <w:sz w:val="21"/>
                <w:szCs w:val="21"/>
                <w:highlight w:val="none"/>
              </w:rPr>
            </w:pPr>
            <w:r>
              <w:rPr>
                <w:rFonts w:hint="eastAsia" w:cs="宋体"/>
                <w:sz w:val="21"/>
                <w:szCs w:val="21"/>
                <w:highlight w:val="none"/>
              </w:rPr>
              <w:t>文件格式</w:t>
            </w:r>
          </w:p>
        </w:tc>
        <w:tc>
          <w:tcPr>
            <w:tcW w:w="6141" w:type="dxa"/>
          </w:tcPr>
          <w:p>
            <w:pPr>
              <w:snapToGrid w:val="0"/>
              <w:spacing w:before="179" w:line="360" w:lineRule="auto"/>
              <w:ind w:left="66"/>
              <w:rPr>
                <w:rFonts w:cs="宋体"/>
                <w:sz w:val="21"/>
                <w:szCs w:val="21"/>
                <w:highlight w:val="none"/>
              </w:rPr>
            </w:pPr>
            <w:r>
              <w:rPr>
                <w:rFonts w:hint="eastAsia" w:cs="宋体"/>
                <w:sz w:val="21"/>
                <w:szCs w:val="21"/>
                <w:highlight w:val="none"/>
              </w:rPr>
              <w:t>投标文件按规定的格式填写，内容完整且自己清晰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jc w:val="center"/>
        </w:trPr>
        <w:tc>
          <w:tcPr>
            <w:tcW w:w="1053" w:type="dxa"/>
            <w:vMerge w:val="continue"/>
            <w:vAlign w:val="center"/>
          </w:tcPr>
          <w:p>
            <w:pPr>
              <w:snapToGrid w:val="0"/>
              <w:spacing w:line="360" w:lineRule="auto"/>
              <w:jc w:val="center"/>
              <w:rPr>
                <w:rFonts w:cs="宋体"/>
                <w:sz w:val="21"/>
                <w:szCs w:val="21"/>
                <w:highlight w:val="none"/>
              </w:rPr>
            </w:pPr>
          </w:p>
        </w:tc>
        <w:tc>
          <w:tcPr>
            <w:tcW w:w="1040" w:type="dxa"/>
            <w:vMerge w:val="continue"/>
            <w:vAlign w:val="center"/>
          </w:tcPr>
          <w:p>
            <w:pPr>
              <w:snapToGrid w:val="0"/>
              <w:spacing w:line="360" w:lineRule="auto"/>
              <w:jc w:val="center"/>
              <w:rPr>
                <w:rFonts w:cs="宋体"/>
                <w:sz w:val="21"/>
                <w:szCs w:val="21"/>
                <w:highlight w:val="none"/>
              </w:rPr>
            </w:pPr>
          </w:p>
        </w:tc>
        <w:tc>
          <w:tcPr>
            <w:tcW w:w="1821" w:type="dxa"/>
            <w:vAlign w:val="center"/>
          </w:tcPr>
          <w:p>
            <w:pPr>
              <w:snapToGrid w:val="0"/>
              <w:spacing w:line="360" w:lineRule="auto"/>
              <w:jc w:val="center"/>
              <w:rPr>
                <w:rFonts w:cs="宋体"/>
                <w:sz w:val="21"/>
                <w:szCs w:val="21"/>
                <w:highlight w:val="none"/>
              </w:rPr>
            </w:pPr>
            <w:r>
              <w:rPr>
                <w:rFonts w:hint="eastAsia" w:cs="宋体"/>
                <w:sz w:val="21"/>
                <w:szCs w:val="21"/>
                <w:highlight w:val="none"/>
              </w:rPr>
              <w:t>服务期限</w:t>
            </w:r>
          </w:p>
        </w:tc>
        <w:tc>
          <w:tcPr>
            <w:tcW w:w="6141" w:type="dxa"/>
          </w:tcPr>
          <w:p>
            <w:pPr>
              <w:snapToGrid w:val="0"/>
              <w:spacing w:before="181" w:line="360" w:lineRule="auto"/>
              <w:ind w:left="66"/>
              <w:rPr>
                <w:rFonts w:cs="宋体"/>
                <w:sz w:val="21"/>
                <w:szCs w:val="21"/>
                <w:highlight w:val="none"/>
              </w:rPr>
            </w:pPr>
            <w:r>
              <w:rPr>
                <w:rFonts w:hint="eastAsia" w:cs="宋体"/>
                <w:sz w:val="21"/>
                <w:szCs w:val="21"/>
                <w:highlight w:val="none"/>
              </w:rPr>
              <w:t>符合招标文件要求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jc w:val="center"/>
        </w:trPr>
        <w:tc>
          <w:tcPr>
            <w:tcW w:w="1053" w:type="dxa"/>
            <w:vMerge w:val="continue"/>
            <w:vAlign w:val="center"/>
          </w:tcPr>
          <w:p>
            <w:pPr>
              <w:snapToGrid w:val="0"/>
              <w:spacing w:line="360" w:lineRule="auto"/>
              <w:jc w:val="center"/>
              <w:rPr>
                <w:rFonts w:cs="宋体"/>
                <w:sz w:val="21"/>
                <w:szCs w:val="21"/>
                <w:highlight w:val="none"/>
              </w:rPr>
            </w:pPr>
          </w:p>
        </w:tc>
        <w:tc>
          <w:tcPr>
            <w:tcW w:w="1040" w:type="dxa"/>
            <w:vMerge w:val="continue"/>
            <w:vAlign w:val="center"/>
          </w:tcPr>
          <w:p>
            <w:pPr>
              <w:snapToGrid w:val="0"/>
              <w:spacing w:line="360" w:lineRule="auto"/>
              <w:jc w:val="center"/>
              <w:rPr>
                <w:rFonts w:cs="宋体"/>
                <w:sz w:val="21"/>
                <w:szCs w:val="21"/>
                <w:highlight w:val="none"/>
              </w:rPr>
            </w:pPr>
          </w:p>
        </w:tc>
        <w:tc>
          <w:tcPr>
            <w:tcW w:w="1821" w:type="dxa"/>
            <w:vAlign w:val="center"/>
          </w:tcPr>
          <w:p>
            <w:pPr>
              <w:snapToGrid w:val="0"/>
              <w:spacing w:line="360" w:lineRule="auto"/>
              <w:jc w:val="center"/>
              <w:rPr>
                <w:rFonts w:cs="宋体"/>
                <w:sz w:val="21"/>
                <w:szCs w:val="21"/>
                <w:highlight w:val="none"/>
              </w:rPr>
            </w:pPr>
            <w:r>
              <w:rPr>
                <w:rFonts w:hint="eastAsia" w:cs="宋体"/>
                <w:sz w:val="21"/>
                <w:szCs w:val="21"/>
                <w:highlight w:val="none"/>
              </w:rPr>
              <w:t>服务质量</w:t>
            </w:r>
          </w:p>
        </w:tc>
        <w:tc>
          <w:tcPr>
            <w:tcW w:w="6141" w:type="dxa"/>
          </w:tcPr>
          <w:p>
            <w:pPr>
              <w:snapToGrid w:val="0"/>
              <w:spacing w:before="181" w:line="360" w:lineRule="auto"/>
              <w:ind w:left="63"/>
              <w:rPr>
                <w:rFonts w:cs="宋体"/>
                <w:sz w:val="21"/>
                <w:szCs w:val="21"/>
                <w:highlight w:val="none"/>
                <w:lang w:eastAsia="en-US"/>
              </w:rPr>
            </w:pPr>
            <w:r>
              <w:rPr>
                <w:rFonts w:hint="eastAsia" w:cs="宋体"/>
                <w:sz w:val="21"/>
                <w:szCs w:val="21"/>
                <w:highlight w:val="none"/>
              </w:rPr>
              <w:t>符合招标文件要求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jc w:val="center"/>
        </w:trPr>
        <w:tc>
          <w:tcPr>
            <w:tcW w:w="1053" w:type="dxa"/>
            <w:vMerge w:val="continue"/>
            <w:vAlign w:val="center"/>
          </w:tcPr>
          <w:p>
            <w:pPr>
              <w:snapToGrid w:val="0"/>
              <w:spacing w:line="360" w:lineRule="auto"/>
              <w:jc w:val="center"/>
              <w:rPr>
                <w:rFonts w:cs="宋体"/>
                <w:sz w:val="21"/>
                <w:szCs w:val="21"/>
                <w:highlight w:val="none"/>
              </w:rPr>
            </w:pPr>
          </w:p>
        </w:tc>
        <w:tc>
          <w:tcPr>
            <w:tcW w:w="1040" w:type="dxa"/>
            <w:vMerge w:val="continue"/>
            <w:vAlign w:val="center"/>
          </w:tcPr>
          <w:p>
            <w:pPr>
              <w:snapToGrid w:val="0"/>
              <w:spacing w:line="360" w:lineRule="auto"/>
              <w:jc w:val="center"/>
              <w:rPr>
                <w:rFonts w:cs="宋体"/>
                <w:sz w:val="21"/>
                <w:szCs w:val="21"/>
                <w:highlight w:val="none"/>
              </w:rPr>
            </w:pPr>
          </w:p>
        </w:tc>
        <w:tc>
          <w:tcPr>
            <w:tcW w:w="1821" w:type="dxa"/>
            <w:vMerge w:val="restart"/>
            <w:vAlign w:val="center"/>
          </w:tcPr>
          <w:p>
            <w:pPr>
              <w:snapToGrid w:val="0"/>
              <w:spacing w:line="360" w:lineRule="auto"/>
              <w:jc w:val="center"/>
              <w:rPr>
                <w:rFonts w:cs="宋体"/>
                <w:sz w:val="21"/>
                <w:szCs w:val="21"/>
                <w:highlight w:val="none"/>
              </w:rPr>
            </w:pPr>
            <w:r>
              <w:rPr>
                <w:rFonts w:hint="eastAsia" w:cs="宋体"/>
                <w:spacing w:val="7"/>
                <w:sz w:val="21"/>
                <w:szCs w:val="21"/>
                <w:highlight w:val="none"/>
              </w:rPr>
              <w:t>实质性响应</w:t>
            </w:r>
          </w:p>
        </w:tc>
        <w:tc>
          <w:tcPr>
            <w:tcW w:w="6141" w:type="dxa"/>
          </w:tcPr>
          <w:p>
            <w:pPr>
              <w:snapToGrid w:val="0"/>
              <w:spacing w:before="179" w:line="360" w:lineRule="auto"/>
              <w:ind w:left="66"/>
              <w:rPr>
                <w:rFonts w:cs="宋体"/>
                <w:spacing w:val="9"/>
                <w:sz w:val="21"/>
                <w:szCs w:val="21"/>
                <w:highlight w:val="none"/>
              </w:rPr>
            </w:pPr>
            <w:r>
              <w:rPr>
                <w:rFonts w:hint="eastAsia" w:cs="宋体"/>
                <w:spacing w:val="-2"/>
                <w:sz w:val="21"/>
                <w:szCs w:val="21"/>
                <w:highlight w:val="none"/>
              </w:rPr>
              <w:t>投标文件满足招标文件标注“★”的实质性条款要求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jc w:val="center"/>
        </w:trPr>
        <w:tc>
          <w:tcPr>
            <w:tcW w:w="1053" w:type="dxa"/>
            <w:vMerge w:val="continue"/>
            <w:vAlign w:val="center"/>
          </w:tcPr>
          <w:p>
            <w:pPr>
              <w:snapToGrid w:val="0"/>
              <w:spacing w:line="360" w:lineRule="auto"/>
              <w:jc w:val="center"/>
              <w:rPr>
                <w:rFonts w:cs="宋体"/>
                <w:sz w:val="21"/>
                <w:szCs w:val="21"/>
                <w:highlight w:val="none"/>
              </w:rPr>
            </w:pPr>
          </w:p>
        </w:tc>
        <w:tc>
          <w:tcPr>
            <w:tcW w:w="1040" w:type="dxa"/>
            <w:vMerge w:val="continue"/>
            <w:vAlign w:val="center"/>
          </w:tcPr>
          <w:p>
            <w:pPr>
              <w:snapToGrid w:val="0"/>
              <w:spacing w:line="360" w:lineRule="auto"/>
              <w:jc w:val="center"/>
              <w:rPr>
                <w:rFonts w:cs="宋体"/>
                <w:sz w:val="21"/>
                <w:szCs w:val="21"/>
                <w:highlight w:val="none"/>
              </w:rPr>
            </w:pPr>
          </w:p>
        </w:tc>
        <w:tc>
          <w:tcPr>
            <w:tcW w:w="1821" w:type="dxa"/>
            <w:vMerge w:val="continue"/>
            <w:vAlign w:val="center"/>
          </w:tcPr>
          <w:p>
            <w:pPr>
              <w:snapToGrid w:val="0"/>
              <w:spacing w:line="360" w:lineRule="auto"/>
              <w:jc w:val="center"/>
              <w:rPr>
                <w:rFonts w:cs="宋体"/>
                <w:sz w:val="21"/>
                <w:szCs w:val="21"/>
                <w:highlight w:val="none"/>
              </w:rPr>
            </w:pPr>
          </w:p>
        </w:tc>
        <w:tc>
          <w:tcPr>
            <w:tcW w:w="6141" w:type="dxa"/>
          </w:tcPr>
          <w:p>
            <w:pPr>
              <w:snapToGrid w:val="0"/>
              <w:spacing w:before="181" w:line="360" w:lineRule="auto"/>
              <w:ind w:left="66"/>
              <w:rPr>
                <w:rFonts w:cs="宋体"/>
                <w:spacing w:val="9"/>
                <w:sz w:val="21"/>
                <w:szCs w:val="21"/>
                <w:highlight w:val="none"/>
              </w:rPr>
            </w:pPr>
            <w:r>
              <w:rPr>
                <w:rFonts w:hint="eastAsia" w:cs="宋体"/>
                <w:spacing w:val="9"/>
                <w:sz w:val="21"/>
                <w:szCs w:val="21"/>
                <w:highlight w:val="none"/>
              </w:rPr>
              <w:t>投标文件中未附有采购人不能接受条件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jc w:val="center"/>
        </w:trPr>
        <w:tc>
          <w:tcPr>
            <w:tcW w:w="1053" w:type="dxa"/>
            <w:vMerge w:val="continue"/>
            <w:vAlign w:val="center"/>
          </w:tcPr>
          <w:p>
            <w:pPr>
              <w:snapToGrid w:val="0"/>
              <w:spacing w:line="360" w:lineRule="auto"/>
              <w:jc w:val="center"/>
              <w:rPr>
                <w:rFonts w:cs="宋体"/>
                <w:sz w:val="21"/>
                <w:szCs w:val="21"/>
                <w:highlight w:val="none"/>
              </w:rPr>
            </w:pPr>
          </w:p>
        </w:tc>
        <w:tc>
          <w:tcPr>
            <w:tcW w:w="1040" w:type="dxa"/>
            <w:vMerge w:val="continue"/>
            <w:vAlign w:val="center"/>
          </w:tcPr>
          <w:p>
            <w:pPr>
              <w:snapToGrid w:val="0"/>
              <w:spacing w:line="360" w:lineRule="auto"/>
              <w:jc w:val="center"/>
              <w:rPr>
                <w:rFonts w:cs="宋体"/>
                <w:sz w:val="21"/>
                <w:szCs w:val="21"/>
                <w:highlight w:val="none"/>
              </w:rPr>
            </w:pPr>
          </w:p>
        </w:tc>
        <w:tc>
          <w:tcPr>
            <w:tcW w:w="1821" w:type="dxa"/>
            <w:vMerge w:val="continue"/>
            <w:vAlign w:val="center"/>
          </w:tcPr>
          <w:p>
            <w:pPr>
              <w:snapToGrid w:val="0"/>
              <w:spacing w:line="360" w:lineRule="auto"/>
              <w:jc w:val="center"/>
              <w:rPr>
                <w:rFonts w:cs="宋体"/>
                <w:sz w:val="21"/>
                <w:szCs w:val="21"/>
                <w:highlight w:val="none"/>
              </w:rPr>
            </w:pPr>
          </w:p>
        </w:tc>
        <w:tc>
          <w:tcPr>
            <w:tcW w:w="6141" w:type="dxa"/>
          </w:tcPr>
          <w:p>
            <w:pPr>
              <w:snapToGrid w:val="0"/>
              <w:spacing w:before="181" w:line="360" w:lineRule="auto"/>
              <w:ind w:left="63"/>
              <w:rPr>
                <w:rFonts w:cs="宋体"/>
                <w:spacing w:val="9"/>
                <w:sz w:val="21"/>
                <w:szCs w:val="21"/>
                <w:highlight w:val="none"/>
              </w:rPr>
            </w:pPr>
            <w:r>
              <w:rPr>
                <w:rFonts w:hint="eastAsia" w:cs="宋体"/>
                <w:spacing w:val="9"/>
                <w:sz w:val="21"/>
                <w:szCs w:val="21"/>
                <w:highlight w:val="none"/>
              </w:rPr>
              <w:t>供应商未出现招标文件中规定无效投标的其他条款</w:t>
            </w:r>
          </w:p>
        </w:tc>
      </w:tr>
    </w:tbl>
    <w:p>
      <w:pPr>
        <w:spacing w:line="360" w:lineRule="auto"/>
        <w:rPr>
          <w:rFonts w:cs="宋体"/>
          <w:sz w:val="21"/>
          <w:szCs w:val="21"/>
          <w:highlight w:val="none"/>
        </w:rPr>
      </w:pPr>
    </w:p>
    <w:p>
      <w:pPr>
        <w:rPr>
          <w:rFonts w:cs="宋体"/>
          <w:highlight w:val="none"/>
        </w:rPr>
        <w:sectPr>
          <w:headerReference r:id="rId10" w:type="default"/>
          <w:footerReference r:id="rId11" w:type="default"/>
          <w:pgSz w:w="11906" w:h="16839"/>
          <w:pgMar w:top="1431" w:right="1785" w:bottom="1171" w:left="1460" w:header="0" w:footer="992" w:gutter="0"/>
          <w:cols w:space="720" w:num="1"/>
        </w:sectPr>
      </w:pPr>
    </w:p>
    <w:p>
      <w:pPr>
        <w:adjustRightInd w:val="0"/>
        <w:snapToGrid w:val="0"/>
        <w:spacing w:line="360" w:lineRule="auto"/>
        <w:jc w:val="center"/>
        <w:rPr>
          <w:rFonts w:cs="宋体"/>
          <w:b/>
          <w:sz w:val="28"/>
          <w:szCs w:val="28"/>
          <w:highlight w:val="none"/>
        </w:rPr>
      </w:pPr>
      <w:r>
        <w:rPr>
          <w:rFonts w:hint="eastAsia" w:cs="宋体"/>
          <w:b/>
          <w:sz w:val="28"/>
          <w:szCs w:val="28"/>
          <w:highlight w:val="none"/>
        </w:rPr>
        <w:t>评审因素及评分标准</w:t>
      </w:r>
    </w:p>
    <w:tbl>
      <w:tblPr>
        <w:tblStyle w:val="35"/>
        <w:tblW w:w="10360" w:type="dxa"/>
        <w:tblInd w:w="-93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6"/>
        <w:gridCol w:w="945"/>
        <w:gridCol w:w="1035"/>
        <w:gridCol w:w="480"/>
        <w:gridCol w:w="69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16" w:type="dxa"/>
            <w:shd w:val="clear" w:color="auto" w:fill="D7D7D7"/>
            <w:noWrap/>
            <w:vAlign w:val="center"/>
          </w:tcPr>
          <w:p>
            <w:pPr>
              <w:snapToGrid w:val="0"/>
              <w:spacing w:line="360" w:lineRule="auto"/>
              <w:jc w:val="center"/>
              <w:rPr>
                <w:rFonts w:cs="宋体"/>
                <w:spacing w:val="-7"/>
                <w:sz w:val="21"/>
                <w:szCs w:val="21"/>
                <w:highlight w:val="none"/>
              </w:rPr>
            </w:pPr>
            <w:r>
              <w:rPr>
                <w:rFonts w:hint="eastAsia" w:cs="宋体"/>
                <w:spacing w:val="-7"/>
                <w:sz w:val="21"/>
                <w:szCs w:val="21"/>
                <w:highlight w:val="none"/>
              </w:rPr>
              <w:t>条款号</w:t>
            </w:r>
          </w:p>
        </w:tc>
        <w:tc>
          <w:tcPr>
            <w:tcW w:w="945" w:type="dxa"/>
            <w:shd w:val="clear" w:color="auto" w:fill="D7D7D7"/>
            <w:noWrap/>
            <w:vAlign w:val="center"/>
          </w:tcPr>
          <w:p>
            <w:pPr>
              <w:snapToGrid w:val="0"/>
              <w:spacing w:line="360" w:lineRule="auto"/>
              <w:jc w:val="center"/>
              <w:rPr>
                <w:rFonts w:cs="宋体"/>
                <w:sz w:val="21"/>
                <w:szCs w:val="21"/>
                <w:highlight w:val="none"/>
              </w:rPr>
            </w:pPr>
            <w:r>
              <w:rPr>
                <w:rFonts w:hint="eastAsia" w:cs="宋体"/>
                <w:spacing w:val="-5"/>
                <w:sz w:val="21"/>
                <w:szCs w:val="21"/>
                <w:highlight w:val="none"/>
              </w:rPr>
              <w:t>评标</w:t>
            </w:r>
            <w:r>
              <w:rPr>
                <w:rFonts w:hint="eastAsia" w:cs="宋体"/>
                <w:spacing w:val="-7"/>
                <w:sz w:val="21"/>
                <w:szCs w:val="21"/>
                <w:highlight w:val="none"/>
              </w:rPr>
              <w:t>项目</w:t>
            </w:r>
          </w:p>
        </w:tc>
        <w:tc>
          <w:tcPr>
            <w:tcW w:w="1515" w:type="dxa"/>
            <w:gridSpan w:val="2"/>
            <w:shd w:val="clear" w:color="auto" w:fill="D7D7D7"/>
            <w:noWrap/>
            <w:vAlign w:val="center"/>
          </w:tcPr>
          <w:p>
            <w:pPr>
              <w:snapToGrid w:val="0"/>
              <w:spacing w:before="212" w:line="360" w:lineRule="auto"/>
              <w:jc w:val="center"/>
              <w:rPr>
                <w:rFonts w:cs="宋体"/>
                <w:spacing w:val="-3"/>
                <w:sz w:val="21"/>
                <w:szCs w:val="21"/>
                <w:highlight w:val="none"/>
              </w:rPr>
            </w:pPr>
            <w:r>
              <w:rPr>
                <w:rFonts w:hint="eastAsia" w:cs="宋体"/>
                <w:spacing w:val="-3"/>
                <w:sz w:val="21"/>
                <w:szCs w:val="21"/>
                <w:highlight w:val="none"/>
              </w:rPr>
              <w:t>评标因素</w:t>
            </w:r>
          </w:p>
        </w:tc>
        <w:tc>
          <w:tcPr>
            <w:tcW w:w="6984" w:type="dxa"/>
            <w:shd w:val="clear" w:color="auto" w:fill="D7D7D7"/>
            <w:noWrap/>
            <w:vAlign w:val="center"/>
          </w:tcPr>
          <w:p>
            <w:pPr>
              <w:snapToGrid w:val="0"/>
              <w:spacing w:before="212" w:line="360" w:lineRule="auto"/>
              <w:jc w:val="center"/>
              <w:rPr>
                <w:rFonts w:cs="宋体"/>
                <w:sz w:val="21"/>
                <w:szCs w:val="21"/>
                <w:highlight w:val="none"/>
              </w:rPr>
            </w:pPr>
            <w:r>
              <w:rPr>
                <w:rFonts w:hint="eastAsia" w:cs="宋体"/>
                <w:spacing w:val="-2"/>
                <w:sz w:val="21"/>
                <w:szCs w:val="21"/>
                <w:highlight w:val="none"/>
              </w:rPr>
              <w:t>评分标准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0" w:hRule="atLeast"/>
        </w:trPr>
        <w:tc>
          <w:tcPr>
            <w:tcW w:w="916" w:type="dxa"/>
            <w:noWrap/>
            <w:vAlign w:val="center"/>
          </w:tcPr>
          <w:p>
            <w:pPr>
              <w:snapToGrid w:val="0"/>
              <w:spacing w:before="239" w:line="360" w:lineRule="auto"/>
              <w:jc w:val="center"/>
              <w:rPr>
                <w:rFonts w:cs="宋体"/>
                <w:spacing w:val="-6"/>
                <w:sz w:val="21"/>
                <w:szCs w:val="21"/>
                <w:highlight w:val="none"/>
              </w:rPr>
            </w:pPr>
            <w:r>
              <w:rPr>
                <w:rFonts w:hint="eastAsia" w:cs="宋体"/>
                <w:spacing w:val="-6"/>
                <w:sz w:val="21"/>
                <w:szCs w:val="21"/>
                <w:highlight w:val="none"/>
              </w:rPr>
              <w:t>2.2.1</w:t>
            </w:r>
          </w:p>
        </w:tc>
        <w:tc>
          <w:tcPr>
            <w:tcW w:w="2460" w:type="dxa"/>
            <w:gridSpan w:val="3"/>
            <w:noWrap/>
            <w:vAlign w:val="center"/>
          </w:tcPr>
          <w:p>
            <w:pPr>
              <w:snapToGrid w:val="0"/>
              <w:spacing w:before="51" w:line="360" w:lineRule="auto"/>
              <w:ind w:left="64"/>
              <w:jc w:val="center"/>
              <w:rPr>
                <w:rFonts w:cs="宋体"/>
                <w:sz w:val="21"/>
                <w:szCs w:val="21"/>
                <w:highlight w:val="none"/>
                <w:lang w:eastAsia="en-US"/>
              </w:rPr>
            </w:pPr>
            <w:r>
              <w:rPr>
                <w:rFonts w:hint="eastAsia" w:cs="宋体"/>
                <w:spacing w:val="6"/>
                <w:sz w:val="21"/>
                <w:szCs w:val="21"/>
                <w:highlight w:val="none"/>
                <w:lang w:eastAsia="en-US"/>
              </w:rPr>
              <w:t>分值构成</w:t>
            </w:r>
          </w:p>
          <w:p>
            <w:pPr>
              <w:snapToGrid w:val="0"/>
              <w:spacing w:before="65" w:line="360" w:lineRule="auto"/>
              <w:ind w:left="72"/>
              <w:jc w:val="center"/>
              <w:rPr>
                <w:rFonts w:cs="宋体"/>
                <w:spacing w:val="-3"/>
                <w:sz w:val="21"/>
                <w:szCs w:val="21"/>
                <w:highlight w:val="none"/>
                <w:lang w:eastAsia="en-US"/>
              </w:rPr>
            </w:pPr>
            <w:r>
              <w:rPr>
                <w:rFonts w:hint="eastAsia" w:cs="宋体"/>
                <w:sz w:val="21"/>
                <w:szCs w:val="21"/>
                <w:highlight w:val="none"/>
                <w:lang w:eastAsia="en-US"/>
              </w:rPr>
              <w:t>（总分100分）</w:t>
            </w:r>
          </w:p>
        </w:tc>
        <w:tc>
          <w:tcPr>
            <w:tcW w:w="6984" w:type="dxa"/>
            <w:noWrap/>
            <w:vAlign w:val="center"/>
          </w:tcPr>
          <w:p>
            <w:pPr>
              <w:snapToGrid w:val="0"/>
              <w:spacing w:before="51" w:line="360" w:lineRule="auto"/>
              <w:ind w:left="67" w:right="2" w:hanging="3"/>
              <w:jc w:val="left"/>
              <w:rPr>
                <w:rFonts w:cs="宋体"/>
                <w:spacing w:val="-1"/>
                <w:sz w:val="21"/>
                <w:szCs w:val="21"/>
                <w:highlight w:val="none"/>
              </w:rPr>
            </w:pPr>
            <w:r>
              <w:rPr>
                <w:rFonts w:hint="eastAsia" w:cs="宋体"/>
                <w:spacing w:val="-4"/>
                <w:sz w:val="21"/>
                <w:szCs w:val="21"/>
                <w:highlight w:val="none"/>
              </w:rPr>
              <w:t>价格分值为20分，</w:t>
            </w:r>
            <w:r>
              <w:rPr>
                <w:rFonts w:hint="eastAsia" w:cs="宋体"/>
                <w:spacing w:val="3"/>
                <w:sz w:val="21"/>
                <w:szCs w:val="21"/>
                <w:highlight w:val="none"/>
              </w:rPr>
              <w:t>商务部分</w:t>
            </w:r>
            <w:r>
              <w:rPr>
                <w:rFonts w:hint="eastAsia" w:cs="宋体"/>
                <w:spacing w:val="-34"/>
                <w:sz w:val="21"/>
                <w:szCs w:val="21"/>
                <w:highlight w:val="none"/>
              </w:rPr>
              <w:t>30</w:t>
            </w:r>
            <w:r>
              <w:rPr>
                <w:rFonts w:hint="eastAsia" w:cs="宋体"/>
                <w:spacing w:val="3"/>
                <w:sz w:val="21"/>
                <w:szCs w:val="21"/>
                <w:highlight w:val="none"/>
              </w:rPr>
              <w:t>分，技术部分50分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3" w:hRule="atLeast"/>
        </w:trPr>
        <w:tc>
          <w:tcPr>
            <w:tcW w:w="916" w:type="dxa"/>
            <w:tcBorders>
              <w:bottom w:val="single" w:color="auto" w:sz="4" w:space="0"/>
            </w:tcBorders>
            <w:noWrap/>
            <w:vAlign w:val="center"/>
          </w:tcPr>
          <w:p>
            <w:pPr>
              <w:snapToGrid w:val="0"/>
              <w:spacing w:before="56" w:line="360" w:lineRule="auto"/>
              <w:ind w:left="163" w:right="134" w:firstLine="9"/>
              <w:jc w:val="center"/>
              <w:rPr>
                <w:rFonts w:cs="宋体"/>
                <w:spacing w:val="-6"/>
                <w:sz w:val="21"/>
                <w:szCs w:val="21"/>
                <w:highlight w:val="none"/>
              </w:rPr>
            </w:pPr>
            <w:r>
              <w:rPr>
                <w:rFonts w:hint="eastAsia" w:cs="宋体"/>
                <w:spacing w:val="2"/>
                <w:sz w:val="21"/>
                <w:szCs w:val="21"/>
                <w:highlight w:val="none"/>
              </w:rPr>
              <w:t>2.2.2</w:t>
            </w:r>
          </w:p>
        </w:tc>
        <w:tc>
          <w:tcPr>
            <w:tcW w:w="945" w:type="dxa"/>
            <w:tcBorders>
              <w:bottom w:val="single" w:color="auto" w:sz="4" w:space="0"/>
            </w:tcBorders>
            <w:noWrap/>
            <w:vAlign w:val="center"/>
          </w:tcPr>
          <w:p>
            <w:pPr>
              <w:snapToGrid w:val="0"/>
              <w:spacing w:before="56" w:line="360" w:lineRule="auto"/>
              <w:ind w:left="163" w:right="134" w:firstLine="9"/>
              <w:jc w:val="center"/>
              <w:rPr>
                <w:rFonts w:cs="宋体"/>
                <w:spacing w:val="-6"/>
                <w:sz w:val="21"/>
                <w:szCs w:val="21"/>
                <w:highlight w:val="none"/>
              </w:rPr>
            </w:pPr>
            <w:r>
              <w:rPr>
                <w:rFonts w:hint="eastAsia" w:cs="宋体"/>
                <w:spacing w:val="-6"/>
                <w:sz w:val="21"/>
                <w:szCs w:val="21"/>
                <w:highlight w:val="none"/>
              </w:rPr>
              <w:t>价格</w:t>
            </w:r>
          </w:p>
          <w:p>
            <w:pPr>
              <w:snapToGrid w:val="0"/>
              <w:spacing w:before="56" w:line="360" w:lineRule="auto"/>
              <w:ind w:left="163" w:right="134" w:firstLine="9"/>
              <w:jc w:val="center"/>
              <w:rPr>
                <w:rFonts w:cs="宋体"/>
                <w:spacing w:val="-6"/>
                <w:sz w:val="21"/>
                <w:szCs w:val="21"/>
                <w:highlight w:val="none"/>
              </w:rPr>
            </w:pPr>
            <w:r>
              <w:rPr>
                <w:rFonts w:hint="eastAsia" w:cs="宋体"/>
                <w:spacing w:val="-6"/>
                <w:sz w:val="21"/>
                <w:szCs w:val="21"/>
                <w:highlight w:val="none"/>
              </w:rPr>
              <w:t>部分</w:t>
            </w:r>
          </w:p>
          <w:p>
            <w:pPr>
              <w:snapToGrid w:val="0"/>
              <w:spacing w:before="56" w:line="360" w:lineRule="auto"/>
              <w:ind w:left="163" w:right="134" w:firstLine="9"/>
              <w:jc w:val="center"/>
              <w:rPr>
                <w:rFonts w:cs="宋体"/>
                <w:spacing w:val="-6"/>
                <w:sz w:val="21"/>
                <w:szCs w:val="21"/>
                <w:highlight w:val="none"/>
              </w:rPr>
            </w:pPr>
            <w:r>
              <w:rPr>
                <w:rFonts w:hint="eastAsia" w:cs="宋体"/>
                <w:spacing w:val="-6"/>
                <w:sz w:val="21"/>
                <w:szCs w:val="21"/>
                <w:highlight w:val="none"/>
              </w:rPr>
              <w:t>20 分</w:t>
            </w:r>
          </w:p>
        </w:tc>
        <w:tc>
          <w:tcPr>
            <w:tcW w:w="1035" w:type="dxa"/>
            <w:tcBorders>
              <w:bottom w:val="single" w:color="auto" w:sz="4" w:space="0"/>
            </w:tcBorders>
            <w:noWrap/>
            <w:vAlign w:val="center"/>
          </w:tcPr>
          <w:p>
            <w:pPr>
              <w:snapToGrid w:val="0"/>
              <w:spacing w:before="126" w:line="360" w:lineRule="auto"/>
              <w:ind w:firstLine="139"/>
              <w:jc w:val="center"/>
              <w:rPr>
                <w:rFonts w:cs="宋体"/>
                <w:spacing w:val="-3"/>
                <w:sz w:val="21"/>
                <w:szCs w:val="21"/>
                <w:highlight w:val="none"/>
              </w:rPr>
            </w:pPr>
            <w:r>
              <w:rPr>
                <w:rFonts w:hint="eastAsia" w:cs="宋体"/>
                <w:spacing w:val="-3"/>
                <w:sz w:val="21"/>
                <w:szCs w:val="21"/>
                <w:highlight w:val="none"/>
              </w:rPr>
              <w:t>投标</w:t>
            </w:r>
          </w:p>
          <w:p>
            <w:pPr>
              <w:snapToGrid w:val="0"/>
              <w:spacing w:before="126" w:line="360" w:lineRule="auto"/>
              <w:ind w:firstLine="139"/>
              <w:jc w:val="center"/>
              <w:rPr>
                <w:rFonts w:cs="宋体"/>
                <w:sz w:val="21"/>
                <w:szCs w:val="21"/>
                <w:highlight w:val="none"/>
              </w:rPr>
            </w:pPr>
            <w:r>
              <w:rPr>
                <w:rFonts w:hint="eastAsia" w:cs="宋体"/>
                <w:spacing w:val="-3"/>
                <w:sz w:val="21"/>
                <w:szCs w:val="21"/>
                <w:highlight w:val="none"/>
              </w:rPr>
              <w:t>报价</w:t>
            </w:r>
          </w:p>
        </w:tc>
        <w:tc>
          <w:tcPr>
            <w:tcW w:w="480" w:type="dxa"/>
            <w:noWrap/>
            <w:vAlign w:val="center"/>
          </w:tcPr>
          <w:p>
            <w:pPr>
              <w:snapToGrid w:val="0"/>
              <w:spacing w:before="157" w:line="360" w:lineRule="auto"/>
              <w:jc w:val="center"/>
              <w:rPr>
                <w:rFonts w:cs="宋体"/>
                <w:spacing w:val="-3"/>
                <w:sz w:val="21"/>
                <w:szCs w:val="21"/>
                <w:highlight w:val="none"/>
              </w:rPr>
            </w:pPr>
            <w:r>
              <w:rPr>
                <w:rFonts w:hint="eastAsia" w:cs="宋体"/>
                <w:spacing w:val="-10"/>
                <w:w w:val="98"/>
                <w:sz w:val="21"/>
                <w:szCs w:val="21"/>
                <w:highlight w:val="none"/>
              </w:rPr>
              <w:t>20</w:t>
            </w:r>
          </w:p>
        </w:tc>
        <w:tc>
          <w:tcPr>
            <w:tcW w:w="6984" w:type="dxa"/>
            <w:noWrap/>
            <w:vAlign w:val="center"/>
          </w:tcPr>
          <w:p>
            <w:pPr>
              <w:snapToGrid w:val="0"/>
              <w:spacing w:line="360" w:lineRule="auto"/>
              <w:jc w:val="left"/>
              <w:rPr>
                <w:rFonts w:cs="宋体"/>
                <w:sz w:val="21"/>
                <w:szCs w:val="21"/>
                <w:highlight w:val="none"/>
              </w:rPr>
            </w:pPr>
            <w:r>
              <w:rPr>
                <w:rFonts w:hint="eastAsia" w:cs="宋体"/>
                <w:spacing w:val="-1"/>
                <w:sz w:val="21"/>
                <w:szCs w:val="21"/>
                <w:highlight w:val="none"/>
              </w:rPr>
              <w:t>价格分统一采用</w:t>
            </w:r>
            <w:r>
              <w:rPr>
                <w:rFonts w:hint="eastAsia" w:cs="宋体"/>
                <w:b/>
                <w:bCs/>
                <w:spacing w:val="-1"/>
                <w:sz w:val="21"/>
                <w:szCs w:val="21"/>
                <w:highlight w:val="none"/>
              </w:rPr>
              <w:t>低价优先法计算</w:t>
            </w:r>
            <w:r>
              <w:rPr>
                <w:rFonts w:hint="eastAsia" w:cs="宋体"/>
                <w:spacing w:val="-1"/>
                <w:sz w:val="21"/>
                <w:szCs w:val="21"/>
                <w:highlight w:val="none"/>
              </w:rPr>
              <w:t>，即满足招标文件要求且投标报价最低的为评标基准价，其价格分为满分。其他供应商的价格分统一按照下列公式计算：投标报价得分=(评标基准价／投标报价)×20。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3" w:hRule="atLeast"/>
        </w:trPr>
        <w:tc>
          <w:tcPr>
            <w:tcW w:w="916" w:type="dxa"/>
            <w:vMerge w:val="restart"/>
            <w:tcBorders>
              <w:top w:val="single" w:color="auto" w:sz="4" w:space="0"/>
              <w:left w:val="single" w:color="auto" w:sz="4" w:space="0"/>
              <w:right w:val="single" w:color="auto" w:sz="4" w:space="0"/>
            </w:tcBorders>
            <w:noWrap/>
            <w:vAlign w:val="center"/>
          </w:tcPr>
          <w:p>
            <w:pPr>
              <w:snapToGrid w:val="0"/>
              <w:spacing w:before="56" w:line="360" w:lineRule="auto"/>
              <w:ind w:left="163" w:right="134" w:firstLine="9"/>
              <w:jc w:val="center"/>
              <w:rPr>
                <w:rFonts w:cs="宋体"/>
                <w:spacing w:val="-6"/>
                <w:sz w:val="21"/>
                <w:szCs w:val="21"/>
                <w:highlight w:val="none"/>
              </w:rPr>
            </w:pPr>
            <w:r>
              <w:rPr>
                <w:rFonts w:hint="eastAsia" w:cs="宋体"/>
                <w:spacing w:val="-6"/>
                <w:sz w:val="21"/>
                <w:szCs w:val="21"/>
                <w:highlight w:val="none"/>
              </w:rPr>
              <w:t>2.2.3</w:t>
            </w:r>
          </w:p>
        </w:tc>
        <w:tc>
          <w:tcPr>
            <w:tcW w:w="945" w:type="dxa"/>
            <w:vMerge w:val="restart"/>
            <w:tcBorders>
              <w:top w:val="single" w:color="auto" w:sz="4" w:space="0"/>
              <w:left w:val="single" w:color="auto" w:sz="4" w:space="0"/>
              <w:right w:val="single" w:color="auto" w:sz="4" w:space="0"/>
            </w:tcBorders>
            <w:noWrap/>
            <w:vAlign w:val="center"/>
          </w:tcPr>
          <w:p>
            <w:pPr>
              <w:snapToGrid w:val="0"/>
              <w:spacing w:before="56" w:line="360" w:lineRule="auto"/>
              <w:ind w:right="134"/>
              <w:jc w:val="center"/>
              <w:rPr>
                <w:rFonts w:cs="宋体"/>
                <w:spacing w:val="-6"/>
                <w:sz w:val="21"/>
                <w:szCs w:val="21"/>
                <w:highlight w:val="none"/>
              </w:rPr>
            </w:pPr>
            <w:r>
              <w:rPr>
                <w:rFonts w:hint="eastAsia" w:cs="宋体"/>
                <w:spacing w:val="-6"/>
                <w:sz w:val="21"/>
                <w:szCs w:val="21"/>
                <w:highlight w:val="none"/>
              </w:rPr>
              <w:t>商务部分</w:t>
            </w:r>
          </w:p>
          <w:p>
            <w:pPr>
              <w:snapToGrid w:val="0"/>
              <w:spacing w:before="56" w:line="360" w:lineRule="auto"/>
              <w:ind w:left="163" w:right="134" w:firstLine="9"/>
              <w:jc w:val="center"/>
              <w:rPr>
                <w:rFonts w:cs="宋体"/>
                <w:spacing w:val="-6"/>
                <w:sz w:val="21"/>
                <w:szCs w:val="21"/>
                <w:highlight w:val="none"/>
              </w:rPr>
            </w:pPr>
            <w:r>
              <w:rPr>
                <w:rFonts w:hint="eastAsia" w:cs="宋体"/>
                <w:spacing w:val="-6"/>
                <w:sz w:val="21"/>
                <w:szCs w:val="21"/>
                <w:highlight w:val="none"/>
              </w:rPr>
              <w:t>30分</w:t>
            </w:r>
          </w:p>
        </w:tc>
        <w:tc>
          <w:tcPr>
            <w:tcW w:w="1035" w:type="dxa"/>
            <w:tcBorders>
              <w:top w:val="single" w:color="auto" w:sz="4" w:space="0"/>
              <w:left w:val="single" w:color="auto" w:sz="4" w:space="0"/>
              <w:bottom w:val="single" w:color="auto" w:sz="4" w:space="0"/>
              <w:right w:val="single" w:color="auto" w:sz="4" w:space="0"/>
            </w:tcBorders>
            <w:noWrap/>
            <w:vAlign w:val="center"/>
          </w:tcPr>
          <w:p>
            <w:pPr>
              <w:autoSpaceDE w:val="0"/>
              <w:autoSpaceDN w:val="0"/>
              <w:snapToGrid w:val="0"/>
              <w:spacing w:line="360" w:lineRule="auto"/>
              <w:jc w:val="center"/>
              <w:rPr>
                <w:rFonts w:cs="宋体"/>
                <w:kern w:val="0"/>
                <w:sz w:val="21"/>
                <w:szCs w:val="21"/>
                <w:highlight w:val="none"/>
                <w:lang w:eastAsia="en-US"/>
              </w:rPr>
            </w:pPr>
            <w:r>
              <w:rPr>
                <w:rFonts w:hint="eastAsia" w:cs="宋体"/>
                <w:kern w:val="0"/>
                <w:sz w:val="21"/>
                <w:szCs w:val="21"/>
                <w:highlight w:val="none"/>
                <w:lang w:val="zh-CN" w:bidi="zh-CN"/>
              </w:rPr>
              <w:t>类似项目</w:t>
            </w:r>
            <w:r>
              <w:rPr>
                <w:rFonts w:hint="eastAsia" w:cs="宋体"/>
                <w:kern w:val="0"/>
                <w:sz w:val="21"/>
                <w:szCs w:val="21"/>
                <w:highlight w:val="none"/>
                <w:lang w:bidi="zh-CN"/>
              </w:rPr>
              <w:t>业绩</w:t>
            </w:r>
          </w:p>
        </w:tc>
        <w:tc>
          <w:tcPr>
            <w:tcW w:w="480" w:type="dxa"/>
            <w:tcBorders>
              <w:left w:val="single" w:color="auto" w:sz="4" w:space="0"/>
              <w:bottom w:val="single" w:color="auto" w:sz="4" w:space="0"/>
            </w:tcBorders>
            <w:noWrap/>
            <w:vAlign w:val="center"/>
          </w:tcPr>
          <w:p>
            <w:pPr>
              <w:snapToGrid w:val="0"/>
              <w:spacing w:before="75" w:line="360" w:lineRule="auto"/>
              <w:jc w:val="center"/>
              <w:rPr>
                <w:rFonts w:cs="宋体"/>
                <w:sz w:val="21"/>
                <w:szCs w:val="21"/>
                <w:highlight w:val="none"/>
                <w:lang w:val="zh-CN" w:bidi="zh-CN"/>
              </w:rPr>
            </w:pPr>
            <w:r>
              <w:rPr>
                <w:rFonts w:hint="eastAsia" w:cs="宋体"/>
                <w:spacing w:val="-10"/>
                <w:w w:val="98"/>
                <w:sz w:val="21"/>
                <w:szCs w:val="21"/>
                <w:highlight w:val="none"/>
              </w:rPr>
              <w:t>4</w:t>
            </w:r>
          </w:p>
        </w:tc>
        <w:tc>
          <w:tcPr>
            <w:tcW w:w="6984" w:type="dxa"/>
            <w:tcBorders>
              <w:bottom w:val="single" w:color="auto" w:sz="4" w:space="0"/>
            </w:tcBorders>
            <w:noWrap/>
          </w:tcPr>
          <w:p>
            <w:pPr>
              <w:snapToGrid w:val="0"/>
              <w:spacing w:line="360" w:lineRule="auto"/>
              <w:rPr>
                <w:rFonts w:cs="宋体"/>
                <w:sz w:val="21"/>
                <w:szCs w:val="21"/>
                <w:highlight w:val="none"/>
              </w:rPr>
            </w:pPr>
            <w:r>
              <w:rPr>
                <w:rFonts w:hint="eastAsia" w:cs="宋体"/>
                <w:sz w:val="21"/>
                <w:szCs w:val="21"/>
                <w:highlight w:val="none"/>
              </w:rPr>
              <w:t>（1）供应商近三年（2022 年7月至今）服务的类似项目（类似项目：食堂餐饮服务项目），每一项得 1 分，最高分为4分。</w:t>
            </w:r>
          </w:p>
          <w:p>
            <w:pPr>
              <w:snapToGrid w:val="0"/>
              <w:spacing w:line="360" w:lineRule="auto"/>
              <w:rPr>
                <w:rFonts w:cs="宋体"/>
                <w:sz w:val="21"/>
                <w:szCs w:val="21"/>
                <w:highlight w:val="none"/>
              </w:rPr>
            </w:pPr>
            <w:r>
              <w:rPr>
                <w:rFonts w:hint="eastAsia" w:cs="宋体"/>
                <w:sz w:val="21"/>
                <w:szCs w:val="21"/>
                <w:highlight w:val="none"/>
              </w:rPr>
              <w:t>注：业绩证明材料以业绩合同和中标通知书，或者业绩合同和所对应的增值税发票为准。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1" w:hRule="atLeast"/>
        </w:trPr>
        <w:tc>
          <w:tcPr>
            <w:tcW w:w="916" w:type="dxa"/>
            <w:vMerge w:val="continue"/>
            <w:tcBorders>
              <w:left w:val="single" w:color="auto" w:sz="4" w:space="0"/>
              <w:right w:val="single" w:color="auto" w:sz="4" w:space="0"/>
            </w:tcBorders>
            <w:noWrap/>
          </w:tcPr>
          <w:p>
            <w:pPr>
              <w:snapToGrid w:val="0"/>
              <w:spacing w:before="56" w:line="360" w:lineRule="auto"/>
              <w:ind w:left="163" w:right="134" w:firstLine="9"/>
              <w:rPr>
                <w:rFonts w:cs="宋体"/>
                <w:spacing w:val="-6"/>
                <w:sz w:val="21"/>
                <w:szCs w:val="21"/>
                <w:highlight w:val="none"/>
              </w:rPr>
            </w:pPr>
          </w:p>
        </w:tc>
        <w:tc>
          <w:tcPr>
            <w:tcW w:w="945" w:type="dxa"/>
            <w:vMerge w:val="continue"/>
            <w:tcBorders>
              <w:left w:val="single" w:color="auto" w:sz="4" w:space="0"/>
              <w:right w:val="single" w:color="auto" w:sz="4" w:space="0"/>
            </w:tcBorders>
            <w:noWrap/>
          </w:tcPr>
          <w:p>
            <w:pPr>
              <w:snapToGrid w:val="0"/>
              <w:spacing w:before="56" w:line="360" w:lineRule="auto"/>
              <w:ind w:left="163" w:right="134" w:firstLine="9"/>
              <w:rPr>
                <w:rFonts w:cs="宋体"/>
                <w:spacing w:val="-6"/>
                <w:sz w:val="21"/>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cs="宋体"/>
                <w:kern w:val="0"/>
                <w:sz w:val="21"/>
                <w:szCs w:val="21"/>
                <w:highlight w:val="none"/>
              </w:rPr>
            </w:pPr>
            <w:r>
              <w:rPr>
                <w:rFonts w:hint="eastAsia" w:cs="宋体"/>
                <w:kern w:val="0"/>
                <w:sz w:val="21"/>
                <w:szCs w:val="21"/>
                <w:highlight w:val="none"/>
              </w:rPr>
              <w:t>专业人员</w:t>
            </w:r>
          </w:p>
          <w:p>
            <w:pPr>
              <w:widowControl/>
              <w:snapToGrid w:val="0"/>
              <w:spacing w:line="360" w:lineRule="auto"/>
              <w:jc w:val="center"/>
              <w:rPr>
                <w:rFonts w:cs="宋体"/>
                <w:spacing w:val="-5"/>
                <w:sz w:val="21"/>
                <w:szCs w:val="21"/>
                <w:highlight w:val="none"/>
              </w:rPr>
            </w:pPr>
            <w:r>
              <w:rPr>
                <w:rFonts w:hint="eastAsia" w:cs="宋体"/>
                <w:kern w:val="0"/>
                <w:sz w:val="21"/>
                <w:szCs w:val="21"/>
                <w:highlight w:val="none"/>
              </w:rPr>
              <w:t>配备</w:t>
            </w:r>
          </w:p>
        </w:tc>
        <w:tc>
          <w:tcPr>
            <w:tcW w:w="480" w:type="dxa"/>
            <w:tcBorders>
              <w:top w:val="single" w:color="auto" w:sz="4" w:space="0"/>
              <w:left w:val="single" w:color="auto" w:sz="4" w:space="0"/>
              <w:bottom w:val="single" w:color="auto" w:sz="4" w:space="0"/>
            </w:tcBorders>
            <w:noWrap/>
            <w:vAlign w:val="center"/>
          </w:tcPr>
          <w:p>
            <w:pPr>
              <w:snapToGrid w:val="0"/>
              <w:spacing w:before="296" w:line="360" w:lineRule="auto"/>
              <w:jc w:val="center"/>
              <w:rPr>
                <w:rFonts w:cs="宋体"/>
                <w:kern w:val="0"/>
                <w:sz w:val="21"/>
                <w:szCs w:val="21"/>
                <w:highlight w:val="none"/>
              </w:rPr>
            </w:pPr>
            <w:r>
              <w:rPr>
                <w:rFonts w:hint="eastAsia" w:cs="宋体"/>
                <w:sz w:val="21"/>
                <w:szCs w:val="21"/>
                <w:highlight w:val="none"/>
              </w:rPr>
              <w:t>12</w:t>
            </w:r>
          </w:p>
        </w:tc>
        <w:tc>
          <w:tcPr>
            <w:tcW w:w="6984" w:type="dxa"/>
            <w:tcBorders>
              <w:top w:val="single" w:color="auto" w:sz="4" w:space="0"/>
              <w:bottom w:val="single" w:color="auto" w:sz="4" w:space="0"/>
            </w:tcBorders>
            <w:noWrap/>
          </w:tcPr>
          <w:p>
            <w:pPr>
              <w:snapToGrid w:val="0"/>
              <w:spacing w:line="360" w:lineRule="auto"/>
              <w:rPr>
                <w:rFonts w:cs="宋体"/>
                <w:sz w:val="21"/>
                <w:szCs w:val="21"/>
                <w:highlight w:val="none"/>
              </w:rPr>
            </w:pPr>
            <w:r>
              <w:rPr>
                <w:rFonts w:hint="eastAsia" w:cs="宋体"/>
                <w:sz w:val="21"/>
                <w:szCs w:val="21"/>
                <w:highlight w:val="none"/>
              </w:rPr>
              <w:t>（1）拟派本项目人员上岗须配备有国家行业职业资格证书，有“三级以上含三级中式烹调师资格证书”5名以上的得5分（含5名），不满5名的得2分，未提供不得分，最高得5分。</w:t>
            </w:r>
          </w:p>
          <w:p>
            <w:pPr>
              <w:snapToGrid w:val="0"/>
              <w:spacing w:line="360" w:lineRule="auto"/>
              <w:rPr>
                <w:rFonts w:cs="宋体"/>
                <w:sz w:val="21"/>
                <w:szCs w:val="21"/>
                <w:highlight w:val="none"/>
              </w:rPr>
            </w:pPr>
            <w:r>
              <w:rPr>
                <w:rFonts w:hint="eastAsia" w:cs="宋体"/>
                <w:sz w:val="21"/>
                <w:szCs w:val="21"/>
                <w:highlight w:val="none"/>
              </w:rPr>
              <w:t>（2）拟派本项目人员上岗须配备有国家行业职业资格证书，有“三级以上含三级中式面点师资格证书”5名以上的得5分（含5名），不满5名的得3分，未提供不得分，最高得5分。</w:t>
            </w:r>
          </w:p>
          <w:p>
            <w:pPr>
              <w:snapToGrid w:val="0"/>
              <w:spacing w:line="360" w:lineRule="auto"/>
              <w:rPr>
                <w:rFonts w:cs="宋体"/>
                <w:sz w:val="21"/>
                <w:szCs w:val="21"/>
                <w:highlight w:val="none"/>
              </w:rPr>
            </w:pPr>
            <w:r>
              <w:rPr>
                <w:rFonts w:hint="eastAsia" w:cs="宋体"/>
                <w:sz w:val="21"/>
                <w:szCs w:val="21"/>
                <w:highlight w:val="none"/>
              </w:rPr>
              <w:t>（3）拟派本项目人员上岗须配备有国家行业职业资格证书，有公共营养师证书的得 1 分，有食品安全员证书的得 1分，未提供不得分，最高得2分。</w:t>
            </w:r>
          </w:p>
          <w:p>
            <w:pPr>
              <w:snapToGrid w:val="0"/>
              <w:spacing w:line="360" w:lineRule="auto"/>
              <w:rPr>
                <w:rFonts w:cs="宋体"/>
                <w:spacing w:val="-7"/>
                <w:sz w:val="21"/>
                <w:szCs w:val="21"/>
                <w:highlight w:val="none"/>
              </w:rPr>
            </w:pPr>
            <w:r>
              <w:rPr>
                <w:rFonts w:hint="eastAsia" w:cs="宋体"/>
                <w:sz w:val="21"/>
                <w:szCs w:val="21"/>
                <w:highlight w:val="none"/>
              </w:rPr>
              <w:t>注：提供投标供应商专业人员证书的须同时提供该员工投标截止日期前6个月任意三个月（不含投标截止当月）的社保证明材料，投标文件中附复印件。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6" w:hRule="atLeast"/>
        </w:trPr>
        <w:tc>
          <w:tcPr>
            <w:tcW w:w="916" w:type="dxa"/>
            <w:vMerge w:val="continue"/>
            <w:tcBorders>
              <w:left w:val="single" w:color="auto" w:sz="4" w:space="0"/>
              <w:right w:val="single" w:color="auto" w:sz="4" w:space="0"/>
            </w:tcBorders>
            <w:noWrap/>
          </w:tcPr>
          <w:p>
            <w:pPr>
              <w:snapToGrid w:val="0"/>
              <w:spacing w:before="56" w:line="360" w:lineRule="auto"/>
              <w:ind w:left="163" w:right="134" w:firstLine="9"/>
              <w:rPr>
                <w:rFonts w:cs="宋体"/>
                <w:spacing w:val="-6"/>
                <w:sz w:val="21"/>
                <w:szCs w:val="21"/>
                <w:highlight w:val="none"/>
              </w:rPr>
            </w:pPr>
          </w:p>
        </w:tc>
        <w:tc>
          <w:tcPr>
            <w:tcW w:w="945" w:type="dxa"/>
            <w:vMerge w:val="continue"/>
            <w:tcBorders>
              <w:left w:val="single" w:color="auto" w:sz="4" w:space="0"/>
              <w:right w:val="single" w:color="auto" w:sz="4" w:space="0"/>
            </w:tcBorders>
            <w:noWrap/>
          </w:tcPr>
          <w:p>
            <w:pPr>
              <w:snapToGrid w:val="0"/>
              <w:spacing w:before="56" w:line="360" w:lineRule="auto"/>
              <w:ind w:left="163" w:right="134" w:firstLine="9"/>
              <w:rPr>
                <w:rFonts w:cs="宋体"/>
                <w:spacing w:val="-6"/>
                <w:sz w:val="21"/>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cs="宋体"/>
                <w:kern w:val="0"/>
                <w:sz w:val="21"/>
                <w:szCs w:val="21"/>
                <w:highlight w:val="none"/>
              </w:rPr>
            </w:pPr>
            <w:r>
              <w:rPr>
                <w:rFonts w:hint="eastAsia" w:cs="宋体"/>
                <w:kern w:val="0"/>
                <w:sz w:val="21"/>
                <w:szCs w:val="21"/>
                <w:highlight w:val="none"/>
              </w:rPr>
              <w:t>项目负责人能力</w:t>
            </w:r>
          </w:p>
        </w:tc>
        <w:tc>
          <w:tcPr>
            <w:tcW w:w="480" w:type="dxa"/>
            <w:tcBorders>
              <w:top w:val="single" w:color="auto" w:sz="4" w:space="0"/>
              <w:left w:val="single" w:color="auto" w:sz="4" w:space="0"/>
            </w:tcBorders>
            <w:noWrap/>
            <w:vAlign w:val="center"/>
          </w:tcPr>
          <w:p>
            <w:pPr>
              <w:snapToGrid w:val="0"/>
              <w:spacing w:before="296" w:line="360" w:lineRule="auto"/>
              <w:jc w:val="center"/>
              <w:rPr>
                <w:rFonts w:cs="宋体"/>
                <w:kern w:val="0"/>
                <w:sz w:val="21"/>
                <w:szCs w:val="21"/>
                <w:highlight w:val="none"/>
              </w:rPr>
            </w:pPr>
            <w:r>
              <w:rPr>
                <w:rFonts w:hint="eastAsia" w:cs="宋体"/>
                <w:sz w:val="21"/>
                <w:szCs w:val="21"/>
                <w:highlight w:val="none"/>
              </w:rPr>
              <w:t>5</w:t>
            </w:r>
          </w:p>
        </w:tc>
        <w:tc>
          <w:tcPr>
            <w:tcW w:w="6984" w:type="dxa"/>
            <w:tcBorders>
              <w:top w:val="single" w:color="auto" w:sz="4" w:space="0"/>
            </w:tcBorders>
            <w:noWrap/>
          </w:tcPr>
          <w:p>
            <w:pPr>
              <w:snapToGrid w:val="0"/>
              <w:spacing w:line="360" w:lineRule="auto"/>
              <w:rPr>
                <w:rFonts w:cs="宋体"/>
                <w:sz w:val="21"/>
                <w:szCs w:val="21"/>
                <w:highlight w:val="none"/>
              </w:rPr>
            </w:pPr>
            <w:r>
              <w:rPr>
                <w:rFonts w:hint="eastAsia" w:cs="宋体"/>
                <w:sz w:val="21"/>
                <w:szCs w:val="21"/>
                <w:highlight w:val="none"/>
              </w:rPr>
              <w:t>（1）拟派本项目负责人同时配备有国家餐饮行业“高级职业经理人”、“高级食品安全管理师”、“公共营养师”、“中式烹调师（三级以上）”、“厨政管理”、“营养配餐”证书的，得5分，未提供或提供不全不得分。</w:t>
            </w:r>
          </w:p>
          <w:p>
            <w:pPr>
              <w:snapToGrid w:val="0"/>
              <w:spacing w:line="360" w:lineRule="auto"/>
              <w:rPr>
                <w:rFonts w:cs="宋体"/>
                <w:sz w:val="21"/>
                <w:szCs w:val="21"/>
                <w:highlight w:val="none"/>
              </w:rPr>
            </w:pPr>
            <w:r>
              <w:rPr>
                <w:rFonts w:hint="eastAsia" w:cs="宋体"/>
                <w:sz w:val="21"/>
                <w:szCs w:val="21"/>
                <w:highlight w:val="none"/>
              </w:rPr>
              <w:t>注：提供投标供应商项目负责人证书的须同时提供该项目负责人投标截止日期前6个月任意三个月（不含投标截止当月）的社保证明材料，投标文件中附复印件。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916" w:type="dxa"/>
            <w:vMerge w:val="continue"/>
            <w:tcBorders>
              <w:left w:val="single" w:color="auto" w:sz="4" w:space="0"/>
              <w:right w:val="single" w:color="auto" w:sz="4" w:space="0"/>
            </w:tcBorders>
            <w:noWrap/>
          </w:tcPr>
          <w:p>
            <w:pPr>
              <w:snapToGrid w:val="0"/>
              <w:spacing w:before="56" w:line="360" w:lineRule="auto"/>
              <w:ind w:left="163" w:right="134" w:firstLine="9"/>
              <w:rPr>
                <w:rFonts w:cs="宋体"/>
                <w:spacing w:val="-6"/>
                <w:sz w:val="21"/>
                <w:szCs w:val="21"/>
                <w:highlight w:val="none"/>
              </w:rPr>
            </w:pPr>
          </w:p>
        </w:tc>
        <w:tc>
          <w:tcPr>
            <w:tcW w:w="945" w:type="dxa"/>
            <w:vMerge w:val="continue"/>
            <w:tcBorders>
              <w:left w:val="single" w:color="auto" w:sz="4" w:space="0"/>
              <w:right w:val="single" w:color="auto" w:sz="4" w:space="0"/>
            </w:tcBorders>
            <w:noWrap/>
          </w:tcPr>
          <w:p>
            <w:pPr>
              <w:snapToGrid w:val="0"/>
              <w:spacing w:before="56" w:line="360" w:lineRule="auto"/>
              <w:ind w:left="163" w:right="134" w:firstLine="9"/>
              <w:rPr>
                <w:rFonts w:cs="宋体"/>
                <w:spacing w:val="-6"/>
                <w:sz w:val="21"/>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ign w:val="center"/>
          </w:tcPr>
          <w:p>
            <w:pPr>
              <w:snapToGrid w:val="0"/>
              <w:spacing w:before="212" w:line="360" w:lineRule="auto"/>
              <w:jc w:val="center"/>
              <w:rPr>
                <w:rFonts w:cs="宋体"/>
                <w:spacing w:val="-3"/>
                <w:sz w:val="21"/>
                <w:szCs w:val="21"/>
                <w:highlight w:val="none"/>
              </w:rPr>
            </w:pPr>
            <w:r>
              <w:rPr>
                <w:rFonts w:hint="eastAsia" w:cs="宋体"/>
                <w:spacing w:val="-3"/>
                <w:sz w:val="21"/>
                <w:szCs w:val="21"/>
                <w:highlight w:val="none"/>
              </w:rPr>
              <w:t>企业荣誉</w:t>
            </w:r>
          </w:p>
        </w:tc>
        <w:tc>
          <w:tcPr>
            <w:tcW w:w="480" w:type="dxa"/>
            <w:tcBorders>
              <w:left w:val="single" w:color="auto" w:sz="4" w:space="0"/>
            </w:tcBorders>
            <w:noWrap/>
            <w:vAlign w:val="center"/>
          </w:tcPr>
          <w:p>
            <w:pPr>
              <w:snapToGrid w:val="0"/>
              <w:spacing w:before="159" w:line="360" w:lineRule="auto"/>
              <w:jc w:val="center"/>
              <w:rPr>
                <w:rFonts w:cs="宋体"/>
                <w:spacing w:val="-3"/>
                <w:sz w:val="21"/>
                <w:szCs w:val="21"/>
                <w:highlight w:val="none"/>
              </w:rPr>
            </w:pPr>
            <w:r>
              <w:rPr>
                <w:rFonts w:hint="eastAsia" w:cs="宋体"/>
                <w:sz w:val="21"/>
                <w:szCs w:val="21"/>
                <w:highlight w:val="none"/>
              </w:rPr>
              <w:t>3</w:t>
            </w:r>
          </w:p>
        </w:tc>
        <w:tc>
          <w:tcPr>
            <w:tcW w:w="6984" w:type="dxa"/>
            <w:noWrap/>
          </w:tcPr>
          <w:p>
            <w:pPr>
              <w:snapToGrid w:val="0"/>
              <w:spacing w:line="360" w:lineRule="auto"/>
              <w:rPr>
                <w:rFonts w:cs="宋体"/>
                <w:sz w:val="21"/>
                <w:szCs w:val="21"/>
                <w:highlight w:val="none"/>
              </w:rPr>
            </w:pPr>
            <w:r>
              <w:rPr>
                <w:rFonts w:hint="eastAsia" w:cs="宋体"/>
                <w:sz w:val="21"/>
                <w:szCs w:val="21"/>
                <w:highlight w:val="none"/>
              </w:rPr>
              <w:t>（1）供应商近三年（2022年7月至今）获得省级市场监督管理局授予“守合同重信用”荣誉奖项，得1分；最高得1分。提供复印件作为证明材料。</w:t>
            </w:r>
          </w:p>
          <w:p>
            <w:pPr>
              <w:snapToGrid w:val="0"/>
              <w:spacing w:line="360" w:lineRule="auto"/>
              <w:rPr>
                <w:rFonts w:cs="宋体"/>
                <w:sz w:val="21"/>
                <w:szCs w:val="21"/>
                <w:highlight w:val="none"/>
              </w:rPr>
            </w:pPr>
            <w:r>
              <w:rPr>
                <w:rFonts w:hint="eastAsia" w:cs="宋体"/>
                <w:sz w:val="21"/>
                <w:szCs w:val="21"/>
                <w:highlight w:val="none"/>
              </w:rPr>
              <w:t>（2）供应商近三年（2022年7月至今）获得市级市场监督管理局授予“守合同重信用”荣誉奖项，得 1分；最高得1分。提供复印件作为证明材料。</w:t>
            </w:r>
          </w:p>
          <w:p>
            <w:pPr>
              <w:snapToGrid w:val="0"/>
              <w:spacing w:before="57" w:line="360" w:lineRule="auto"/>
              <w:ind w:right="99"/>
              <w:jc w:val="left"/>
              <w:rPr>
                <w:rFonts w:cs="宋体"/>
                <w:spacing w:val="2"/>
                <w:sz w:val="21"/>
                <w:szCs w:val="21"/>
                <w:highlight w:val="none"/>
              </w:rPr>
            </w:pPr>
            <w:r>
              <w:rPr>
                <w:rFonts w:hint="eastAsia" w:cs="宋体"/>
                <w:sz w:val="21"/>
                <w:szCs w:val="21"/>
                <w:highlight w:val="none"/>
                <w:lang w:val="zh-CN" w:bidi="zh-CN"/>
              </w:rPr>
              <w:t>（</w:t>
            </w:r>
            <w:r>
              <w:rPr>
                <w:rFonts w:hint="eastAsia" w:cs="宋体"/>
                <w:sz w:val="21"/>
                <w:szCs w:val="21"/>
                <w:highlight w:val="none"/>
                <w:lang w:bidi="zh-CN"/>
              </w:rPr>
              <w:t>3</w:t>
            </w:r>
            <w:r>
              <w:rPr>
                <w:rFonts w:hint="eastAsia" w:cs="宋体"/>
                <w:sz w:val="21"/>
                <w:szCs w:val="21"/>
                <w:highlight w:val="none"/>
                <w:lang w:val="zh-CN" w:bidi="zh-CN"/>
              </w:rPr>
              <w:t xml:space="preserve">）供应商获得餐饮行业其他荣誉奖项，每个得 </w:t>
            </w:r>
            <w:r>
              <w:rPr>
                <w:rFonts w:hint="eastAsia" w:cs="宋体"/>
                <w:sz w:val="21"/>
                <w:szCs w:val="21"/>
                <w:highlight w:val="none"/>
                <w:lang w:bidi="zh-CN"/>
              </w:rPr>
              <w:t>0.5</w:t>
            </w:r>
            <w:r>
              <w:rPr>
                <w:rFonts w:hint="eastAsia" w:cs="宋体"/>
                <w:sz w:val="21"/>
                <w:szCs w:val="21"/>
                <w:highlight w:val="none"/>
                <w:lang w:val="zh-CN" w:bidi="zh-CN"/>
              </w:rPr>
              <w:t>分；最高得</w:t>
            </w:r>
            <w:r>
              <w:rPr>
                <w:rFonts w:hint="eastAsia" w:cs="宋体"/>
                <w:sz w:val="21"/>
                <w:szCs w:val="21"/>
                <w:highlight w:val="none"/>
                <w:lang w:bidi="zh-CN"/>
              </w:rPr>
              <w:t>1分；</w:t>
            </w:r>
            <w:r>
              <w:rPr>
                <w:rFonts w:hint="eastAsia" w:cs="宋体"/>
                <w:sz w:val="21"/>
                <w:szCs w:val="21"/>
                <w:highlight w:val="none"/>
                <w:lang w:val="zh-CN" w:bidi="zh-CN"/>
              </w:rPr>
              <w:t>提供复印件作为证明材料。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12" w:hRule="atLeast"/>
        </w:trPr>
        <w:tc>
          <w:tcPr>
            <w:tcW w:w="916" w:type="dxa"/>
            <w:vMerge w:val="continue"/>
            <w:tcBorders>
              <w:left w:val="single" w:color="auto" w:sz="4" w:space="0"/>
              <w:bottom w:val="single" w:color="auto" w:sz="4" w:space="0"/>
              <w:right w:val="single" w:color="auto" w:sz="4" w:space="0"/>
            </w:tcBorders>
            <w:noWrap/>
          </w:tcPr>
          <w:p>
            <w:pPr>
              <w:snapToGrid w:val="0"/>
              <w:spacing w:before="56" w:line="360" w:lineRule="auto"/>
              <w:ind w:left="163" w:right="134" w:firstLine="9"/>
              <w:rPr>
                <w:rFonts w:cs="宋体"/>
                <w:spacing w:val="-6"/>
                <w:sz w:val="21"/>
                <w:szCs w:val="21"/>
                <w:highlight w:val="none"/>
              </w:rPr>
            </w:pPr>
          </w:p>
        </w:tc>
        <w:tc>
          <w:tcPr>
            <w:tcW w:w="945" w:type="dxa"/>
            <w:vMerge w:val="continue"/>
            <w:tcBorders>
              <w:left w:val="single" w:color="auto" w:sz="4" w:space="0"/>
              <w:bottom w:val="single" w:color="auto" w:sz="4" w:space="0"/>
              <w:right w:val="single" w:color="auto" w:sz="4" w:space="0"/>
            </w:tcBorders>
            <w:noWrap/>
          </w:tcPr>
          <w:p>
            <w:pPr>
              <w:snapToGrid w:val="0"/>
              <w:spacing w:before="56" w:line="360" w:lineRule="auto"/>
              <w:ind w:left="163" w:right="134" w:firstLine="9"/>
              <w:rPr>
                <w:rFonts w:cs="宋体"/>
                <w:spacing w:val="-6"/>
                <w:sz w:val="21"/>
                <w:szCs w:val="21"/>
                <w:highlight w:val="none"/>
              </w:rPr>
            </w:pPr>
          </w:p>
        </w:tc>
        <w:tc>
          <w:tcPr>
            <w:tcW w:w="1035" w:type="dxa"/>
            <w:tcBorders>
              <w:top w:val="single" w:color="auto" w:sz="4" w:space="0"/>
              <w:left w:val="single" w:color="auto" w:sz="4" w:space="0"/>
              <w:bottom w:val="single" w:color="auto" w:sz="4" w:space="0"/>
              <w:right w:val="single" w:color="auto" w:sz="4" w:space="0"/>
            </w:tcBorders>
            <w:noWrap/>
            <w:vAlign w:val="center"/>
          </w:tcPr>
          <w:p>
            <w:pPr>
              <w:snapToGrid w:val="0"/>
              <w:spacing w:before="212" w:line="360" w:lineRule="auto"/>
              <w:jc w:val="center"/>
              <w:rPr>
                <w:rFonts w:cs="宋体"/>
                <w:spacing w:val="-3"/>
                <w:sz w:val="21"/>
                <w:szCs w:val="21"/>
                <w:highlight w:val="none"/>
              </w:rPr>
            </w:pPr>
            <w:r>
              <w:rPr>
                <w:rFonts w:hint="eastAsia" w:cs="宋体"/>
                <w:spacing w:val="-3"/>
                <w:sz w:val="21"/>
                <w:szCs w:val="21"/>
                <w:highlight w:val="none"/>
              </w:rPr>
              <w:t>企业实力</w:t>
            </w:r>
          </w:p>
        </w:tc>
        <w:tc>
          <w:tcPr>
            <w:tcW w:w="480" w:type="dxa"/>
            <w:tcBorders>
              <w:left w:val="single" w:color="auto" w:sz="4" w:space="0"/>
            </w:tcBorders>
            <w:noWrap/>
            <w:vAlign w:val="center"/>
          </w:tcPr>
          <w:p>
            <w:pPr>
              <w:snapToGrid w:val="0"/>
              <w:spacing w:before="159" w:line="360" w:lineRule="auto"/>
              <w:jc w:val="center"/>
              <w:rPr>
                <w:rFonts w:cs="宋体"/>
                <w:sz w:val="21"/>
                <w:szCs w:val="21"/>
                <w:highlight w:val="none"/>
              </w:rPr>
            </w:pPr>
            <w:r>
              <w:rPr>
                <w:rFonts w:hint="eastAsia" w:cs="宋体"/>
                <w:sz w:val="21"/>
                <w:szCs w:val="21"/>
                <w:highlight w:val="none"/>
              </w:rPr>
              <w:t>6</w:t>
            </w:r>
          </w:p>
        </w:tc>
        <w:tc>
          <w:tcPr>
            <w:tcW w:w="6984" w:type="dxa"/>
            <w:noWrap/>
          </w:tcPr>
          <w:p>
            <w:pPr>
              <w:snapToGrid w:val="0"/>
              <w:spacing w:line="360" w:lineRule="auto"/>
              <w:ind w:firstLine="2"/>
              <w:rPr>
                <w:rFonts w:cs="宋体"/>
                <w:sz w:val="21"/>
                <w:szCs w:val="21"/>
                <w:highlight w:val="none"/>
              </w:rPr>
            </w:pPr>
            <w:r>
              <w:rPr>
                <w:rFonts w:hint="eastAsia" w:cs="宋体"/>
                <w:sz w:val="21"/>
                <w:szCs w:val="21"/>
                <w:highlight w:val="none"/>
              </w:rPr>
              <w:t>供应商已通过质量管理体系认证、环境管理体系认证、职业健康安全管理体系认证。3 证须在有效期内，每提供1个证书得 2 分，3证齐全得 6 分,未提供不得分。</w:t>
            </w:r>
          </w:p>
          <w:p>
            <w:pPr>
              <w:snapToGrid w:val="0"/>
              <w:spacing w:line="360" w:lineRule="auto"/>
              <w:rPr>
                <w:rFonts w:cs="宋体"/>
                <w:sz w:val="21"/>
                <w:szCs w:val="21"/>
                <w:highlight w:val="none"/>
                <w:lang w:bidi="zh-CN"/>
              </w:rPr>
            </w:pPr>
            <w:r>
              <w:rPr>
                <w:rFonts w:hint="eastAsia" w:cs="宋体"/>
                <w:sz w:val="21"/>
                <w:szCs w:val="21"/>
                <w:highlight w:val="none"/>
              </w:rPr>
              <w:t>注：须提供证书复印件并加盖公章，并附全国认证认可信息公共服务平台【http://cx.cnca.cn/】网页查询截面图加盖供应商公章。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9" w:hRule="atLeast"/>
        </w:trPr>
        <w:tc>
          <w:tcPr>
            <w:tcW w:w="916" w:type="dxa"/>
            <w:vMerge w:val="restart"/>
            <w:tcBorders>
              <w:top w:val="single" w:color="auto" w:sz="4" w:space="0"/>
            </w:tcBorders>
            <w:noWrap/>
            <w:vAlign w:val="center"/>
          </w:tcPr>
          <w:p>
            <w:pPr>
              <w:snapToGrid w:val="0"/>
              <w:spacing w:before="56" w:line="360" w:lineRule="auto"/>
              <w:ind w:left="163" w:right="134" w:firstLine="9"/>
              <w:jc w:val="center"/>
              <w:rPr>
                <w:rFonts w:cs="宋体"/>
                <w:spacing w:val="-6"/>
                <w:sz w:val="21"/>
                <w:szCs w:val="21"/>
                <w:highlight w:val="none"/>
              </w:rPr>
            </w:pPr>
            <w:r>
              <w:rPr>
                <w:rFonts w:hint="eastAsia" w:cs="宋体"/>
                <w:spacing w:val="-6"/>
                <w:sz w:val="21"/>
                <w:szCs w:val="21"/>
                <w:highlight w:val="none"/>
              </w:rPr>
              <w:t>2.2.4</w:t>
            </w:r>
          </w:p>
        </w:tc>
        <w:tc>
          <w:tcPr>
            <w:tcW w:w="945" w:type="dxa"/>
            <w:vMerge w:val="restart"/>
            <w:tcBorders>
              <w:top w:val="single" w:color="auto" w:sz="4" w:space="0"/>
            </w:tcBorders>
            <w:noWrap/>
            <w:vAlign w:val="center"/>
          </w:tcPr>
          <w:p>
            <w:pPr>
              <w:snapToGrid w:val="0"/>
              <w:spacing w:before="56" w:line="360" w:lineRule="auto"/>
              <w:ind w:right="134"/>
              <w:jc w:val="center"/>
              <w:rPr>
                <w:rFonts w:cs="宋体"/>
                <w:spacing w:val="-6"/>
                <w:sz w:val="21"/>
                <w:szCs w:val="21"/>
                <w:highlight w:val="none"/>
              </w:rPr>
            </w:pPr>
            <w:r>
              <w:rPr>
                <w:rFonts w:hint="eastAsia" w:cs="宋体"/>
                <w:spacing w:val="-6"/>
                <w:sz w:val="21"/>
                <w:szCs w:val="21"/>
                <w:highlight w:val="none"/>
              </w:rPr>
              <w:t>技术部分</w:t>
            </w:r>
          </w:p>
          <w:p>
            <w:pPr>
              <w:snapToGrid w:val="0"/>
              <w:spacing w:before="56" w:line="360" w:lineRule="auto"/>
              <w:ind w:left="163" w:right="134" w:firstLine="9"/>
              <w:jc w:val="center"/>
              <w:rPr>
                <w:rFonts w:cs="宋体"/>
                <w:spacing w:val="-6"/>
                <w:sz w:val="21"/>
                <w:szCs w:val="21"/>
                <w:highlight w:val="none"/>
              </w:rPr>
            </w:pPr>
            <w:r>
              <w:rPr>
                <w:rFonts w:hint="eastAsia" w:cs="宋体"/>
                <w:spacing w:val="-6"/>
                <w:sz w:val="21"/>
                <w:szCs w:val="21"/>
                <w:highlight w:val="none"/>
              </w:rPr>
              <w:t>50分</w:t>
            </w:r>
          </w:p>
        </w:tc>
        <w:tc>
          <w:tcPr>
            <w:tcW w:w="1035" w:type="dxa"/>
            <w:tcBorders>
              <w:top w:val="single" w:color="auto" w:sz="4" w:space="0"/>
              <w:bottom w:val="single" w:color="auto" w:sz="4" w:space="0"/>
            </w:tcBorders>
            <w:noWrap/>
            <w:vAlign w:val="center"/>
          </w:tcPr>
          <w:p>
            <w:pPr>
              <w:autoSpaceDE w:val="0"/>
              <w:autoSpaceDN w:val="0"/>
              <w:snapToGrid w:val="0"/>
              <w:spacing w:line="360" w:lineRule="auto"/>
              <w:jc w:val="center"/>
              <w:rPr>
                <w:rFonts w:cs="宋体"/>
                <w:kern w:val="0"/>
                <w:sz w:val="21"/>
                <w:szCs w:val="21"/>
                <w:highlight w:val="none"/>
              </w:rPr>
            </w:pPr>
            <w:r>
              <w:rPr>
                <w:rFonts w:hint="eastAsia" w:cs="宋体"/>
                <w:kern w:val="0"/>
                <w:sz w:val="21"/>
                <w:szCs w:val="21"/>
                <w:highlight w:val="none"/>
                <w:lang w:val="zh-CN" w:bidi="zh-CN"/>
              </w:rPr>
              <w:t>服务方案</w:t>
            </w:r>
          </w:p>
        </w:tc>
        <w:tc>
          <w:tcPr>
            <w:tcW w:w="480" w:type="dxa"/>
            <w:tcBorders>
              <w:bottom w:val="single" w:color="auto" w:sz="4" w:space="0"/>
            </w:tcBorders>
            <w:noWrap/>
            <w:vAlign w:val="center"/>
          </w:tcPr>
          <w:p>
            <w:pPr>
              <w:autoSpaceDE w:val="0"/>
              <w:autoSpaceDN w:val="0"/>
              <w:snapToGrid w:val="0"/>
              <w:spacing w:line="360" w:lineRule="auto"/>
              <w:jc w:val="center"/>
              <w:rPr>
                <w:rFonts w:cs="宋体"/>
                <w:kern w:val="0"/>
                <w:sz w:val="21"/>
                <w:szCs w:val="21"/>
                <w:highlight w:val="none"/>
                <w:lang w:bidi="zh-CN"/>
              </w:rPr>
            </w:pPr>
            <w:r>
              <w:rPr>
                <w:rFonts w:hint="eastAsia" w:cs="宋体"/>
                <w:kern w:val="0"/>
                <w:sz w:val="21"/>
                <w:szCs w:val="21"/>
                <w:highlight w:val="none"/>
                <w:lang w:bidi="zh-CN"/>
              </w:rPr>
              <w:t>10</w:t>
            </w:r>
          </w:p>
        </w:tc>
        <w:tc>
          <w:tcPr>
            <w:tcW w:w="6984" w:type="dxa"/>
            <w:tcBorders>
              <w:bottom w:val="single" w:color="auto" w:sz="4" w:space="0"/>
            </w:tcBorders>
            <w:noWrap/>
          </w:tcPr>
          <w:p>
            <w:pPr>
              <w:snapToGrid w:val="0"/>
              <w:spacing w:line="360" w:lineRule="auto"/>
              <w:rPr>
                <w:rFonts w:cs="宋体"/>
                <w:sz w:val="21"/>
                <w:szCs w:val="21"/>
                <w:highlight w:val="none"/>
              </w:rPr>
            </w:pPr>
            <w:r>
              <w:rPr>
                <w:rFonts w:hint="eastAsia" w:cs="宋体"/>
                <w:sz w:val="21"/>
                <w:szCs w:val="21"/>
                <w:highlight w:val="none"/>
              </w:rPr>
              <w:t>根据投标的具体服务方案进行评分：</w:t>
            </w:r>
          </w:p>
          <w:p>
            <w:pPr>
              <w:numPr>
                <w:ilvl w:val="0"/>
                <w:numId w:val="2"/>
              </w:numPr>
              <w:snapToGrid w:val="0"/>
              <w:spacing w:line="360" w:lineRule="auto"/>
              <w:rPr>
                <w:rFonts w:cs="宋体"/>
                <w:sz w:val="21"/>
                <w:szCs w:val="21"/>
                <w:highlight w:val="none"/>
              </w:rPr>
            </w:pPr>
            <w:r>
              <w:rPr>
                <w:rFonts w:hint="eastAsia" w:cs="宋体"/>
                <w:sz w:val="21"/>
                <w:szCs w:val="21"/>
                <w:highlight w:val="none"/>
              </w:rPr>
              <w:t>整体方案、措施科学、合理、针对性和可行性强，能考虑到实际情况，保障服务正常运行，得10分；</w:t>
            </w:r>
          </w:p>
          <w:p>
            <w:pPr>
              <w:numPr>
                <w:ilvl w:val="0"/>
                <w:numId w:val="2"/>
              </w:numPr>
              <w:snapToGrid w:val="0"/>
              <w:spacing w:line="360" w:lineRule="auto"/>
              <w:rPr>
                <w:rFonts w:cs="宋体"/>
                <w:sz w:val="21"/>
                <w:szCs w:val="21"/>
                <w:highlight w:val="none"/>
              </w:rPr>
            </w:pPr>
            <w:r>
              <w:rPr>
                <w:rFonts w:hint="eastAsia" w:cs="宋体"/>
                <w:sz w:val="21"/>
                <w:szCs w:val="21"/>
                <w:highlight w:val="none"/>
              </w:rPr>
              <w:t>整体方案措施基本可行，能够考虑到实际情况，服务能够正常开展，得8分；</w:t>
            </w:r>
          </w:p>
          <w:p>
            <w:pPr>
              <w:numPr>
                <w:ilvl w:val="0"/>
                <w:numId w:val="2"/>
              </w:numPr>
              <w:snapToGrid w:val="0"/>
              <w:spacing w:line="360" w:lineRule="auto"/>
              <w:rPr>
                <w:rFonts w:cs="宋体"/>
                <w:sz w:val="21"/>
                <w:szCs w:val="21"/>
                <w:highlight w:val="none"/>
              </w:rPr>
            </w:pPr>
            <w:r>
              <w:rPr>
                <w:rFonts w:hint="eastAsia" w:cs="宋体"/>
                <w:sz w:val="21"/>
                <w:szCs w:val="21"/>
                <w:highlight w:val="none"/>
              </w:rPr>
              <w:t>内容欠完整合理、不够具备针对性的得4分；</w:t>
            </w:r>
          </w:p>
          <w:p>
            <w:pPr>
              <w:numPr>
                <w:ilvl w:val="0"/>
                <w:numId w:val="2"/>
              </w:numPr>
              <w:snapToGrid w:val="0"/>
              <w:spacing w:line="360" w:lineRule="auto"/>
              <w:rPr>
                <w:rFonts w:cs="宋体"/>
                <w:sz w:val="21"/>
                <w:szCs w:val="21"/>
                <w:highlight w:val="none"/>
              </w:rPr>
            </w:pPr>
            <w:r>
              <w:rPr>
                <w:rFonts w:hint="eastAsia" w:cs="宋体"/>
                <w:sz w:val="21"/>
                <w:szCs w:val="21"/>
                <w:highlight w:val="none"/>
              </w:rPr>
              <w:t>方案、措施不科学、不合理，不能保证服务正常开展的得2分；</w:t>
            </w:r>
          </w:p>
          <w:p>
            <w:pPr>
              <w:numPr>
                <w:ilvl w:val="0"/>
                <w:numId w:val="2"/>
              </w:numPr>
              <w:snapToGrid w:val="0"/>
              <w:spacing w:line="360" w:lineRule="auto"/>
              <w:rPr>
                <w:rFonts w:cs="宋体"/>
                <w:sz w:val="21"/>
                <w:szCs w:val="21"/>
                <w:highlight w:val="none"/>
              </w:rPr>
            </w:pPr>
            <w:r>
              <w:rPr>
                <w:rFonts w:hint="eastAsia" w:cs="宋体"/>
                <w:sz w:val="21"/>
                <w:szCs w:val="21"/>
                <w:highlight w:val="none"/>
              </w:rPr>
              <w:t>未提供的不得分。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9" w:hRule="atLeast"/>
        </w:trPr>
        <w:tc>
          <w:tcPr>
            <w:tcW w:w="916" w:type="dxa"/>
            <w:vMerge w:val="continue"/>
            <w:noWrap/>
            <w:vAlign w:val="center"/>
          </w:tcPr>
          <w:p>
            <w:pPr>
              <w:snapToGrid w:val="0"/>
              <w:spacing w:line="360" w:lineRule="auto"/>
              <w:jc w:val="center"/>
              <w:rPr>
                <w:rFonts w:cs="宋体"/>
                <w:sz w:val="21"/>
                <w:szCs w:val="21"/>
                <w:highlight w:val="none"/>
              </w:rPr>
            </w:pPr>
          </w:p>
        </w:tc>
        <w:tc>
          <w:tcPr>
            <w:tcW w:w="945" w:type="dxa"/>
            <w:vMerge w:val="continue"/>
            <w:noWrap/>
            <w:vAlign w:val="center"/>
          </w:tcPr>
          <w:p>
            <w:pPr>
              <w:snapToGrid w:val="0"/>
              <w:spacing w:line="360" w:lineRule="auto"/>
              <w:jc w:val="center"/>
              <w:rPr>
                <w:rFonts w:cs="宋体"/>
                <w:sz w:val="21"/>
                <w:szCs w:val="21"/>
                <w:highlight w:val="none"/>
              </w:rPr>
            </w:pPr>
          </w:p>
        </w:tc>
        <w:tc>
          <w:tcPr>
            <w:tcW w:w="1035" w:type="dxa"/>
            <w:tcBorders>
              <w:top w:val="single" w:color="auto" w:sz="4" w:space="0"/>
              <w:left w:val="single" w:color="auto" w:sz="4" w:space="0"/>
              <w:bottom w:val="single" w:color="auto" w:sz="4" w:space="0"/>
            </w:tcBorders>
            <w:noWrap/>
            <w:vAlign w:val="center"/>
          </w:tcPr>
          <w:p>
            <w:pPr>
              <w:autoSpaceDE w:val="0"/>
              <w:autoSpaceDN w:val="0"/>
              <w:snapToGrid w:val="0"/>
              <w:spacing w:line="360" w:lineRule="auto"/>
              <w:jc w:val="center"/>
              <w:rPr>
                <w:rFonts w:cs="宋体"/>
                <w:kern w:val="0"/>
                <w:sz w:val="21"/>
                <w:szCs w:val="21"/>
                <w:highlight w:val="none"/>
              </w:rPr>
            </w:pPr>
            <w:r>
              <w:rPr>
                <w:rFonts w:hint="eastAsia" w:cs="宋体"/>
                <w:kern w:val="0"/>
                <w:sz w:val="21"/>
                <w:szCs w:val="21"/>
                <w:highlight w:val="none"/>
                <w:lang w:val="zh-CN" w:bidi="zh-CN"/>
              </w:rPr>
              <w:t>餐饮菜品</w:t>
            </w:r>
            <w:r>
              <w:rPr>
                <w:rFonts w:hint="eastAsia" w:cs="宋体"/>
                <w:kern w:val="0"/>
                <w:sz w:val="21"/>
                <w:szCs w:val="21"/>
                <w:highlight w:val="none"/>
                <w:lang w:bidi="zh-CN"/>
              </w:rPr>
              <w:t>内</w:t>
            </w:r>
            <w:r>
              <w:rPr>
                <w:rFonts w:hint="eastAsia" w:cs="宋体"/>
                <w:kern w:val="0"/>
                <w:sz w:val="21"/>
                <w:szCs w:val="21"/>
                <w:highlight w:val="none"/>
                <w:lang w:val="zh-CN" w:bidi="zh-CN"/>
              </w:rPr>
              <w:t>容规划与设计方案</w:t>
            </w:r>
          </w:p>
        </w:tc>
        <w:tc>
          <w:tcPr>
            <w:tcW w:w="480" w:type="dxa"/>
            <w:tcBorders>
              <w:top w:val="single" w:color="auto" w:sz="4" w:space="0"/>
              <w:bottom w:val="single" w:color="auto" w:sz="4" w:space="0"/>
              <w:right w:val="single" w:color="auto" w:sz="4" w:space="0"/>
            </w:tcBorders>
            <w:noWrap/>
            <w:vAlign w:val="center"/>
          </w:tcPr>
          <w:p>
            <w:pPr>
              <w:autoSpaceDE w:val="0"/>
              <w:autoSpaceDN w:val="0"/>
              <w:snapToGrid w:val="0"/>
              <w:spacing w:line="360" w:lineRule="auto"/>
              <w:jc w:val="center"/>
              <w:rPr>
                <w:rFonts w:cs="宋体"/>
                <w:kern w:val="0"/>
                <w:sz w:val="21"/>
                <w:szCs w:val="21"/>
                <w:highlight w:val="none"/>
                <w:lang w:val="zh-CN" w:bidi="zh-CN"/>
              </w:rPr>
            </w:pPr>
            <w:r>
              <w:rPr>
                <w:rFonts w:hint="eastAsia" w:cs="宋体"/>
                <w:kern w:val="0"/>
                <w:sz w:val="21"/>
                <w:szCs w:val="21"/>
                <w:highlight w:val="none"/>
                <w:lang w:bidi="zh-CN"/>
              </w:rPr>
              <w:t>7</w:t>
            </w:r>
          </w:p>
        </w:tc>
        <w:tc>
          <w:tcPr>
            <w:tcW w:w="6984" w:type="dxa"/>
            <w:tcBorders>
              <w:top w:val="single" w:color="auto" w:sz="4" w:space="0"/>
              <w:bottom w:val="single" w:color="auto" w:sz="4" w:space="0"/>
              <w:right w:val="single" w:color="auto" w:sz="4" w:space="0"/>
            </w:tcBorders>
            <w:noWrap/>
          </w:tcPr>
          <w:p>
            <w:pPr>
              <w:snapToGrid w:val="0"/>
              <w:spacing w:line="360" w:lineRule="auto"/>
              <w:rPr>
                <w:rFonts w:cs="宋体"/>
                <w:sz w:val="21"/>
                <w:szCs w:val="21"/>
                <w:highlight w:val="none"/>
              </w:rPr>
            </w:pPr>
            <w:r>
              <w:rPr>
                <w:rFonts w:hint="eastAsia" w:cs="宋体"/>
                <w:sz w:val="21"/>
                <w:szCs w:val="21"/>
                <w:highlight w:val="none"/>
              </w:rPr>
              <w:t>根据菜品结构及菜谱能充分满足招标要求（做到菜品多样化，能适应不同口味要求）评分：</w:t>
            </w:r>
          </w:p>
          <w:p>
            <w:pPr>
              <w:numPr>
                <w:ilvl w:val="0"/>
                <w:numId w:val="3"/>
              </w:numPr>
              <w:snapToGrid w:val="0"/>
              <w:spacing w:line="360" w:lineRule="auto"/>
              <w:rPr>
                <w:rFonts w:cs="宋体"/>
                <w:sz w:val="21"/>
                <w:szCs w:val="21"/>
                <w:highlight w:val="none"/>
              </w:rPr>
            </w:pPr>
            <w:r>
              <w:rPr>
                <w:rFonts w:hint="eastAsia" w:cs="宋体"/>
                <w:sz w:val="21"/>
                <w:szCs w:val="21"/>
                <w:highlight w:val="none"/>
              </w:rPr>
              <w:t>菜品丰富、能适应不同口味需求得7分；</w:t>
            </w:r>
          </w:p>
          <w:p>
            <w:pPr>
              <w:numPr>
                <w:ilvl w:val="0"/>
                <w:numId w:val="3"/>
              </w:numPr>
              <w:snapToGrid w:val="0"/>
              <w:spacing w:line="360" w:lineRule="auto"/>
              <w:rPr>
                <w:rFonts w:cs="宋体"/>
                <w:sz w:val="21"/>
                <w:szCs w:val="21"/>
                <w:highlight w:val="none"/>
              </w:rPr>
            </w:pPr>
            <w:r>
              <w:rPr>
                <w:rFonts w:hint="eastAsia" w:cs="宋体"/>
                <w:sz w:val="21"/>
                <w:szCs w:val="21"/>
                <w:highlight w:val="none"/>
              </w:rPr>
              <w:t>菜品较完整，能基本适应口味需求得5分；</w:t>
            </w:r>
          </w:p>
          <w:p>
            <w:pPr>
              <w:numPr>
                <w:ilvl w:val="0"/>
                <w:numId w:val="3"/>
              </w:numPr>
              <w:snapToGrid w:val="0"/>
              <w:spacing w:line="360" w:lineRule="auto"/>
              <w:rPr>
                <w:rFonts w:cs="宋体"/>
                <w:sz w:val="21"/>
                <w:szCs w:val="21"/>
                <w:highlight w:val="none"/>
              </w:rPr>
            </w:pPr>
            <w:r>
              <w:rPr>
                <w:rFonts w:hint="eastAsia" w:cs="宋体"/>
                <w:sz w:val="21"/>
                <w:szCs w:val="21"/>
                <w:highlight w:val="none"/>
              </w:rPr>
              <w:t>菜品单一，无法适应不同口味要求的得3分；</w:t>
            </w:r>
          </w:p>
          <w:p>
            <w:pPr>
              <w:numPr>
                <w:ilvl w:val="0"/>
                <w:numId w:val="3"/>
              </w:numPr>
              <w:snapToGrid w:val="0"/>
              <w:spacing w:line="360" w:lineRule="auto"/>
              <w:rPr>
                <w:rFonts w:cs="宋体"/>
                <w:sz w:val="21"/>
                <w:szCs w:val="21"/>
                <w:highlight w:val="none"/>
              </w:rPr>
            </w:pPr>
            <w:r>
              <w:rPr>
                <w:rFonts w:hint="eastAsia" w:cs="宋体"/>
                <w:sz w:val="21"/>
                <w:szCs w:val="21"/>
                <w:highlight w:val="none"/>
              </w:rPr>
              <w:t>菜品、口味均不能满足招标要求的得1分；</w:t>
            </w:r>
          </w:p>
          <w:p>
            <w:pPr>
              <w:numPr>
                <w:ilvl w:val="0"/>
                <w:numId w:val="3"/>
              </w:numPr>
              <w:snapToGrid w:val="0"/>
              <w:spacing w:line="360" w:lineRule="auto"/>
              <w:rPr>
                <w:rFonts w:cs="宋体"/>
                <w:sz w:val="21"/>
                <w:szCs w:val="21"/>
                <w:highlight w:val="none"/>
              </w:rPr>
            </w:pPr>
            <w:r>
              <w:rPr>
                <w:rFonts w:hint="eastAsia" w:cs="宋体"/>
                <w:sz w:val="21"/>
                <w:szCs w:val="21"/>
                <w:highlight w:val="none"/>
              </w:rPr>
              <w:t>未提供的不得分。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0" w:hRule="atLeast"/>
        </w:trPr>
        <w:tc>
          <w:tcPr>
            <w:tcW w:w="916" w:type="dxa"/>
            <w:vMerge w:val="continue"/>
            <w:noWrap/>
            <w:vAlign w:val="center"/>
          </w:tcPr>
          <w:p>
            <w:pPr>
              <w:snapToGrid w:val="0"/>
              <w:spacing w:line="360" w:lineRule="auto"/>
              <w:jc w:val="center"/>
              <w:rPr>
                <w:rFonts w:cs="宋体"/>
                <w:sz w:val="21"/>
                <w:szCs w:val="21"/>
                <w:highlight w:val="none"/>
              </w:rPr>
            </w:pPr>
          </w:p>
        </w:tc>
        <w:tc>
          <w:tcPr>
            <w:tcW w:w="945" w:type="dxa"/>
            <w:vMerge w:val="continue"/>
            <w:noWrap/>
            <w:vAlign w:val="center"/>
          </w:tcPr>
          <w:p>
            <w:pPr>
              <w:snapToGrid w:val="0"/>
              <w:spacing w:line="360" w:lineRule="auto"/>
              <w:jc w:val="center"/>
              <w:rPr>
                <w:rFonts w:cs="宋体"/>
                <w:sz w:val="21"/>
                <w:szCs w:val="21"/>
                <w:highlight w:val="none"/>
              </w:rPr>
            </w:pPr>
          </w:p>
        </w:tc>
        <w:tc>
          <w:tcPr>
            <w:tcW w:w="1035" w:type="dxa"/>
            <w:tcBorders>
              <w:top w:val="single" w:color="auto" w:sz="4" w:space="0"/>
            </w:tcBorders>
            <w:noWrap/>
            <w:vAlign w:val="center"/>
          </w:tcPr>
          <w:p>
            <w:pPr>
              <w:autoSpaceDE w:val="0"/>
              <w:autoSpaceDN w:val="0"/>
              <w:snapToGrid w:val="0"/>
              <w:spacing w:line="360" w:lineRule="auto"/>
              <w:jc w:val="center"/>
              <w:rPr>
                <w:rFonts w:cs="宋体"/>
                <w:kern w:val="0"/>
                <w:sz w:val="21"/>
                <w:szCs w:val="21"/>
                <w:highlight w:val="none"/>
                <w:lang w:eastAsia="en-US"/>
              </w:rPr>
            </w:pPr>
            <w:r>
              <w:rPr>
                <w:rFonts w:hint="eastAsia" w:cs="宋体"/>
                <w:kern w:val="0"/>
                <w:sz w:val="21"/>
                <w:szCs w:val="21"/>
                <w:highlight w:val="none"/>
                <w:lang w:val="zh-CN" w:bidi="zh-CN"/>
              </w:rPr>
              <w:t>特色服务</w:t>
            </w:r>
          </w:p>
        </w:tc>
        <w:tc>
          <w:tcPr>
            <w:tcW w:w="480" w:type="dxa"/>
            <w:tcBorders>
              <w:top w:val="single" w:color="auto" w:sz="4" w:space="0"/>
              <w:right w:val="single" w:color="auto" w:sz="4" w:space="0"/>
            </w:tcBorders>
            <w:noWrap/>
            <w:vAlign w:val="center"/>
          </w:tcPr>
          <w:p>
            <w:pPr>
              <w:tabs>
                <w:tab w:val="center" w:pos="4153"/>
                <w:tab w:val="right" w:pos="8306"/>
              </w:tabs>
              <w:snapToGrid w:val="0"/>
              <w:spacing w:line="360" w:lineRule="auto"/>
              <w:jc w:val="center"/>
              <w:rPr>
                <w:rFonts w:cs="宋体"/>
                <w:sz w:val="21"/>
                <w:szCs w:val="21"/>
                <w:highlight w:val="none"/>
                <w:lang w:val="zh-CN" w:bidi="zh-CN"/>
              </w:rPr>
            </w:pPr>
            <w:r>
              <w:rPr>
                <w:rFonts w:hint="eastAsia" w:cs="宋体"/>
                <w:sz w:val="21"/>
                <w:szCs w:val="21"/>
                <w:highlight w:val="none"/>
                <w:lang w:bidi="zh-CN"/>
              </w:rPr>
              <w:t>3</w:t>
            </w:r>
          </w:p>
        </w:tc>
        <w:tc>
          <w:tcPr>
            <w:tcW w:w="6984" w:type="dxa"/>
            <w:tcBorders>
              <w:top w:val="single" w:color="auto" w:sz="4" w:space="0"/>
              <w:right w:val="single" w:color="auto" w:sz="4" w:space="0"/>
            </w:tcBorders>
            <w:noWrap/>
          </w:tcPr>
          <w:p>
            <w:pPr>
              <w:tabs>
                <w:tab w:val="center" w:pos="4153"/>
                <w:tab w:val="right" w:pos="8306"/>
              </w:tabs>
              <w:snapToGrid w:val="0"/>
              <w:spacing w:line="360" w:lineRule="auto"/>
              <w:jc w:val="left"/>
              <w:rPr>
                <w:rFonts w:cs="宋体"/>
                <w:sz w:val="21"/>
                <w:szCs w:val="21"/>
                <w:highlight w:val="none"/>
                <w:lang w:val="zh-CN" w:bidi="zh-CN"/>
              </w:rPr>
            </w:pPr>
            <w:r>
              <w:rPr>
                <w:rFonts w:hint="eastAsia" w:cs="宋体"/>
                <w:sz w:val="21"/>
                <w:szCs w:val="21"/>
                <w:highlight w:val="none"/>
                <w:lang w:val="zh-CN" w:bidi="zh-CN"/>
              </w:rPr>
              <w:t>根据投标的具体方案情况评分：</w:t>
            </w:r>
          </w:p>
          <w:p>
            <w:pPr>
              <w:numPr>
                <w:ilvl w:val="0"/>
                <w:numId w:val="4"/>
              </w:numPr>
              <w:tabs>
                <w:tab w:val="center" w:pos="4153"/>
                <w:tab w:val="right" w:pos="8306"/>
              </w:tabs>
              <w:snapToGrid w:val="0"/>
              <w:spacing w:line="360" w:lineRule="auto"/>
              <w:jc w:val="left"/>
              <w:rPr>
                <w:rFonts w:cs="宋体"/>
                <w:sz w:val="21"/>
                <w:szCs w:val="21"/>
                <w:highlight w:val="none"/>
                <w:lang w:bidi="zh-CN"/>
              </w:rPr>
            </w:pPr>
            <w:r>
              <w:rPr>
                <w:rFonts w:hint="eastAsia" w:cs="宋体"/>
                <w:sz w:val="21"/>
                <w:szCs w:val="21"/>
                <w:highlight w:val="none"/>
                <w:lang w:bidi="zh-CN"/>
              </w:rPr>
              <w:t>服务合理、可行并具有特色和专业性得3分；</w:t>
            </w:r>
          </w:p>
          <w:p>
            <w:pPr>
              <w:numPr>
                <w:ilvl w:val="0"/>
                <w:numId w:val="4"/>
              </w:numPr>
              <w:tabs>
                <w:tab w:val="center" w:pos="4153"/>
                <w:tab w:val="right" w:pos="8306"/>
              </w:tabs>
              <w:snapToGrid w:val="0"/>
              <w:spacing w:line="360" w:lineRule="auto"/>
              <w:jc w:val="left"/>
              <w:rPr>
                <w:rFonts w:cs="宋体"/>
                <w:sz w:val="21"/>
                <w:szCs w:val="21"/>
                <w:highlight w:val="none"/>
                <w:lang w:bidi="zh-CN"/>
              </w:rPr>
            </w:pPr>
            <w:r>
              <w:rPr>
                <w:rFonts w:hint="eastAsia" w:cs="宋体"/>
                <w:sz w:val="21"/>
                <w:szCs w:val="21"/>
                <w:highlight w:val="none"/>
                <w:lang w:bidi="zh-CN"/>
              </w:rPr>
              <w:t>服务一般、可行性与专业性一般得2分；</w:t>
            </w:r>
          </w:p>
          <w:p>
            <w:pPr>
              <w:numPr>
                <w:ilvl w:val="0"/>
                <w:numId w:val="4"/>
              </w:numPr>
              <w:tabs>
                <w:tab w:val="center" w:pos="4153"/>
                <w:tab w:val="right" w:pos="8306"/>
              </w:tabs>
              <w:snapToGrid w:val="0"/>
              <w:spacing w:line="360" w:lineRule="auto"/>
              <w:jc w:val="left"/>
              <w:rPr>
                <w:rFonts w:cs="宋体"/>
                <w:sz w:val="21"/>
                <w:szCs w:val="21"/>
                <w:highlight w:val="none"/>
                <w:lang w:bidi="zh-CN"/>
              </w:rPr>
            </w:pPr>
            <w:r>
              <w:rPr>
                <w:rFonts w:hint="eastAsia" w:cs="宋体"/>
                <w:sz w:val="21"/>
                <w:szCs w:val="21"/>
                <w:highlight w:val="none"/>
                <w:lang w:bidi="zh-CN"/>
              </w:rPr>
              <w:t>服务、可行性与专业性有所欠缺，得1分。</w:t>
            </w:r>
          </w:p>
          <w:p>
            <w:pPr>
              <w:numPr>
                <w:ilvl w:val="0"/>
                <w:numId w:val="4"/>
              </w:numPr>
              <w:tabs>
                <w:tab w:val="center" w:pos="4153"/>
                <w:tab w:val="right" w:pos="8306"/>
              </w:tabs>
              <w:snapToGrid w:val="0"/>
              <w:spacing w:line="360" w:lineRule="auto"/>
              <w:jc w:val="left"/>
              <w:rPr>
                <w:rFonts w:cs="宋体"/>
                <w:sz w:val="21"/>
                <w:szCs w:val="21"/>
                <w:highlight w:val="none"/>
                <w:lang w:bidi="zh-CN"/>
              </w:rPr>
            </w:pPr>
            <w:r>
              <w:rPr>
                <w:rFonts w:hint="eastAsia" w:cs="宋体"/>
                <w:sz w:val="21"/>
                <w:szCs w:val="21"/>
                <w:highlight w:val="none"/>
                <w:lang w:bidi="zh-CN"/>
              </w:rPr>
              <w:t>未提供不得分。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2" w:hRule="atLeast"/>
        </w:trPr>
        <w:tc>
          <w:tcPr>
            <w:tcW w:w="916" w:type="dxa"/>
            <w:vMerge w:val="continue"/>
            <w:noWrap/>
            <w:vAlign w:val="center"/>
          </w:tcPr>
          <w:p>
            <w:pPr>
              <w:snapToGrid w:val="0"/>
              <w:spacing w:line="360" w:lineRule="auto"/>
              <w:jc w:val="center"/>
              <w:rPr>
                <w:rFonts w:cs="宋体"/>
                <w:sz w:val="21"/>
                <w:szCs w:val="21"/>
                <w:highlight w:val="none"/>
              </w:rPr>
            </w:pPr>
          </w:p>
        </w:tc>
        <w:tc>
          <w:tcPr>
            <w:tcW w:w="945" w:type="dxa"/>
            <w:vMerge w:val="continue"/>
            <w:noWrap/>
            <w:vAlign w:val="center"/>
          </w:tcPr>
          <w:p>
            <w:pPr>
              <w:snapToGrid w:val="0"/>
              <w:spacing w:line="360" w:lineRule="auto"/>
              <w:jc w:val="center"/>
              <w:rPr>
                <w:rFonts w:cs="宋体"/>
                <w:sz w:val="21"/>
                <w:szCs w:val="21"/>
                <w:highlight w:val="none"/>
              </w:rPr>
            </w:pPr>
          </w:p>
        </w:tc>
        <w:tc>
          <w:tcPr>
            <w:tcW w:w="1035" w:type="dxa"/>
            <w:noWrap/>
            <w:vAlign w:val="center"/>
          </w:tcPr>
          <w:p>
            <w:pPr>
              <w:snapToGrid w:val="0"/>
              <w:spacing w:line="360" w:lineRule="auto"/>
              <w:jc w:val="center"/>
              <w:rPr>
                <w:rFonts w:cs="宋体"/>
                <w:sz w:val="21"/>
                <w:szCs w:val="21"/>
                <w:highlight w:val="none"/>
              </w:rPr>
            </w:pPr>
            <w:r>
              <w:rPr>
                <w:rFonts w:hint="eastAsia" w:cs="宋体"/>
                <w:sz w:val="21"/>
                <w:szCs w:val="21"/>
                <w:highlight w:val="none"/>
              </w:rPr>
              <w:t>项目</w:t>
            </w:r>
            <w:r>
              <w:rPr>
                <w:rFonts w:hint="eastAsia" w:cs="宋体"/>
                <w:sz w:val="21"/>
                <w:szCs w:val="21"/>
                <w:highlight w:val="none"/>
                <w:lang w:val="zh-CN"/>
              </w:rPr>
              <w:t>团队</w:t>
            </w:r>
            <w:r>
              <w:rPr>
                <w:rFonts w:hint="eastAsia" w:cs="宋体"/>
                <w:sz w:val="21"/>
                <w:szCs w:val="21"/>
                <w:highlight w:val="none"/>
              </w:rPr>
              <w:t>人员</w:t>
            </w:r>
          </w:p>
        </w:tc>
        <w:tc>
          <w:tcPr>
            <w:tcW w:w="480" w:type="dxa"/>
            <w:tcBorders>
              <w:bottom w:val="single" w:color="auto" w:sz="4" w:space="0"/>
            </w:tcBorders>
            <w:noWrap/>
            <w:vAlign w:val="center"/>
          </w:tcPr>
          <w:p>
            <w:pPr>
              <w:autoSpaceDE w:val="0"/>
              <w:autoSpaceDN w:val="0"/>
              <w:snapToGrid w:val="0"/>
              <w:spacing w:line="360" w:lineRule="auto"/>
              <w:jc w:val="center"/>
              <w:rPr>
                <w:rFonts w:cs="宋体"/>
                <w:kern w:val="0"/>
                <w:sz w:val="21"/>
                <w:szCs w:val="21"/>
                <w:highlight w:val="none"/>
                <w:lang w:val="zh-CN"/>
              </w:rPr>
            </w:pPr>
            <w:r>
              <w:rPr>
                <w:rFonts w:hint="eastAsia" w:cs="宋体"/>
                <w:kern w:val="0"/>
                <w:sz w:val="21"/>
                <w:szCs w:val="21"/>
                <w:highlight w:val="none"/>
                <w:lang w:bidi="zh-CN"/>
              </w:rPr>
              <w:t>13</w:t>
            </w:r>
          </w:p>
        </w:tc>
        <w:tc>
          <w:tcPr>
            <w:tcW w:w="6984" w:type="dxa"/>
            <w:tcBorders>
              <w:bottom w:val="single" w:color="auto" w:sz="4" w:space="0"/>
            </w:tcBorders>
            <w:noWrap/>
          </w:tcPr>
          <w:p>
            <w:pPr>
              <w:snapToGrid w:val="0"/>
              <w:spacing w:line="360" w:lineRule="auto"/>
              <w:rPr>
                <w:rFonts w:cs="宋体"/>
                <w:sz w:val="21"/>
                <w:szCs w:val="21"/>
                <w:highlight w:val="none"/>
              </w:rPr>
            </w:pPr>
            <w:r>
              <w:rPr>
                <w:rFonts w:hint="eastAsia" w:cs="宋体"/>
                <w:sz w:val="21"/>
                <w:szCs w:val="21"/>
                <w:highlight w:val="none"/>
              </w:rPr>
              <w:t>根据供应商提供的项目团队情况评分：</w:t>
            </w:r>
          </w:p>
          <w:p>
            <w:pPr>
              <w:snapToGrid w:val="0"/>
              <w:spacing w:line="360" w:lineRule="auto"/>
              <w:rPr>
                <w:rFonts w:cs="宋体"/>
                <w:sz w:val="21"/>
                <w:szCs w:val="21"/>
                <w:highlight w:val="none"/>
              </w:rPr>
            </w:pPr>
            <w:r>
              <w:rPr>
                <w:rFonts w:hint="eastAsia" w:cs="宋体"/>
                <w:sz w:val="21"/>
                <w:szCs w:val="21"/>
                <w:highlight w:val="none"/>
              </w:rPr>
              <w:t xml:space="preserve">（1）针对本项目5个营业就餐网点，项目人员编制配备方案，工资分配方案、每个网点方案合理可实行的得2分，部分合理得1分，不合理不得分。总分10分。 </w:t>
            </w:r>
          </w:p>
          <w:p>
            <w:pPr>
              <w:snapToGrid w:val="0"/>
              <w:spacing w:line="360" w:lineRule="auto"/>
              <w:rPr>
                <w:rFonts w:cs="宋体"/>
                <w:sz w:val="21"/>
                <w:szCs w:val="21"/>
                <w:highlight w:val="none"/>
              </w:rPr>
            </w:pPr>
            <w:r>
              <w:rPr>
                <w:rFonts w:hint="eastAsia" w:cs="宋体"/>
                <w:sz w:val="21"/>
                <w:szCs w:val="21"/>
                <w:highlight w:val="none"/>
              </w:rPr>
              <w:t xml:space="preserve">（2）明确各岗位工作内容、职责分工，能够满足招标文件要求的得 3分； 部分满足的得 2 分，内容有欠缺的得1分； 不满足或未提供的不得分。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16" w:hRule="atLeast"/>
        </w:trPr>
        <w:tc>
          <w:tcPr>
            <w:tcW w:w="916" w:type="dxa"/>
            <w:vMerge w:val="continue"/>
            <w:noWrap/>
            <w:vAlign w:val="center"/>
          </w:tcPr>
          <w:p>
            <w:pPr>
              <w:snapToGrid w:val="0"/>
              <w:spacing w:line="360" w:lineRule="auto"/>
              <w:jc w:val="center"/>
              <w:rPr>
                <w:rFonts w:cs="宋体"/>
                <w:sz w:val="21"/>
                <w:szCs w:val="21"/>
                <w:highlight w:val="none"/>
              </w:rPr>
            </w:pPr>
          </w:p>
        </w:tc>
        <w:tc>
          <w:tcPr>
            <w:tcW w:w="945" w:type="dxa"/>
            <w:vMerge w:val="continue"/>
            <w:noWrap/>
            <w:vAlign w:val="center"/>
          </w:tcPr>
          <w:p>
            <w:pPr>
              <w:snapToGrid w:val="0"/>
              <w:spacing w:line="360" w:lineRule="auto"/>
              <w:jc w:val="center"/>
              <w:rPr>
                <w:rFonts w:cs="宋体"/>
                <w:sz w:val="21"/>
                <w:szCs w:val="21"/>
                <w:highlight w:val="none"/>
              </w:rPr>
            </w:pPr>
          </w:p>
        </w:tc>
        <w:tc>
          <w:tcPr>
            <w:tcW w:w="1035" w:type="dxa"/>
            <w:noWrap/>
            <w:vAlign w:val="center"/>
          </w:tcPr>
          <w:p>
            <w:pPr>
              <w:snapToGrid w:val="0"/>
              <w:spacing w:line="360" w:lineRule="auto"/>
              <w:jc w:val="center"/>
              <w:rPr>
                <w:rFonts w:cs="宋体"/>
                <w:sz w:val="21"/>
                <w:szCs w:val="21"/>
                <w:highlight w:val="none"/>
              </w:rPr>
            </w:pPr>
            <w:r>
              <w:rPr>
                <w:rFonts w:hint="eastAsia" w:cs="宋体"/>
                <w:sz w:val="21"/>
                <w:szCs w:val="21"/>
                <w:highlight w:val="none"/>
              </w:rPr>
              <w:t>员工管理</w:t>
            </w:r>
          </w:p>
          <w:p>
            <w:pPr>
              <w:snapToGrid w:val="0"/>
              <w:spacing w:line="360" w:lineRule="auto"/>
              <w:jc w:val="center"/>
              <w:rPr>
                <w:rFonts w:cs="宋体"/>
                <w:spacing w:val="8"/>
                <w:sz w:val="21"/>
                <w:szCs w:val="21"/>
                <w:highlight w:val="none"/>
              </w:rPr>
            </w:pPr>
            <w:r>
              <w:rPr>
                <w:rFonts w:hint="eastAsia" w:cs="宋体"/>
                <w:sz w:val="21"/>
                <w:szCs w:val="21"/>
                <w:highlight w:val="none"/>
              </w:rPr>
              <w:t>方案</w:t>
            </w:r>
          </w:p>
        </w:tc>
        <w:tc>
          <w:tcPr>
            <w:tcW w:w="480" w:type="dxa"/>
            <w:noWrap/>
            <w:vAlign w:val="center"/>
          </w:tcPr>
          <w:p>
            <w:pPr>
              <w:snapToGrid w:val="0"/>
              <w:spacing w:line="360" w:lineRule="auto"/>
              <w:jc w:val="center"/>
              <w:rPr>
                <w:rFonts w:cs="宋体"/>
                <w:sz w:val="21"/>
                <w:szCs w:val="21"/>
                <w:highlight w:val="none"/>
              </w:rPr>
            </w:pPr>
            <w:r>
              <w:rPr>
                <w:rFonts w:hint="eastAsia" w:cs="宋体"/>
                <w:sz w:val="21"/>
                <w:szCs w:val="21"/>
                <w:highlight w:val="none"/>
                <w:lang w:bidi="zh-CN"/>
              </w:rPr>
              <w:t>3</w:t>
            </w:r>
          </w:p>
        </w:tc>
        <w:tc>
          <w:tcPr>
            <w:tcW w:w="6984" w:type="dxa"/>
            <w:noWrap/>
            <w:vAlign w:val="center"/>
          </w:tcPr>
          <w:p>
            <w:pPr>
              <w:snapToGrid w:val="0"/>
              <w:spacing w:line="360" w:lineRule="auto"/>
              <w:rPr>
                <w:rFonts w:cs="宋体"/>
                <w:sz w:val="21"/>
                <w:szCs w:val="21"/>
                <w:highlight w:val="none"/>
              </w:rPr>
            </w:pPr>
            <w:r>
              <w:rPr>
                <w:rFonts w:hint="eastAsia" w:cs="宋体"/>
                <w:sz w:val="21"/>
                <w:szCs w:val="21"/>
                <w:highlight w:val="none"/>
              </w:rPr>
              <w:t>根据供应商提供的员工管理方案评分：</w:t>
            </w:r>
          </w:p>
          <w:p>
            <w:pPr>
              <w:snapToGrid w:val="0"/>
              <w:spacing w:line="360" w:lineRule="auto"/>
              <w:rPr>
                <w:rFonts w:cs="宋体"/>
                <w:sz w:val="21"/>
                <w:szCs w:val="21"/>
                <w:highlight w:val="none"/>
              </w:rPr>
            </w:pPr>
            <w:r>
              <w:rPr>
                <w:rFonts w:hint="eastAsia" w:cs="宋体"/>
                <w:sz w:val="21"/>
                <w:szCs w:val="21"/>
                <w:highlight w:val="none"/>
              </w:rPr>
              <w:t>针对本项目项目人员管理方案，工资发放方案、社保购买、</w:t>
            </w:r>
            <w:r>
              <w:rPr>
                <w:rFonts w:hint="eastAsia" w:cs="宋体"/>
                <w:sz w:val="21"/>
                <w:szCs w:val="21"/>
                <w:highlight w:val="none"/>
                <w:lang w:val="zh-CN" w:bidi="zh-CN"/>
              </w:rPr>
              <w:t>人员安全管理制度，设备操作安全标准管理制度</w:t>
            </w:r>
            <w:r>
              <w:rPr>
                <w:rFonts w:hint="eastAsia" w:cs="宋体"/>
                <w:sz w:val="21"/>
                <w:szCs w:val="21"/>
                <w:highlight w:val="none"/>
              </w:rPr>
              <w:t>。</w:t>
            </w:r>
          </w:p>
          <w:p>
            <w:pPr>
              <w:snapToGrid w:val="0"/>
              <w:spacing w:line="360" w:lineRule="auto"/>
              <w:rPr>
                <w:rFonts w:cs="宋体"/>
                <w:sz w:val="21"/>
                <w:szCs w:val="21"/>
                <w:highlight w:val="none"/>
              </w:rPr>
            </w:pPr>
            <w:r>
              <w:rPr>
                <w:rFonts w:hint="eastAsia" w:cs="宋体"/>
                <w:sz w:val="21"/>
                <w:szCs w:val="21"/>
                <w:highlight w:val="none"/>
              </w:rPr>
              <w:t>（1）方案合理可实行的得3分，</w:t>
            </w:r>
          </w:p>
          <w:p>
            <w:pPr>
              <w:snapToGrid w:val="0"/>
              <w:spacing w:line="360" w:lineRule="auto"/>
              <w:rPr>
                <w:rFonts w:cs="宋体"/>
                <w:sz w:val="21"/>
                <w:szCs w:val="21"/>
                <w:highlight w:val="none"/>
              </w:rPr>
            </w:pPr>
            <w:r>
              <w:rPr>
                <w:rFonts w:hint="eastAsia" w:cs="宋体"/>
                <w:sz w:val="21"/>
                <w:szCs w:val="21"/>
                <w:highlight w:val="none"/>
              </w:rPr>
              <w:t>（2）部分合理得1分，</w:t>
            </w:r>
          </w:p>
          <w:p>
            <w:pPr>
              <w:snapToGrid w:val="0"/>
              <w:spacing w:line="360" w:lineRule="auto"/>
              <w:rPr>
                <w:rFonts w:cs="宋体"/>
                <w:spacing w:val="-1"/>
                <w:sz w:val="21"/>
                <w:szCs w:val="21"/>
                <w:highlight w:val="none"/>
              </w:rPr>
            </w:pPr>
            <w:r>
              <w:rPr>
                <w:rFonts w:hint="eastAsia" w:cs="宋体"/>
                <w:sz w:val="21"/>
                <w:szCs w:val="21"/>
                <w:highlight w:val="none"/>
              </w:rPr>
              <w:t>（3）不合理不得分。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9" w:hRule="atLeast"/>
        </w:trPr>
        <w:tc>
          <w:tcPr>
            <w:tcW w:w="916" w:type="dxa"/>
            <w:vMerge w:val="continue"/>
            <w:noWrap/>
            <w:vAlign w:val="center"/>
          </w:tcPr>
          <w:p>
            <w:pPr>
              <w:snapToGrid w:val="0"/>
              <w:spacing w:line="360" w:lineRule="auto"/>
              <w:jc w:val="center"/>
              <w:rPr>
                <w:rFonts w:cs="宋体"/>
                <w:sz w:val="21"/>
                <w:szCs w:val="21"/>
                <w:highlight w:val="none"/>
              </w:rPr>
            </w:pPr>
          </w:p>
        </w:tc>
        <w:tc>
          <w:tcPr>
            <w:tcW w:w="945" w:type="dxa"/>
            <w:vMerge w:val="continue"/>
            <w:noWrap/>
            <w:vAlign w:val="center"/>
          </w:tcPr>
          <w:p>
            <w:pPr>
              <w:snapToGrid w:val="0"/>
              <w:spacing w:line="360" w:lineRule="auto"/>
              <w:jc w:val="center"/>
              <w:rPr>
                <w:rFonts w:cs="宋体"/>
                <w:sz w:val="21"/>
                <w:szCs w:val="21"/>
                <w:highlight w:val="none"/>
              </w:rPr>
            </w:pPr>
          </w:p>
        </w:tc>
        <w:tc>
          <w:tcPr>
            <w:tcW w:w="1035" w:type="dxa"/>
            <w:noWrap/>
            <w:vAlign w:val="center"/>
          </w:tcPr>
          <w:p>
            <w:pPr>
              <w:snapToGrid w:val="0"/>
              <w:spacing w:line="360" w:lineRule="auto"/>
              <w:jc w:val="center"/>
              <w:rPr>
                <w:rFonts w:cs="宋体"/>
                <w:sz w:val="21"/>
                <w:szCs w:val="21"/>
                <w:highlight w:val="none"/>
              </w:rPr>
            </w:pPr>
            <w:r>
              <w:rPr>
                <w:rFonts w:hint="eastAsia" w:cs="宋体"/>
                <w:sz w:val="21"/>
                <w:szCs w:val="21"/>
                <w:highlight w:val="none"/>
              </w:rPr>
              <w:t>食堂运营</w:t>
            </w:r>
          </w:p>
          <w:p>
            <w:pPr>
              <w:snapToGrid w:val="0"/>
              <w:spacing w:line="360" w:lineRule="auto"/>
              <w:jc w:val="center"/>
              <w:rPr>
                <w:rFonts w:cs="宋体"/>
                <w:spacing w:val="8"/>
                <w:sz w:val="21"/>
                <w:szCs w:val="21"/>
                <w:highlight w:val="none"/>
              </w:rPr>
            </w:pPr>
            <w:r>
              <w:rPr>
                <w:rFonts w:hint="eastAsia" w:cs="宋体"/>
                <w:sz w:val="21"/>
                <w:szCs w:val="21"/>
                <w:highlight w:val="none"/>
              </w:rPr>
              <w:t>管理制度</w:t>
            </w:r>
          </w:p>
        </w:tc>
        <w:tc>
          <w:tcPr>
            <w:tcW w:w="480" w:type="dxa"/>
            <w:noWrap/>
            <w:vAlign w:val="center"/>
          </w:tcPr>
          <w:p>
            <w:pPr>
              <w:snapToGrid w:val="0"/>
              <w:spacing w:line="360" w:lineRule="auto"/>
              <w:jc w:val="center"/>
              <w:rPr>
                <w:rFonts w:cs="宋体"/>
                <w:sz w:val="21"/>
                <w:szCs w:val="21"/>
                <w:highlight w:val="none"/>
              </w:rPr>
            </w:pPr>
            <w:r>
              <w:rPr>
                <w:rFonts w:hint="eastAsia" w:cs="宋体"/>
                <w:sz w:val="21"/>
                <w:szCs w:val="21"/>
                <w:highlight w:val="none"/>
                <w:lang w:bidi="zh-CN"/>
              </w:rPr>
              <w:t>5</w:t>
            </w:r>
          </w:p>
        </w:tc>
        <w:tc>
          <w:tcPr>
            <w:tcW w:w="6984" w:type="dxa"/>
            <w:noWrap/>
            <w:vAlign w:val="center"/>
          </w:tcPr>
          <w:p>
            <w:pPr>
              <w:snapToGrid w:val="0"/>
              <w:spacing w:line="360" w:lineRule="auto"/>
              <w:rPr>
                <w:rFonts w:cs="宋体"/>
                <w:sz w:val="21"/>
                <w:szCs w:val="21"/>
                <w:highlight w:val="none"/>
              </w:rPr>
            </w:pPr>
            <w:r>
              <w:rPr>
                <w:rFonts w:hint="eastAsia" w:cs="宋体"/>
                <w:sz w:val="21"/>
                <w:szCs w:val="21"/>
                <w:highlight w:val="none"/>
              </w:rPr>
              <w:t>根据供应商针对本项目制定的食堂管理制度及运营方案进行综合比较：</w:t>
            </w:r>
          </w:p>
          <w:p>
            <w:pPr>
              <w:snapToGrid w:val="0"/>
              <w:spacing w:line="360" w:lineRule="auto"/>
              <w:rPr>
                <w:rFonts w:cs="宋体"/>
                <w:sz w:val="21"/>
                <w:szCs w:val="21"/>
                <w:highlight w:val="none"/>
              </w:rPr>
            </w:pPr>
            <w:r>
              <w:rPr>
                <w:rFonts w:hint="eastAsia" w:cs="宋体"/>
                <w:sz w:val="21"/>
                <w:szCs w:val="21"/>
                <w:highlight w:val="none"/>
              </w:rPr>
              <w:t>（1）食堂管理制度及运营方案完整、详细、可行性强的得5分；</w:t>
            </w:r>
          </w:p>
          <w:p>
            <w:pPr>
              <w:snapToGrid w:val="0"/>
              <w:spacing w:line="360" w:lineRule="auto"/>
              <w:rPr>
                <w:rFonts w:cs="宋体"/>
                <w:sz w:val="21"/>
                <w:szCs w:val="21"/>
                <w:highlight w:val="none"/>
              </w:rPr>
            </w:pPr>
            <w:r>
              <w:rPr>
                <w:rFonts w:hint="eastAsia" w:cs="宋体"/>
                <w:sz w:val="21"/>
                <w:szCs w:val="21"/>
                <w:highlight w:val="none"/>
              </w:rPr>
              <w:t>（2）食堂管理制度及运营方案基本完整、详细、可行性一般的得3分；</w:t>
            </w:r>
          </w:p>
          <w:p>
            <w:pPr>
              <w:snapToGrid w:val="0"/>
              <w:spacing w:line="360" w:lineRule="auto"/>
              <w:rPr>
                <w:rFonts w:cs="宋体"/>
                <w:sz w:val="21"/>
                <w:szCs w:val="21"/>
                <w:highlight w:val="none"/>
              </w:rPr>
            </w:pPr>
            <w:r>
              <w:rPr>
                <w:rFonts w:hint="eastAsia" w:cs="宋体"/>
                <w:spacing w:val="-1"/>
                <w:sz w:val="21"/>
                <w:szCs w:val="21"/>
                <w:highlight w:val="none"/>
              </w:rPr>
              <w:t>（3）</w:t>
            </w:r>
            <w:r>
              <w:rPr>
                <w:rFonts w:hint="eastAsia" w:cs="宋体"/>
                <w:sz w:val="21"/>
                <w:szCs w:val="21"/>
                <w:highlight w:val="none"/>
              </w:rPr>
              <w:t>食堂管理制度及运营方案有欠缺、可行性有欠缺的得1分；</w:t>
            </w:r>
          </w:p>
          <w:p>
            <w:pPr>
              <w:tabs>
                <w:tab w:val="center" w:pos="4153"/>
                <w:tab w:val="right" w:pos="8306"/>
              </w:tabs>
              <w:snapToGrid w:val="0"/>
              <w:spacing w:line="360" w:lineRule="auto"/>
              <w:jc w:val="left"/>
              <w:rPr>
                <w:rFonts w:cs="宋体"/>
                <w:sz w:val="18"/>
                <w:highlight w:val="none"/>
              </w:rPr>
            </w:pPr>
            <w:r>
              <w:rPr>
                <w:rFonts w:hint="eastAsia" w:cs="宋体"/>
                <w:sz w:val="21"/>
                <w:szCs w:val="21"/>
                <w:highlight w:val="none"/>
              </w:rPr>
              <w:t>（4）</w:t>
            </w:r>
            <w:r>
              <w:rPr>
                <w:rFonts w:hint="eastAsia" w:cs="宋体"/>
                <w:sz w:val="21"/>
                <w:szCs w:val="21"/>
                <w:highlight w:val="none"/>
                <w:lang w:val="zh-CN" w:bidi="zh-CN"/>
              </w:rPr>
              <w:t>未提供不得分。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16" w:type="dxa"/>
            <w:vMerge w:val="continue"/>
            <w:noWrap/>
            <w:vAlign w:val="center"/>
          </w:tcPr>
          <w:p>
            <w:pPr>
              <w:snapToGrid w:val="0"/>
              <w:spacing w:line="360" w:lineRule="auto"/>
              <w:jc w:val="center"/>
              <w:rPr>
                <w:rFonts w:cs="宋体"/>
                <w:sz w:val="21"/>
                <w:szCs w:val="21"/>
                <w:highlight w:val="none"/>
              </w:rPr>
            </w:pPr>
          </w:p>
        </w:tc>
        <w:tc>
          <w:tcPr>
            <w:tcW w:w="945" w:type="dxa"/>
            <w:vMerge w:val="continue"/>
            <w:noWrap/>
            <w:vAlign w:val="center"/>
          </w:tcPr>
          <w:p>
            <w:pPr>
              <w:snapToGrid w:val="0"/>
              <w:spacing w:line="360" w:lineRule="auto"/>
              <w:jc w:val="center"/>
              <w:rPr>
                <w:rFonts w:cs="宋体"/>
                <w:sz w:val="21"/>
                <w:szCs w:val="21"/>
                <w:highlight w:val="none"/>
              </w:rPr>
            </w:pPr>
          </w:p>
        </w:tc>
        <w:tc>
          <w:tcPr>
            <w:tcW w:w="1035" w:type="dxa"/>
            <w:noWrap/>
            <w:vAlign w:val="center"/>
          </w:tcPr>
          <w:p>
            <w:pPr>
              <w:autoSpaceDE w:val="0"/>
              <w:autoSpaceDN w:val="0"/>
              <w:snapToGrid w:val="0"/>
              <w:spacing w:line="360" w:lineRule="auto"/>
              <w:ind w:left="706" w:right="-29" w:hanging="707"/>
              <w:jc w:val="center"/>
              <w:rPr>
                <w:rFonts w:cs="宋体"/>
                <w:kern w:val="0"/>
                <w:sz w:val="21"/>
                <w:szCs w:val="21"/>
                <w:highlight w:val="none"/>
                <w:lang w:val="zh-CN" w:bidi="zh-CN"/>
              </w:rPr>
            </w:pPr>
            <w:r>
              <w:rPr>
                <w:rFonts w:hint="eastAsia" w:cs="宋体"/>
                <w:kern w:val="0"/>
                <w:sz w:val="21"/>
                <w:szCs w:val="21"/>
                <w:highlight w:val="none"/>
                <w:lang w:bidi="zh-CN"/>
              </w:rPr>
              <w:t>食</w:t>
            </w:r>
            <w:r>
              <w:rPr>
                <w:rFonts w:hint="eastAsia" w:cs="宋体"/>
                <w:kern w:val="0"/>
                <w:sz w:val="21"/>
                <w:szCs w:val="21"/>
                <w:highlight w:val="none"/>
                <w:lang w:val="zh-CN" w:bidi="zh-CN"/>
              </w:rPr>
              <w:t>堂餐具</w:t>
            </w:r>
          </w:p>
          <w:p>
            <w:pPr>
              <w:autoSpaceDE w:val="0"/>
              <w:autoSpaceDN w:val="0"/>
              <w:snapToGrid w:val="0"/>
              <w:spacing w:line="360" w:lineRule="auto"/>
              <w:ind w:left="706" w:right="-29" w:hanging="707"/>
              <w:jc w:val="center"/>
              <w:rPr>
                <w:rFonts w:cs="宋体"/>
                <w:spacing w:val="8"/>
                <w:kern w:val="0"/>
                <w:sz w:val="21"/>
                <w:szCs w:val="21"/>
                <w:highlight w:val="none"/>
                <w:lang w:eastAsia="en-US"/>
              </w:rPr>
            </w:pPr>
            <w:r>
              <w:rPr>
                <w:rFonts w:hint="eastAsia" w:cs="宋体"/>
                <w:kern w:val="0"/>
                <w:sz w:val="21"/>
                <w:szCs w:val="21"/>
                <w:highlight w:val="none"/>
                <w:lang w:val="zh-CN" w:bidi="zh-CN"/>
              </w:rPr>
              <w:t>消毒管理</w:t>
            </w:r>
          </w:p>
        </w:tc>
        <w:tc>
          <w:tcPr>
            <w:tcW w:w="480" w:type="dxa"/>
            <w:noWrap/>
            <w:vAlign w:val="center"/>
          </w:tcPr>
          <w:p>
            <w:pPr>
              <w:autoSpaceDE w:val="0"/>
              <w:autoSpaceDN w:val="0"/>
              <w:snapToGrid w:val="0"/>
              <w:spacing w:before="1" w:line="360" w:lineRule="auto"/>
              <w:jc w:val="center"/>
              <w:rPr>
                <w:rFonts w:cs="宋体"/>
                <w:kern w:val="0"/>
                <w:sz w:val="21"/>
                <w:szCs w:val="21"/>
                <w:highlight w:val="none"/>
                <w:lang w:bidi="zh-CN"/>
              </w:rPr>
            </w:pPr>
          </w:p>
          <w:p>
            <w:pPr>
              <w:autoSpaceDE w:val="0"/>
              <w:autoSpaceDN w:val="0"/>
              <w:snapToGrid w:val="0"/>
              <w:spacing w:before="1" w:line="360" w:lineRule="auto"/>
              <w:jc w:val="center"/>
              <w:rPr>
                <w:rFonts w:cs="宋体"/>
                <w:kern w:val="0"/>
                <w:sz w:val="21"/>
                <w:szCs w:val="21"/>
                <w:highlight w:val="none"/>
                <w:lang w:bidi="zh-CN"/>
              </w:rPr>
            </w:pPr>
            <w:r>
              <w:rPr>
                <w:rFonts w:hint="eastAsia" w:cs="宋体"/>
                <w:kern w:val="0"/>
                <w:sz w:val="21"/>
                <w:szCs w:val="21"/>
                <w:highlight w:val="none"/>
                <w:lang w:bidi="zh-CN"/>
              </w:rPr>
              <w:t>3</w:t>
            </w:r>
          </w:p>
          <w:p>
            <w:pPr>
              <w:autoSpaceDE w:val="0"/>
              <w:autoSpaceDN w:val="0"/>
              <w:snapToGrid w:val="0"/>
              <w:spacing w:line="360" w:lineRule="auto"/>
              <w:ind w:right="41"/>
              <w:jc w:val="center"/>
              <w:rPr>
                <w:rFonts w:cs="宋体"/>
                <w:kern w:val="0"/>
                <w:sz w:val="21"/>
                <w:szCs w:val="21"/>
                <w:highlight w:val="none"/>
                <w:lang w:val="zh-CN" w:bidi="zh-CN"/>
              </w:rPr>
            </w:pPr>
          </w:p>
        </w:tc>
        <w:tc>
          <w:tcPr>
            <w:tcW w:w="6984" w:type="dxa"/>
            <w:noWrap/>
          </w:tcPr>
          <w:p>
            <w:pPr>
              <w:snapToGrid w:val="0"/>
              <w:spacing w:line="360" w:lineRule="auto"/>
              <w:rPr>
                <w:rFonts w:cs="宋体"/>
                <w:sz w:val="21"/>
                <w:szCs w:val="21"/>
                <w:highlight w:val="none"/>
                <w:lang w:val="zh-CN" w:bidi="zh-CN"/>
              </w:rPr>
            </w:pPr>
            <w:r>
              <w:rPr>
                <w:rFonts w:hint="eastAsia" w:cs="宋体"/>
                <w:sz w:val="21"/>
                <w:szCs w:val="21"/>
                <w:highlight w:val="none"/>
                <w:lang w:val="zh-CN" w:bidi="zh-CN"/>
              </w:rPr>
              <w:t>根据供应商提供的针对单位用餐特点编制食堂餐具清洗和消毒、保障用餐环境卫生的标准和实施方案评分：</w:t>
            </w:r>
          </w:p>
          <w:p>
            <w:pPr>
              <w:snapToGrid w:val="0"/>
              <w:spacing w:line="360" w:lineRule="auto"/>
              <w:rPr>
                <w:rFonts w:cs="宋体"/>
                <w:sz w:val="21"/>
                <w:szCs w:val="21"/>
                <w:highlight w:val="none"/>
                <w:lang w:val="zh-CN" w:bidi="zh-CN"/>
              </w:rPr>
            </w:pPr>
            <w:r>
              <w:rPr>
                <w:rFonts w:hint="eastAsia" w:cs="宋体"/>
                <w:sz w:val="21"/>
                <w:szCs w:val="21"/>
                <w:highlight w:val="none"/>
                <w:lang w:val="zh-CN" w:bidi="zh-CN"/>
              </w:rPr>
              <w:t>（1）提供方案科学、</w:t>
            </w:r>
            <w:r>
              <w:rPr>
                <w:rFonts w:hint="eastAsia" w:cs="宋体"/>
                <w:sz w:val="21"/>
                <w:szCs w:val="21"/>
                <w:highlight w:val="none"/>
                <w:lang w:bidi="zh-CN"/>
              </w:rPr>
              <w:t>完整</w:t>
            </w:r>
            <w:r>
              <w:rPr>
                <w:rFonts w:hint="eastAsia" w:cs="宋体"/>
                <w:sz w:val="21"/>
                <w:szCs w:val="21"/>
                <w:highlight w:val="none"/>
                <w:lang w:val="zh-CN" w:bidi="zh-CN"/>
              </w:rPr>
              <w:t>得 3 分；</w:t>
            </w:r>
          </w:p>
          <w:p>
            <w:pPr>
              <w:snapToGrid w:val="0"/>
              <w:spacing w:line="360" w:lineRule="auto"/>
              <w:rPr>
                <w:rFonts w:cs="宋体"/>
                <w:spacing w:val="-1"/>
                <w:sz w:val="21"/>
                <w:szCs w:val="21"/>
                <w:highlight w:val="none"/>
              </w:rPr>
            </w:pPr>
            <w:r>
              <w:rPr>
                <w:rFonts w:hint="eastAsia" w:cs="宋体"/>
                <w:spacing w:val="-1"/>
                <w:sz w:val="21"/>
                <w:szCs w:val="21"/>
                <w:highlight w:val="none"/>
              </w:rPr>
              <w:t>（2）</w:t>
            </w:r>
            <w:r>
              <w:rPr>
                <w:rFonts w:hint="eastAsia" w:cs="宋体"/>
                <w:sz w:val="21"/>
                <w:szCs w:val="21"/>
                <w:highlight w:val="none"/>
                <w:lang w:val="zh-CN" w:bidi="zh-CN"/>
              </w:rPr>
              <w:t>提供方案</w:t>
            </w:r>
            <w:r>
              <w:rPr>
                <w:rFonts w:hint="eastAsia" w:cs="宋体"/>
                <w:sz w:val="21"/>
                <w:szCs w:val="21"/>
                <w:highlight w:val="none"/>
                <w:lang w:bidi="zh-CN"/>
              </w:rPr>
              <w:t>基本合理</w:t>
            </w:r>
            <w:r>
              <w:rPr>
                <w:rFonts w:hint="eastAsia" w:cs="宋体"/>
                <w:sz w:val="21"/>
                <w:szCs w:val="21"/>
                <w:highlight w:val="none"/>
                <w:lang w:val="zh-CN" w:bidi="zh-CN"/>
              </w:rPr>
              <w:t xml:space="preserve">得 </w:t>
            </w:r>
            <w:r>
              <w:rPr>
                <w:rFonts w:hint="eastAsia" w:cs="宋体"/>
                <w:sz w:val="21"/>
                <w:szCs w:val="21"/>
                <w:highlight w:val="none"/>
                <w:lang w:bidi="zh-CN"/>
              </w:rPr>
              <w:t>2</w:t>
            </w:r>
            <w:r>
              <w:rPr>
                <w:rFonts w:hint="eastAsia" w:cs="宋体"/>
                <w:sz w:val="21"/>
                <w:szCs w:val="21"/>
                <w:highlight w:val="none"/>
                <w:lang w:val="zh-CN" w:bidi="zh-CN"/>
              </w:rPr>
              <w:t xml:space="preserve"> 分；</w:t>
            </w:r>
          </w:p>
          <w:p>
            <w:pPr>
              <w:snapToGrid w:val="0"/>
              <w:spacing w:line="360" w:lineRule="auto"/>
              <w:rPr>
                <w:rFonts w:cs="宋体"/>
                <w:spacing w:val="-1"/>
                <w:sz w:val="21"/>
                <w:szCs w:val="21"/>
                <w:highlight w:val="none"/>
              </w:rPr>
            </w:pPr>
            <w:r>
              <w:rPr>
                <w:rFonts w:hint="eastAsia" w:cs="宋体"/>
                <w:spacing w:val="-1"/>
                <w:sz w:val="21"/>
                <w:szCs w:val="21"/>
                <w:highlight w:val="none"/>
              </w:rPr>
              <w:t>（3）</w:t>
            </w:r>
            <w:r>
              <w:rPr>
                <w:rFonts w:hint="eastAsia" w:cs="宋体"/>
                <w:sz w:val="21"/>
                <w:szCs w:val="21"/>
                <w:highlight w:val="none"/>
                <w:lang w:val="zh-CN" w:bidi="zh-CN"/>
              </w:rPr>
              <w:t>提供方案欠完整合理</w:t>
            </w:r>
            <w:r>
              <w:rPr>
                <w:rFonts w:hint="eastAsia" w:cs="宋体"/>
                <w:sz w:val="21"/>
                <w:szCs w:val="21"/>
                <w:highlight w:val="none"/>
                <w:lang w:bidi="zh-CN"/>
              </w:rPr>
              <w:t>的</w:t>
            </w:r>
            <w:r>
              <w:rPr>
                <w:rFonts w:hint="eastAsia" w:cs="宋体"/>
                <w:sz w:val="21"/>
                <w:szCs w:val="21"/>
                <w:highlight w:val="none"/>
                <w:lang w:val="zh-CN" w:bidi="zh-CN"/>
              </w:rPr>
              <w:t>得</w:t>
            </w:r>
            <w:r>
              <w:rPr>
                <w:rFonts w:hint="eastAsia" w:cs="宋体"/>
                <w:sz w:val="21"/>
                <w:szCs w:val="21"/>
                <w:highlight w:val="none"/>
                <w:lang w:bidi="zh-CN"/>
              </w:rPr>
              <w:t xml:space="preserve"> 1 </w:t>
            </w:r>
            <w:r>
              <w:rPr>
                <w:rFonts w:hint="eastAsia" w:cs="宋体"/>
                <w:sz w:val="21"/>
                <w:szCs w:val="21"/>
                <w:highlight w:val="none"/>
                <w:lang w:val="zh-CN" w:bidi="zh-CN"/>
              </w:rPr>
              <w:t>分</w:t>
            </w:r>
            <w:r>
              <w:rPr>
                <w:rFonts w:hint="eastAsia" w:cs="宋体"/>
                <w:sz w:val="21"/>
                <w:szCs w:val="21"/>
                <w:highlight w:val="none"/>
                <w:lang w:bidi="zh-CN"/>
              </w:rPr>
              <w:t>；</w:t>
            </w:r>
          </w:p>
          <w:p>
            <w:pPr>
              <w:snapToGrid w:val="0"/>
              <w:spacing w:line="360" w:lineRule="auto"/>
              <w:rPr>
                <w:rFonts w:cs="宋体"/>
                <w:spacing w:val="-1"/>
                <w:sz w:val="21"/>
                <w:szCs w:val="21"/>
                <w:highlight w:val="none"/>
              </w:rPr>
            </w:pPr>
            <w:r>
              <w:rPr>
                <w:rFonts w:hint="eastAsia" w:cs="宋体"/>
                <w:spacing w:val="-1"/>
                <w:sz w:val="21"/>
                <w:szCs w:val="21"/>
                <w:highlight w:val="none"/>
              </w:rPr>
              <w:t>（4）</w:t>
            </w:r>
            <w:r>
              <w:rPr>
                <w:rFonts w:hint="eastAsia" w:cs="宋体"/>
                <w:sz w:val="21"/>
                <w:szCs w:val="21"/>
                <w:highlight w:val="none"/>
                <w:lang w:val="zh-CN" w:bidi="zh-CN"/>
              </w:rPr>
              <w:t>未提供不得分。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916" w:type="dxa"/>
            <w:vMerge w:val="continue"/>
            <w:noWrap/>
            <w:vAlign w:val="center"/>
          </w:tcPr>
          <w:p>
            <w:pPr>
              <w:snapToGrid w:val="0"/>
              <w:spacing w:line="360" w:lineRule="auto"/>
              <w:jc w:val="center"/>
              <w:rPr>
                <w:rFonts w:cs="宋体"/>
                <w:sz w:val="21"/>
                <w:szCs w:val="21"/>
                <w:highlight w:val="none"/>
              </w:rPr>
            </w:pPr>
          </w:p>
        </w:tc>
        <w:tc>
          <w:tcPr>
            <w:tcW w:w="945" w:type="dxa"/>
            <w:vMerge w:val="continue"/>
            <w:noWrap/>
            <w:vAlign w:val="center"/>
          </w:tcPr>
          <w:p>
            <w:pPr>
              <w:snapToGrid w:val="0"/>
              <w:spacing w:line="360" w:lineRule="auto"/>
              <w:jc w:val="center"/>
              <w:rPr>
                <w:rFonts w:cs="宋体"/>
                <w:sz w:val="21"/>
                <w:szCs w:val="21"/>
                <w:highlight w:val="none"/>
              </w:rPr>
            </w:pPr>
          </w:p>
        </w:tc>
        <w:tc>
          <w:tcPr>
            <w:tcW w:w="1035" w:type="dxa"/>
            <w:noWrap/>
            <w:vAlign w:val="center"/>
          </w:tcPr>
          <w:p>
            <w:pPr>
              <w:snapToGrid w:val="0"/>
              <w:spacing w:line="360" w:lineRule="auto"/>
              <w:jc w:val="center"/>
              <w:rPr>
                <w:rFonts w:cs="宋体"/>
                <w:spacing w:val="8"/>
                <w:sz w:val="21"/>
                <w:szCs w:val="21"/>
                <w:highlight w:val="none"/>
              </w:rPr>
            </w:pPr>
            <w:r>
              <w:rPr>
                <w:rFonts w:hint="eastAsia" w:cs="宋体"/>
                <w:sz w:val="21"/>
                <w:szCs w:val="21"/>
                <w:highlight w:val="none"/>
                <w:lang w:bidi="zh-CN"/>
              </w:rPr>
              <w:t>服务质量与投诉解决方案</w:t>
            </w:r>
          </w:p>
        </w:tc>
        <w:tc>
          <w:tcPr>
            <w:tcW w:w="480" w:type="dxa"/>
            <w:noWrap/>
            <w:vAlign w:val="center"/>
          </w:tcPr>
          <w:p>
            <w:pPr>
              <w:widowControl/>
              <w:pBdr>
                <w:between w:val="single" w:color="auto" w:sz="4" w:space="0"/>
              </w:pBdr>
              <w:snapToGrid w:val="0"/>
              <w:spacing w:line="360" w:lineRule="auto"/>
              <w:jc w:val="center"/>
              <w:rPr>
                <w:rFonts w:cs="宋体"/>
                <w:sz w:val="21"/>
                <w:szCs w:val="21"/>
                <w:highlight w:val="none"/>
                <w:lang w:bidi="zh-CN"/>
              </w:rPr>
            </w:pPr>
            <w:r>
              <w:rPr>
                <w:rFonts w:hint="eastAsia" w:cs="宋体"/>
                <w:sz w:val="21"/>
                <w:szCs w:val="21"/>
                <w:highlight w:val="none"/>
                <w:lang w:bidi="zh-CN"/>
              </w:rPr>
              <w:t>3</w:t>
            </w:r>
          </w:p>
        </w:tc>
        <w:tc>
          <w:tcPr>
            <w:tcW w:w="6984" w:type="dxa"/>
            <w:noWrap/>
            <w:vAlign w:val="center"/>
          </w:tcPr>
          <w:p>
            <w:pPr>
              <w:widowControl/>
              <w:snapToGrid w:val="0"/>
              <w:spacing w:line="360" w:lineRule="auto"/>
              <w:jc w:val="left"/>
              <w:rPr>
                <w:rFonts w:cs="宋体"/>
                <w:sz w:val="21"/>
                <w:szCs w:val="21"/>
                <w:highlight w:val="none"/>
                <w:lang w:bidi="zh-CN"/>
              </w:rPr>
            </w:pPr>
            <w:r>
              <w:rPr>
                <w:rFonts w:hint="eastAsia" w:cs="宋体"/>
                <w:color w:val="000000"/>
                <w:kern w:val="0"/>
                <w:sz w:val="21"/>
                <w:szCs w:val="21"/>
                <w:highlight w:val="none"/>
              </w:rPr>
              <w:t>根据供应商提供的服务质量与投诉解决</w:t>
            </w:r>
            <w:r>
              <w:rPr>
                <w:rFonts w:hint="eastAsia" w:cs="宋体"/>
                <w:sz w:val="21"/>
                <w:szCs w:val="21"/>
                <w:highlight w:val="none"/>
                <w:lang w:bidi="zh-CN"/>
              </w:rPr>
              <w:t>方案评分：</w:t>
            </w:r>
          </w:p>
          <w:p>
            <w:pPr>
              <w:widowControl/>
              <w:snapToGrid w:val="0"/>
              <w:spacing w:line="360" w:lineRule="auto"/>
              <w:jc w:val="left"/>
              <w:rPr>
                <w:rFonts w:cs="宋体"/>
                <w:color w:val="000000"/>
                <w:sz w:val="21"/>
                <w:szCs w:val="21"/>
                <w:highlight w:val="none"/>
              </w:rPr>
            </w:pPr>
            <w:r>
              <w:rPr>
                <w:rFonts w:hint="eastAsia" w:cs="宋体"/>
                <w:color w:val="000000"/>
                <w:sz w:val="21"/>
                <w:szCs w:val="21"/>
                <w:highlight w:val="none"/>
              </w:rPr>
              <w:t>（1）</w:t>
            </w:r>
            <w:r>
              <w:rPr>
                <w:rFonts w:hint="eastAsia" w:cs="宋体"/>
                <w:color w:val="000000"/>
                <w:kern w:val="0"/>
                <w:sz w:val="21"/>
                <w:szCs w:val="21"/>
                <w:highlight w:val="none"/>
              </w:rPr>
              <w:t>供应商有完善得服务质量监控管理体系与投诉解决方案，方案须切实可行，能有效、快速处理问题，方案内容</w:t>
            </w:r>
            <w:r>
              <w:rPr>
                <w:rFonts w:hint="eastAsia" w:cs="宋体"/>
                <w:color w:val="000000"/>
                <w:sz w:val="21"/>
                <w:szCs w:val="21"/>
                <w:highlight w:val="none"/>
              </w:rPr>
              <w:t>详细全面、合理、可行、针对性强得3分；</w:t>
            </w:r>
          </w:p>
          <w:p>
            <w:pPr>
              <w:widowControl/>
              <w:snapToGrid w:val="0"/>
              <w:spacing w:line="360" w:lineRule="auto"/>
              <w:jc w:val="left"/>
              <w:rPr>
                <w:rFonts w:cs="宋体"/>
                <w:color w:val="000000"/>
                <w:sz w:val="21"/>
                <w:szCs w:val="21"/>
                <w:highlight w:val="none"/>
              </w:rPr>
            </w:pPr>
            <w:r>
              <w:rPr>
                <w:rFonts w:hint="eastAsia" w:cs="宋体"/>
                <w:color w:val="000000"/>
                <w:sz w:val="21"/>
                <w:szCs w:val="21"/>
                <w:highlight w:val="none"/>
              </w:rPr>
              <w:t>（2）内容基本全面、合理、可行得2分；</w:t>
            </w:r>
          </w:p>
          <w:p>
            <w:pPr>
              <w:widowControl/>
              <w:snapToGrid w:val="0"/>
              <w:spacing w:line="360" w:lineRule="auto"/>
              <w:jc w:val="left"/>
              <w:rPr>
                <w:rFonts w:cs="宋体"/>
                <w:color w:val="000000"/>
                <w:sz w:val="21"/>
                <w:szCs w:val="21"/>
                <w:highlight w:val="none"/>
              </w:rPr>
            </w:pPr>
            <w:r>
              <w:rPr>
                <w:rFonts w:hint="eastAsia" w:cs="宋体"/>
                <w:color w:val="000000"/>
                <w:sz w:val="21"/>
                <w:szCs w:val="21"/>
                <w:highlight w:val="none"/>
              </w:rPr>
              <w:t>（3）方案欠缺，基本可行得1分；</w:t>
            </w:r>
          </w:p>
          <w:p>
            <w:pPr>
              <w:widowControl/>
              <w:snapToGrid w:val="0"/>
              <w:spacing w:line="360" w:lineRule="auto"/>
              <w:jc w:val="left"/>
              <w:rPr>
                <w:rFonts w:cs="宋体"/>
                <w:highlight w:val="none"/>
              </w:rPr>
            </w:pPr>
            <w:r>
              <w:rPr>
                <w:rFonts w:hint="eastAsia" w:cs="宋体"/>
                <w:color w:val="000000"/>
                <w:sz w:val="21"/>
                <w:szCs w:val="21"/>
                <w:highlight w:val="none"/>
              </w:rPr>
              <w:t>（4）未</w:t>
            </w:r>
            <w:r>
              <w:rPr>
                <w:rFonts w:hint="eastAsia" w:cs="宋体"/>
                <w:color w:val="000000"/>
                <w:kern w:val="0"/>
                <w:sz w:val="21"/>
                <w:szCs w:val="21"/>
                <w:highlight w:val="none"/>
              </w:rPr>
              <w:t>提供不得分。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916" w:type="dxa"/>
            <w:vMerge w:val="continue"/>
            <w:noWrap/>
            <w:vAlign w:val="center"/>
          </w:tcPr>
          <w:p>
            <w:pPr>
              <w:snapToGrid w:val="0"/>
              <w:spacing w:line="360" w:lineRule="auto"/>
              <w:jc w:val="center"/>
              <w:rPr>
                <w:rFonts w:cs="宋体"/>
                <w:sz w:val="21"/>
                <w:szCs w:val="21"/>
                <w:highlight w:val="none"/>
              </w:rPr>
            </w:pPr>
          </w:p>
        </w:tc>
        <w:tc>
          <w:tcPr>
            <w:tcW w:w="945" w:type="dxa"/>
            <w:vMerge w:val="continue"/>
            <w:noWrap/>
            <w:vAlign w:val="center"/>
          </w:tcPr>
          <w:p>
            <w:pPr>
              <w:snapToGrid w:val="0"/>
              <w:spacing w:line="360" w:lineRule="auto"/>
              <w:jc w:val="center"/>
              <w:rPr>
                <w:rFonts w:cs="宋体"/>
                <w:sz w:val="21"/>
                <w:szCs w:val="21"/>
                <w:highlight w:val="none"/>
              </w:rPr>
            </w:pPr>
          </w:p>
        </w:tc>
        <w:tc>
          <w:tcPr>
            <w:tcW w:w="1035" w:type="dxa"/>
            <w:noWrap/>
            <w:vAlign w:val="center"/>
          </w:tcPr>
          <w:p>
            <w:pPr>
              <w:snapToGrid w:val="0"/>
              <w:spacing w:line="360" w:lineRule="auto"/>
              <w:jc w:val="center"/>
              <w:rPr>
                <w:rFonts w:cs="宋体"/>
                <w:spacing w:val="8"/>
                <w:sz w:val="21"/>
                <w:szCs w:val="21"/>
                <w:highlight w:val="none"/>
              </w:rPr>
            </w:pPr>
            <w:r>
              <w:rPr>
                <w:rFonts w:hint="eastAsia" w:cs="宋体"/>
                <w:sz w:val="21"/>
                <w:szCs w:val="21"/>
                <w:highlight w:val="none"/>
                <w:lang w:bidi="zh-CN"/>
              </w:rPr>
              <w:t>应急预案</w:t>
            </w:r>
          </w:p>
        </w:tc>
        <w:tc>
          <w:tcPr>
            <w:tcW w:w="480" w:type="dxa"/>
            <w:noWrap/>
            <w:vAlign w:val="center"/>
          </w:tcPr>
          <w:p>
            <w:pPr>
              <w:widowControl/>
              <w:pBdr>
                <w:between w:val="single" w:color="auto" w:sz="4" w:space="0"/>
              </w:pBdr>
              <w:snapToGrid w:val="0"/>
              <w:spacing w:line="360" w:lineRule="auto"/>
              <w:jc w:val="center"/>
              <w:rPr>
                <w:rFonts w:cs="宋体"/>
                <w:sz w:val="21"/>
                <w:szCs w:val="21"/>
                <w:highlight w:val="none"/>
                <w:lang w:bidi="zh-CN"/>
              </w:rPr>
            </w:pPr>
            <w:r>
              <w:rPr>
                <w:rFonts w:hint="eastAsia" w:cs="宋体"/>
                <w:sz w:val="21"/>
                <w:szCs w:val="21"/>
                <w:highlight w:val="none"/>
                <w:lang w:bidi="zh-CN"/>
              </w:rPr>
              <w:t>3</w:t>
            </w:r>
          </w:p>
        </w:tc>
        <w:tc>
          <w:tcPr>
            <w:tcW w:w="6984" w:type="dxa"/>
            <w:noWrap/>
            <w:vAlign w:val="center"/>
          </w:tcPr>
          <w:p>
            <w:pPr>
              <w:widowControl/>
              <w:autoSpaceDE w:val="0"/>
              <w:autoSpaceDN w:val="0"/>
              <w:snapToGrid w:val="0"/>
              <w:spacing w:line="360" w:lineRule="auto"/>
              <w:jc w:val="left"/>
              <w:rPr>
                <w:rFonts w:cs="宋体"/>
                <w:sz w:val="21"/>
                <w:szCs w:val="21"/>
                <w:highlight w:val="none"/>
                <w:lang w:bidi="zh-CN"/>
              </w:rPr>
            </w:pPr>
            <w:r>
              <w:rPr>
                <w:rFonts w:hint="eastAsia" w:cs="宋体"/>
                <w:sz w:val="21"/>
                <w:szCs w:val="21"/>
                <w:highlight w:val="none"/>
              </w:rPr>
              <w:t>根据供应商对本项目制定</w:t>
            </w:r>
            <w:r>
              <w:rPr>
                <w:rFonts w:hint="eastAsia" w:cs="宋体"/>
                <w:sz w:val="21"/>
                <w:szCs w:val="21"/>
                <w:highlight w:val="none"/>
                <w:lang w:bidi="zh-CN"/>
              </w:rPr>
              <w:t>应急预案方案评分：</w:t>
            </w:r>
          </w:p>
          <w:p>
            <w:pPr>
              <w:widowControl/>
              <w:autoSpaceDE w:val="0"/>
              <w:autoSpaceDN w:val="0"/>
              <w:snapToGrid w:val="0"/>
              <w:spacing w:line="360" w:lineRule="auto"/>
              <w:jc w:val="left"/>
              <w:rPr>
                <w:rFonts w:cs="宋体"/>
                <w:color w:val="000000"/>
                <w:kern w:val="0"/>
                <w:sz w:val="21"/>
                <w:szCs w:val="21"/>
                <w:highlight w:val="none"/>
              </w:rPr>
            </w:pPr>
            <w:r>
              <w:rPr>
                <w:rFonts w:hint="eastAsia" w:cs="宋体"/>
                <w:sz w:val="21"/>
                <w:szCs w:val="21"/>
                <w:highlight w:val="none"/>
                <w:lang w:bidi="zh-CN"/>
              </w:rPr>
              <w:t>（1）突发治安事件应急措施、</w:t>
            </w:r>
            <w:r>
              <w:rPr>
                <w:rFonts w:hint="eastAsia" w:cs="宋体"/>
                <w:color w:val="000000"/>
                <w:kern w:val="0"/>
                <w:sz w:val="21"/>
                <w:szCs w:val="21"/>
                <w:highlight w:val="none"/>
              </w:rPr>
              <w:t>杜绝食源性细菌感染食物中毒的应急预案、能及时满足停水、停电、停气应急方案、完善的消防应急预案、</w:t>
            </w:r>
            <w:r>
              <w:rPr>
                <w:rFonts w:hint="eastAsia" w:cs="宋体"/>
                <w:color w:val="000000"/>
                <w:kern w:val="0"/>
                <w:sz w:val="21"/>
                <w:szCs w:val="21"/>
                <w:highlight w:val="none"/>
                <w:lang w:val="zh-CN"/>
              </w:rPr>
              <w:t>防四害预控</w:t>
            </w:r>
            <w:r>
              <w:rPr>
                <w:rFonts w:hint="eastAsia" w:cs="宋体"/>
                <w:color w:val="000000"/>
                <w:kern w:val="0"/>
                <w:sz w:val="21"/>
                <w:szCs w:val="21"/>
                <w:highlight w:val="none"/>
              </w:rPr>
              <w:t>方案，方案内容详细全面、合理、可行、针对性强得3分；</w:t>
            </w:r>
          </w:p>
          <w:p>
            <w:pPr>
              <w:widowControl/>
              <w:autoSpaceDE w:val="0"/>
              <w:autoSpaceDN w:val="0"/>
              <w:snapToGrid w:val="0"/>
              <w:spacing w:line="360" w:lineRule="auto"/>
              <w:jc w:val="left"/>
              <w:rPr>
                <w:rFonts w:cs="宋体"/>
                <w:color w:val="000000"/>
                <w:kern w:val="0"/>
                <w:sz w:val="21"/>
                <w:szCs w:val="21"/>
                <w:highlight w:val="none"/>
              </w:rPr>
            </w:pPr>
            <w:r>
              <w:rPr>
                <w:rFonts w:hint="eastAsia" w:cs="宋体"/>
                <w:color w:val="000000"/>
                <w:kern w:val="0"/>
                <w:sz w:val="21"/>
                <w:szCs w:val="21"/>
                <w:highlight w:val="none"/>
              </w:rPr>
              <w:t>（2）内容基本全面、合理、可行得2分；</w:t>
            </w:r>
          </w:p>
          <w:p>
            <w:pPr>
              <w:widowControl/>
              <w:autoSpaceDE w:val="0"/>
              <w:autoSpaceDN w:val="0"/>
              <w:snapToGrid w:val="0"/>
              <w:spacing w:line="360" w:lineRule="auto"/>
              <w:jc w:val="left"/>
              <w:rPr>
                <w:rFonts w:cs="宋体"/>
                <w:color w:val="000000"/>
                <w:kern w:val="0"/>
                <w:sz w:val="21"/>
                <w:szCs w:val="21"/>
                <w:highlight w:val="none"/>
              </w:rPr>
            </w:pPr>
            <w:r>
              <w:rPr>
                <w:rFonts w:hint="eastAsia" w:cs="宋体"/>
                <w:color w:val="000000"/>
                <w:kern w:val="0"/>
                <w:sz w:val="21"/>
                <w:szCs w:val="21"/>
                <w:highlight w:val="none"/>
              </w:rPr>
              <w:t>（3）合理，方案欠缺基本可行得1分。</w:t>
            </w:r>
          </w:p>
          <w:p>
            <w:pPr>
              <w:widowControl/>
              <w:autoSpaceDE w:val="0"/>
              <w:autoSpaceDN w:val="0"/>
              <w:snapToGrid w:val="0"/>
              <w:spacing w:line="360" w:lineRule="auto"/>
              <w:jc w:val="left"/>
              <w:rPr>
                <w:rFonts w:cs="宋体"/>
                <w:spacing w:val="-1"/>
                <w:sz w:val="21"/>
                <w:szCs w:val="21"/>
                <w:highlight w:val="none"/>
              </w:rPr>
            </w:pPr>
            <w:r>
              <w:rPr>
                <w:rFonts w:hint="eastAsia" w:cs="宋体"/>
                <w:color w:val="000000"/>
                <w:kern w:val="0"/>
                <w:sz w:val="21"/>
                <w:szCs w:val="21"/>
                <w:highlight w:val="none"/>
              </w:rPr>
              <w:t>（4）未提供不得分。</w:t>
            </w:r>
          </w:p>
        </w:tc>
      </w:tr>
    </w:tbl>
    <w:p>
      <w:pPr>
        <w:spacing w:line="360" w:lineRule="auto"/>
        <w:rPr>
          <w:rFonts w:cs="宋体"/>
          <w:highlight w:val="none"/>
        </w:rPr>
      </w:pPr>
    </w:p>
    <w:p>
      <w:pPr>
        <w:rPr>
          <w:rFonts w:cs="宋体"/>
          <w:highlight w:val="none"/>
        </w:rPr>
        <w:sectPr>
          <w:pgSz w:w="11906" w:h="16839"/>
          <w:pgMar w:top="1134" w:right="1785" w:bottom="1134" w:left="1460" w:header="0" w:footer="992" w:gutter="0"/>
          <w:cols w:space="720" w:num="1"/>
        </w:sectPr>
      </w:pPr>
    </w:p>
    <w:p>
      <w:pPr>
        <w:adjustRightInd w:val="0"/>
        <w:snapToGrid w:val="0"/>
        <w:spacing w:before="100" w:line="396" w:lineRule="auto"/>
        <w:rPr>
          <w:rFonts w:cs="宋体"/>
          <w:b/>
          <w:kern w:val="0"/>
          <w:highlight w:val="none"/>
          <w:lang w:val="zh-CN"/>
        </w:rPr>
      </w:pPr>
      <w:r>
        <w:rPr>
          <w:rFonts w:hint="eastAsia" w:cs="宋体"/>
          <w:b/>
          <w:kern w:val="0"/>
          <w:highlight w:val="none"/>
        </w:rPr>
        <w:t>1、</w:t>
      </w:r>
      <w:r>
        <w:rPr>
          <w:rFonts w:hint="eastAsia" w:cs="宋体"/>
          <w:b/>
          <w:kern w:val="0"/>
          <w:highlight w:val="none"/>
          <w:lang w:val="zh-CN"/>
        </w:rPr>
        <w:t>评标方法</w:t>
      </w:r>
    </w:p>
    <w:p>
      <w:pPr>
        <w:snapToGrid w:val="0"/>
        <w:spacing w:line="396" w:lineRule="auto"/>
        <w:ind w:right="70" w:firstLine="508" w:firstLineChars="200"/>
        <w:rPr>
          <w:rFonts w:cs="宋体"/>
          <w:highlight w:val="none"/>
        </w:rPr>
      </w:pPr>
      <w:r>
        <w:rPr>
          <w:rFonts w:hint="eastAsia" w:cs="宋体"/>
          <w:spacing w:val="7"/>
          <w:highlight w:val="none"/>
        </w:rPr>
        <w:t>本次评标采用综合评分法。评标委员会对满足招标文件实质性要求的投标文件，按照本章第2.2款规定的评分标准进行打分，并按得</w:t>
      </w:r>
      <w:r>
        <w:rPr>
          <w:rFonts w:hint="eastAsia" w:cs="宋体"/>
          <w:spacing w:val="6"/>
          <w:highlight w:val="none"/>
        </w:rPr>
        <w:t>分由高到低顺序推荐中标候选人。如供应商最</w:t>
      </w:r>
      <w:r>
        <w:rPr>
          <w:rFonts w:hint="eastAsia" w:cs="宋体"/>
          <w:spacing w:val="8"/>
          <w:highlight w:val="none"/>
        </w:rPr>
        <w:t>后得分相同时，按照本章第3.4.1款规定的办法对供应商进行排序推荐中标候选人。</w:t>
      </w:r>
    </w:p>
    <w:p>
      <w:pPr>
        <w:snapToGrid w:val="0"/>
        <w:spacing w:line="396" w:lineRule="auto"/>
        <w:ind w:firstLine="492" w:firstLineChars="200"/>
        <w:rPr>
          <w:rFonts w:cs="宋体"/>
          <w:highlight w:val="none"/>
        </w:rPr>
      </w:pPr>
      <w:r>
        <w:rPr>
          <w:rFonts w:hint="eastAsia" w:cs="宋体"/>
          <w:spacing w:val="3"/>
          <w:highlight w:val="none"/>
        </w:rPr>
        <w:t>评标活动遵循“公平、公正、科学、择优”的原则。在评标期间，任何人不得非法干预、</w:t>
      </w:r>
      <w:r>
        <w:rPr>
          <w:rFonts w:hint="eastAsia" w:cs="宋体"/>
          <w:spacing w:val="7"/>
          <w:highlight w:val="none"/>
        </w:rPr>
        <w:t>影响评标过程。</w:t>
      </w:r>
    </w:p>
    <w:p>
      <w:pPr>
        <w:adjustRightInd w:val="0"/>
        <w:snapToGrid w:val="0"/>
        <w:spacing w:before="100" w:line="396" w:lineRule="auto"/>
        <w:rPr>
          <w:rFonts w:cs="宋体"/>
          <w:b/>
          <w:kern w:val="0"/>
          <w:highlight w:val="none"/>
        </w:rPr>
      </w:pPr>
      <w:r>
        <w:rPr>
          <w:rFonts w:hint="eastAsia" w:cs="宋体"/>
          <w:b/>
          <w:kern w:val="0"/>
          <w:highlight w:val="none"/>
        </w:rPr>
        <w:t>2. 评审标准</w:t>
      </w:r>
    </w:p>
    <w:p>
      <w:pPr>
        <w:snapToGrid w:val="0"/>
        <w:spacing w:line="396" w:lineRule="auto"/>
        <w:ind w:left="350"/>
        <w:rPr>
          <w:rFonts w:cs="宋体"/>
          <w:highlight w:val="none"/>
        </w:rPr>
      </w:pPr>
      <w:r>
        <w:rPr>
          <w:rFonts w:hint="eastAsia" w:cs="宋体"/>
          <w:spacing w:val="6"/>
          <w:highlight w:val="none"/>
        </w:rPr>
        <w:t>2.1 初步评审标准</w:t>
      </w:r>
    </w:p>
    <w:p>
      <w:pPr>
        <w:snapToGrid w:val="0"/>
        <w:spacing w:line="396" w:lineRule="auto"/>
        <w:ind w:left="770"/>
        <w:rPr>
          <w:rFonts w:cs="宋体"/>
          <w:highlight w:val="none"/>
        </w:rPr>
      </w:pPr>
      <w:r>
        <w:rPr>
          <w:rFonts w:hint="eastAsia" w:cs="宋体"/>
          <w:spacing w:val="7"/>
          <w:highlight w:val="none"/>
        </w:rPr>
        <w:t>2.1.1 资格性审查标准：见评标办法前附表。</w:t>
      </w:r>
    </w:p>
    <w:p>
      <w:pPr>
        <w:snapToGrid w:val="0"/>
        <w:spacing w:line="396" w:lineRule="auto"/>
        <w:ind w:left="770"/>
        <w:rPr>
          <w:rFonts w:cs="宋体"/>
          <w:highlight w:val="none"/>
        </w:rPr>
      </w:pPr>
      <w:r>
        <w:rPr>
          <w:rFonts w:hint="eastAsia" w:cs="宋体"/>
          <w:spacing w:val="7"/>
          <w:highlight w:val="none"/>
        </w:rPr>
        <w:t>2.1.2 符合性审查标准：见评标办法前附表。</w:t>
      </w:r>
    </w:p>
    <w:p>
      <w:pPr>
        <w:snapToGrid w:val="0"/>
        <w:spacing w:line="396" w:lineRule="auto"/>
        <w:ind w:left="350"/>
        <w:rPr>
          <w:rFonts w:cs="宋体"/>
          <w:highlight w:val="none"/>
        </w:rPr>
      </w:pPr>
      <w:r>
        <w:rPr>
          <w:rFonts w:hint="eastAsia" w:cs="宋体"/>
          <w:spacing w:val="7"/>
          <w:highlight w:val="none"/>
        </w:rPr>
        <w:t>2.2 分值构成与评分标准</w:t>
      </w:r>
    </w:p>
    <w:p>
      <w:pPr>
        <w:snapToGrid w:val="0"/>
        <w:spacing w:line="396" w:lineRule="auto"/>
        <w:ind w:firstLine="750" w:firstLineChars="300"/>
        <w:rPr>
          <w:rFonts w:cs="宋体"/>
          <w:highlight w:val="none"/>
        </w:rPr>
      </w:pPr>
      <w:r>
        <w:rPr>
          <w:rFonts w:hint="eastAsia" w:cs="宋体"/>
          <w:spacing w:val="5"/>
          <w:highlight w:val="none"/>
        </w:rPr>
        <w:t>2.2.1 分值构成</w:t>
      </w:r>
    </w:p>
    <w:p>
      <w:pPr>
        <w:snapToGrid w:val="0"/>
        <w:spacing w:line="396" w:lineRule="auto"/>
        <w:ind w:left="778"/>
        <w:rPr>
          <w:rFonts w:cs="宋体"/>
          <w:highlight w:val="none"/>
        </w:rPr>
      </w:pPr>
      <w:r>
        <w:rPr>
          <w:rFonts w:hint="eastAsia" w:cs="宋体"/>
          <w:spacing w:val="7"/>
          <w:highlight w:val="none"/>
        </w:rPr>
        <w:t>（1）技术部分：见评标办法前附表；</w:t>
      </w:r>
    </w:p>
    <w:p>
      <w:pPr>
        <w:snapToGrid w:val="0"/>
        <w:spacing w:line="396" w:lineRule="auto"/>
        <w:ind w:left="778"/>
        <w:rPr>
          <w:rFonts w:cs="宋体"/>
          <w:highlight w:val="none"/>
        </w:rPr>
      </w:pPr>
      <w:r>
        <w:rPr>
          <w:rFonts w:hint="eastAsia" w:cs="宋体"/>
          <w:spacing w:val="7"/>
          <w:highlight w:val="none"/>
        </w:rPr>
        <w:t>（2）商务部分：见评标办法前附表；</w:t>
      </w:r>
    </w:p>
    <w:p>
      <w:pPr>
        <w:snapToGrid w:val="0"/>
        <w:spacing w:line="396" w:lineRule="auto"/>
        <w:ind w:left="778"/>
        <w:rPr>
          <w:rFonts w:cs="宋体"/>
          <w:highlight w:val="none"/>
        </w:rPr>
      </w:pPr>
      <w:r>
        <w:rPr>
          <w:rFonts w:hint="eastAsia" w:cs="宋体"/>
          <w:spacing w:val="7"/>
          <w:highlight w:val="none"/>
        </w:rPr>
        <w:t>（3）投标报价：见评标办法前附表；</w:t>
      </w:r>
    </w:p>
    <w:p>
      <w:pPr>
        <w:snapToGrid w:val="0"/>
        <w:spacing w:line="396" w:lineRule="auto"/>
        <w:ind w:left="778"/>
        <w:rPr>
          <w:rFonts w:cs="宋体"/>
          <w:highlight w:val="none"/>
        </w:rPr>
      </w:pPr>
      <w:r>
        <w:rPr>
          <w:rFonts w:hint="eastAsia" w:cs="宋体"/>
          <w:spacing w:val="8"/>
          <w:highlight w:val="none"/>
        </w:rPr>
        <w:t>（4）其他评分因素：见评标办法前附表。</w:t>
      </w:r>
    </w:p>
    <w:p>
      <w:pPr>
        <w:snapToGrid w:val="0"/>
        <w:spacing w:line="396" w:lineRule="auto"/>
        <w:ind w:left="770"/>
        <w:rPr>
          <w:rFonts w:cs="宋体"/>
          <w:highlight w:val="none"/>
        </w:rPr>
      </w:pPr>
      <w:r>
        <w:rPr>
          <w:rFonts w:hint="eastAsia" w:cs="宋体"/>
          <w:spacing w:val="6"/>
          <w:highlight w:val="none"/>
        </w:rPr>
        <w:t>2.2.2 评标基准价计算</w:t>
      </w:r>
    </w:p>
    <w:p>
      <w:pPr>
        <w:snapToGrid w:val="0"/>
        <w:spacing w:line="396" w:lineRule="auto"/>
        <w:ind w:left="767" w:firstLine="256" w:firstLineChars="100"/>
        <w:rPr>
          <w:rFonts w:cs="宋体"/>
          <w:highlight w:val="none"/>
        </w:rPr>
      </w:pPr>
      <w:r>
        <w:rPr>
          <w:rFonts w:hint="eastAsia" w:cs="宋体"/>
          <w:spacing w:val="8"/>
          <w:highlight w:val="none"/>
        </w:rPr>
        <w:t>评标基准价计算方法：见评标办法前附表。</w:t>
      </w:r>
    </w:p>
    <w:p>
      <w:pPr>
        <w:snapToGrid w:val="0"/>
        <w:spacing w:line="396" w:lineRule="auto"/>
        <w:ind w:left="770"/>
        <w:rPr>
          <w:rFonts w:cs="宋体"/>
          <w:highlight w:val="none"/>
        </w:rPr>
      </w:pPr>
      <w:r>
        <w:rPr>
          <w:rFonts w:hint="eastAsia" w:cs="宋体"/>
          <w:spacing w:val="5"/>
          <w:highlight w:val="none"/>
        </w:rPr>
        <w:t>2.2.3 评分标准</w:t>
      </w:r>
    </w:p>
    <w:p>
      <w:pPr>
        <w:snapToGrid w:val="0"/>
        <w:spacing w:line="396" w:lineRule="auto"/>
        <w:ind w:left="778"/>
        <w:rPr>
          <w:rFonts w:cs="宋体"/>
          <w:spacing w:val="8"/>
          <w:highlight w:val="none"/>
        </w:rPr>
      </w:pPr>
      <w:r>
        <w:rPr>
          <w:rFonts w:hint="eastAsia" w:cs="宋体"/>
          <w:spacing w:val="8"/>
          <w:highlight w:val="none"/>
        </w:rPr>
        <w:t>（1）投标报价评分标准：见评标办法前附表；</w:t>
      </w:r>
    </w:p>
    <w:p>
      <w:pPr>
        <w:snapToGrid w:val="0"/>
        <w:spacing w:line="396" w:lineRule="auto"/>
        <w:ind w:left="778"/>
        <w:rPr>
          <w:rFonts w:cs="宋体"/>
          <w:highlight w:val="none"/>
        </w:rPr>
      </w:pPr>
      <w:r>
        <w:rPr>
          <w:rFonts w:hint="eastAsia" w:cs="宋体"/>
          <w:spacing w:val="8"/>
          <w:highlight w:val="none"/>
        </w:rPr>
        <w:t>（2）技术部分评分标准：见评标办法前附表；</w:t>
      </w:r>
    </w:p>
    <w:p>
      <w:pPr>
        <w:snapToGrid w:val="0"/>
        <w:spacing w:line="396" w:lineRule="auto"/>
        <w:ind w:firstLine="768" w:firstLineChars="300"/>
        <w:rPr>
          <w:rFonts w:cs="宋体"/>
          <w:highlight w:val="none"/>
        </w:rPr>
      </w:pPr>
      <w:r>
        <w:rPr>
          <w:rFonts w:hint="eastAsia" w:cs="宋体"/>
          <w:spacing w:val="8"/>
          <w:highlight w:val="none"/>
        </w:rPr>
        <w:t>（3）商务部分评分标准</w:t>
      </w:r>
      <w:r>
        <w:rPr>
          <w:rFonts w:hint="eastAsia" w:cs="宋体"/>
          <w:highlight w:val="none"/>
        </w:rPr>
        <w:t>：</w:t>
      </w:r>
      <w:r>
        <w:rPr>
          <w:rFonts w:hint="eastAsia" w:cs="宋体"/>
          <w:spacing w:val="8"/>
          <w:highlight w:val="none"/>
        </w:rPr>
        <w:t>见评标办法前附表</w:t>
      </w:r>
    </w:p>
    <w:p>
      <w:pPr>
        <w:adjustRightInd w:val="0"/>
        <w:snapToGrid w:val="0"/>
        <w:spacing w:before="100" w:line="396" w:lineRule="auto"/>
        <w:rPr>
          <w:rFonts w:cs="宋体"/>
          <w:b/>
          <w:kern w:val="0"/>
          <w:highlight w:val="none"/>
        </w:rPr>
      </w:pPr>
      <w:r>
        <w:rPr>
          <w:rFonts w:hint="eastAsia" w:cs="宋体"/>
          <w:b/>
          <w:kern w:val="0"/>
          <w:highlight w:val="none"/>
        </w:rPr>
        <w:t>3. 评标程序</w:t>
      </w:r>
    </w:p>
    <w:p>
      <w:pPr>
        <w:snapToGrid w:val="0"/>
        <w:spacing w:line="396" w:lineRule="auto"/>
        <w:ind w:left="350"/>
        <w:rPr>
          <w:rFonts w:cs="宋体"/>
          <w:spacing w:val="6"/>
          <w:highlight w:val="none"/>
        </w:rPr>
      </w:pPr>
      <w:r>
        <w:rPr>
          <w:rFonts w:hint="eastAsia" w:cs="宋体"/>
          <w:spacing w:val="6"/>
          <w:highlight w:val="none"/>
        </w:rPr>
        <w:t>3.1 初步评审</w:t>
      </w:r>
    </w:p>
    <w:p>
      <w:pPr>
        <w:snapToGrid w:val="0"/>
        <w:spacing w:line="396" w:lineRule="auto"/>
        <w:ind w:firstLine="512" w:firstLineChars="200"/>
        <w:rPr>
          <w:rFonts w:cs="宋体"/>
          <w:spacing w:val="8"/>
          <w:highlight w:val="none"/>
        </w:rPr>
      </w:pPr>
      <w:r>
        <w:rPr>
          <w:rFonts w:hint="eastAsia" w:cs="宋体"/>
          <w:spacing w:val="8"/>
          <w:highlight w:val="none"/>
        </w:rPr>
        <w:t>3.1.1 评标委员会可以要求供应商提交第二章供应商须知第 13.2 条规定的有关证明和证件的原件，以便核验。评标委员会依据本章第 2.1.1 款规定的标准对投标文件进行初步评审。有一项不符合评审标准的，其投标按照无效投标处理。</w:t>
      </w:r>
    </w:p>
    <w:p>
      <w:pPr>
        <w:snapToGrid w:val="0"/>
        <w:spacing w:line="396" w:lineRule="auto"/>
        <w:ind w:left="446"/>
        <w:rPr>
          <w:rFonts w:cs="宋体"/>
          <w:highlight w:val="none"/>
        </w:rPr>
      </w:pPr>
      <w:r>
        <w:rPr>
          <w:rFonts w:hint="eastAsia" w:cs="宋体"/>
          <w:spacing w:val="8"/>
          <w:highlight w:val="none"/>
        </w:rPr>
        <w:t>3.1.2 供应商有以下情形之一的，其投标按照无效投标处理：</w:t>
      </w:r>
    </w:p>
    <w:p>
      <w:pPr>
        <w:snapToGrid w:val="0"/>
        <w:spacing w:line="396" w:lineRule="auto"/>
        <w:ind w:left="452"/>
        <w:rPr>
          <w:rFonts w:cs="宋体"/>
          <w:highlight w:val="none"/>
        </w:rPr>
      </w:pPr>
      <w:r>
        <w:rPr>
          <w:rFonts w:hint="eastAsia" w:cs="宋体"/>
          <w:spacing w:val="7"/>
          <w:highlight w:val="none"/>
        </w:rPr>
        <w:t>（1）违反本章第2.1款初步评审标准规定的任何一种情形的；</w:t>
      </w:r>
    </w:p>
    <w:p>
      <w:pPr>
        <w:snapToGrid w:val="0"/>
        <w:spacing w:line="396" w:lineRule="auto"/>
        <w:ind w:left="452"/>
        <w:rPr>
          <w:rFonts w:cs="宋体"/>
          <w:highlight w:val="none"/>
        </w:rPr>
      </w:pPr>
      <w:r>
        <w:rPr>
          <w:rFonts w:hint="eastAsia" w:cs="宋体"/>
          <w:spacing w:val="8"/>
          <w:highlight w:val="none"/>
        </w:rPr>
        <w:t>（2）串通投标或弄虚作假或有其他违法行为的；</w:t>
      </w:r>
    </w:p>
    <w:p>
      <w:pPr>
        <w:snapToGrid w:val="0"/>
        <w:spacing w:line="396" w:lineRule="auto"/>
        <w:ind w:left="452"/>
        <w:rPr>
          <w:rFonts w:cs="宋体"/>
          <w:highlight w:val="none"/>
        </w:rPr>
      </w:pPr>
      <w:r>
        <w:rPr>
          <w:rFonts w:hint="eastAsia" w:cs="宋体"/>
          <w:spacing w:val="8"/>
          <w:highlight w:val="none"/>
        </w:rPr>
        <w:t>（3）不按评标委员会要求澄清、说明或补正的。</w:t>
      </w:r>
    </w:p>
    <w:p>
      <w:pPr>
        <w:snapToGrid w:val="0"/>
        <w:spacing w:line="396" w:lineRule="auto"/>
        <w:ind w:left="446"/>
        <w:rPr>
          <w:rFonts w:cs="宋体"/>
          <w:highlight w:val="none"/>
        </w:rPr>
      </w:pPr>
      <w:r>
        <w:rPr>
          <w:rFonts w:hint="eastAsia" w:cs="宋体"/>
          <w:spacing w:val="8"/>
          <w:highlight w:val="none"/>
        </w:rPr>
        <w:t>3.1.3在招标采购中，出现下列情形之一的，应</w:t>
      </w:r>
      <w:r>
        <w:rPr>
          <w:rFonts w:hint="eastAsia" w:cs="宋体"/>
          <w:spacing w:val="7"/>
          <w:highlight w:val="none"/>
        </w:rPr>
        <w:t>予废标：</w:t>
      </w:r>
    </w:p>
    <w:p>
      <w:pPr>
        <w:snapToGrid w:val="0"/>
        <w:spacing w:line="396" w:lineRule="auto"/>
        <w:ind w:left="452"/>
        <w:rPr>
          <w:rFonts w:cs="宋体"/>
          <w:highlight w:val="none"/>
        </w:rPr>
      </w:pPr>
      <w:r>
        <w:rPr>
          <w:rFonts w:hint="eastAsia" w:cs="宋体"/>
          <w:spacing w:val="9"/>
          <w:highlight w:val="none"/>
        </w:rPr>
        <w:t>（1）符合专业条件的供应商或者对招标文件作实质响应的供应商不足三</w:t>
      </w:r>
      <w:r>
        <w:rPr>
          <w:rFonts w:hint="eastAsia" w:cs="宋体"/>
          <w:spacing w:val="8"/>
          <w:highlight w:val="none"/>
        </w:rPr>
        <w:t>家的；</w:t>
      </w:r>
    </w:p>
    <w:p>
      <w:pPr>
        <w:snapToGrid w:val="0"/>
        <w:spacing w:line="396" w:lineRule="auto"/>
        <w:ind w:left="452"/>
        <w:rPr>
          <w:rFonts w:cs="宋体"/>
          <w:highlight w:val="none"/>
        </w:rPr>
      </w:pPr>
      <w:r>
        <w:rPr>
          <w:rFonts w:hint="eastAsia" w:cs="宋体"/>
          <w:spacing w:val="8"/>
          <w:highlight w:val="none"/>
        </w:rPr>
        <w:t>（2）出现影响采购公正的违法、违规行为的；</w:t>
      </w:r>
    </w:p>
    <w:p>
      <w:pPr>
        <w:snapToGrid w:val="0"/>
        <w:spacing w:line="396" w:lineRule="auto"/>
        <w:ind w:left="452"/>
        <w:rPr>
          <w:rFonts w:cs="宋体"/>
          <w:highlight w:val="none"/>
        </w:rPr>
      </w:pPr>
      <w:r>
        <w:rPr>
          <w:rFonts w:hint="eastAsia" w:cs="宋体"/>
          <w:spacing w:val="8"/>
          <w:highlight w:val="none"/>
        </w:rPr>
        <w:t>（3）供应商的报价均超过了采购预算，采购人不能支付的；</w:t>
      </w:r>
    </w:p>
    <w:p>
      <w:pPr>
        <w:snapToGrid w:val="0"/>
        <w:spacing w:line="396" w:lineRule="auto"/>
        <w:ind w:left="452"/>
        <w:rPr>
          <w:rFonts w:cs="宋体"/>
          <w:highlight w:val="none"/>
        </w:rPr>
      </w:pPr>
      <w:r>
        <w:rPr>
          <w:rFonts w:hint="eastAsia" w:cs="宋体"/>
          <w:spacing w:val="7"/>
          <w:highlight w:val="none"/>
        </w:rPr>
        <w:t>（4）因重大变故，采购任务取消的。</w:t>
      </w:r>
    </w:p>
    <w:p>
      <w:pPr>
        <w:snapToGrid w:val="0"/>
        <w:spacing w:line="396" w:lineRule="auto"/>
        <w:ind w:left="441"/>
        <w:rPr>
          <w:rFonts w:cs="宋体"/>
          <w:highlight w:val="none"/>
        </w:rPr>
      </w:pPr>
      <w:r>
        <w:rPr>
          <w:rFonts w:hint="eastAsia" w:cs="宋体"/>
          <w:spacing w:val="9"/>
          <w:highlight w:val="none"/>
        </w:rPr>
        <w:t>废标后，采购人应当将废标理由通知所有供应商。</w:t>
      </w:r>
    </w:p>
    <w:p>
      <w:pPr>
        <w:snapToGrid w:val="0"/>
        <w:spacing w:line="396" w:lineRule="auto"/>
        <w:ind w:left="22" w:right="12" w:firstLine="424"/>
        <w:rPr>
          <w:rFonts w:cs="宋体"/>
          <w:highlight w:val="none"/>
        </w:rPr>
      </w:pPr>
      <w:r>
        <w:rPr>
          <w:rFonts w:hint="eastAsia" w:cs="宋体"/>
          <w:spacing w:val="8"/>
          <w:highlight w:val="none"/>
        </w:rPr>
        <w:t>3.1.4投标报价有算术错误的，评标委员会按以下原则对投</w:t>
      </w:r>
      <w:r>
        <w:rPr>
          <w:rFonts w:hint="eastAsia" w:cs="宋体"/>
          <w:spacing w:val="7"/>
          <w:highlight w:val="none"/>
        </w:rPr>
        <w:t>标报价进行修正，修正的价</w:t>
      </w:r>
      <w:r>
        <w:rPr>
          <w:rFonts w:hint="eastAsia" w:cs="宋体"/>
          <w:spacing w:val="9"/>
          <w:highlight w:val="none"/>
        </w:rPr>
        <w:t>格经供应商书面确认后具有约束力。供应商不接受修正价格的，其投标按照</w:t>
      </w:r>
      <w:r>
        <w:rPr>
          <w:rFonts w:hint="eastAsia" w:cs="宋体"/>
          <w:spacing w:val="8"/>
          <w:highlight w:val="none"/>
        </w:rPr>
        <w:t>无效投标处理。</w:t>
      </w:r>
    </w:p>
    <w:p>
      <w:pPr>
        <w:snapToGrid w:val="0"/>
        <w:spacing w:line="396" w:lineRule="auto"/>
        <w:ind w:left="452"/>
        <w:rPr>
          <w:rFonts w:cs="宋体"/>
          <w:highlight w:val="none"/>
        </w:rPr>
      </w:pPr>
      <w:r>
        <w:rPr>
          <w:rFonts w:hint="eastAsia" w:cs="宋体"/>
          <w:spacing w:val="9"/>
          <w:highlight w:val="none"/>
        </w:rPr>
        <w:t>（1）投标文件中的大写金额与小写金额不一致的，以</w:t>
      </w:r>
      <w:r>
        <w:rPr>
          <w:rFonts w:hint="eastAsia" w:cs="宋体"/>
          <w:spacing w:val="8"/>
          <w:highlight w:val="none"/>
        </w:rPr>
        <w:t>大写金额为准；</w:t>
      </w:r>
    </w:p>
    <w:p>
      <w:pPr>
        <w:snapToGrid w:val="0"/>
        <w:spacing w:line="396" w:lineRule="auto"/>
        <w:ind w:left="32" w:right="71" w:firstLine="419"/>
        <w:rPr>
          <w:rFonts w:cs="宋体"/>
          <w:highlight w:val="none"/>
        </w:rPr>
      </w:pPr>
      <w:r>
        <w:rPr>
          <w:rFonts w:hint="eastAsia" w:cs="宋体"/>
          <w:spacing w:val="10"/>
          <w:highlight w:val="none"/>
        </w:rPr>
        <w:t>（2）总价金额与按单价汇总金额不一致的，以单</w:t>
      </w:r>
      <w:r>
        <w:rPr>
          <w:rFonts w:hint="eastAsia" w:cs="宋体"/>
          <w:spacing w:val="9"/>
          <w:highlight w:val="none"/>
        </w:rPr>
        <w:t>价金额计算结果为准。单价金额小数</w:t>
      </w:r>
      <w:r>
        <w:rPr>
          <w:rFonts w:hint="eastAsia" w:cs="宋体"/>
          <w:spacing w:val="8"/>
          <w:highlight w:val="none"/>
        </w:rPr>
        <w:t>点有明显错位的，应以总价为准，并修改单价。</w:t>
      </w:r>
    </w:p>
    <w:p>
      <w:pPr>
        <w:snapToGrid w:val="0"/>
        <w:spacing w:line="396" w:lineRule="auto"/>
        <w:ind w:left="452"/>
        <w:rPr>
          <w:rFonts w:cs="宋体"/>
          <w:highlight w:val="none"/>
        </w:rPr>
      </w:pPr>
      <w:r>
        <w:rPr>
          <w:rFonts w:hint="eastAsia" w:cs="宋体"/>
          <w:spacing w:val="9"/>
          <w:highlight w:val="none"/>
        </w:rPr>
        <w:t>（3）对不同文字文本投标文件的解释发生异议的，以</w:t>
      </w:r>
      <w:r>
        <w:rPr>
          <w:rFonts w:hint="eastAsia" w:cs="宋体"/>
          <w:spacing w:val="8"/>
          <w:highlight w:val="none"/>
        </w:rPr>
        <w:t>中文文本为准。</w:t>
      </w:r>
    </w:p>
    <w:p>
      <w:pPr>
        <w:snapToGrid w:val="0"/>
        <w:spacing w:line="396" w:lineRule="auto"/>
        <w:ind w:left="446"/>
        <w:rPr>
          <w:rFonts w:cs="宋体"/>
          <w:highlight w:val="none"/>
        </w:rPr>
      </w:pPr>
      <w:r>
        <w:rPr>
          <w:rFonts w:hint="eastAsia" w:cs="宋体"/>
          <w:spacing w:val="4"/>
          <w:highlight w:val="none"/>
        </w:rPr>
        <w:t>3.2详细评审</w:t>
      </w:r>
    </w:p>
    <w:p>
      <w:pPr>
        <w:snapToGrid w:val="0"/>
        <w:spacing w:line="396" w:lineRule="auto"/>
        <w:ind w:firstLine="464" w:firstLineChars="200"/>
        <w:rPr>
          <w:rFonts w:cs="宋体"/>
          <w:spacing w:val="-5"/>
          <w:highlight w:val="none"/>
        </w:rPr>
      </w:pPr>
      <w:r>
        <w:rPr>
          <w:rFonts w:hint="eastAsia" w:cs="宋体"/>
          <w:spacing w:val="-4"/>
          <w:highlight w:val="none"/>
        </w:rPr>
        <w:t>3.2.1评标委员会按本章第2.2款规定的量化因</w:t>
      </w:r>
      <w:r>
        <w:rPr>
          <w:rFonts w:hint="eastAsia" w:cs="宋体"/>
          <w:spacing w:val="-5"/>
          <w:highlight w:val="none"/>
        </w:rPr>
        <w:t>素和分值进行打分，并计算出综合评估得分。</w:t>
      </w:r>
    </w:p>
    <w:p>
      <w:pPr>
        <w:snapToGrid w:val="0"/>
        <w:spacing w:line="396" w:lineRule="auto"/>
        <w:ind w:left="452"/>
        <w:rPr>
          <w:rFonts w:cs="宋体"/>
          <w:highlight w:val="none"/>
        </w:rPr>
      </w:pPr>
      <w:r>
        <w:rPr>
          <w:rFonts w:hint="eastAsia" w:cs="宋体"/>
          <w:spacing w:val="8"/>
          <w:highlight w:val="none"/>
        </w:rPr>
        <w:t>（1）按本章第2.2.3（1）目规定的评审因素和分值对投标报价</w:t>
      </w:r>
      <w:r>
        <w:rPr>
          <w:rFonts w:hint="eastAsia" w:cs="宋体"/>
          <w:spacing w:val="7"/>
          <w:highlight w:val="none"/>
        </w:rPr>
        <w:t>部分计算出得分A；</w:t>
      </w:r>
    </w:p>
    <w:p>
      <w:pPr>
        <w:snapToGrid w:val="0"/>
        <w:spacing w:line="396" w:lineRule="auto"/>
        <w:ind w:left="452"/>
        <w:rPr>
          <w:rFonts w:cs="宋体"/>
          <w:highlight w:val="none"/>
        </w:rPr>
      </w:pPr>
      <w:r>
        <w:rPr>
          <w:rFonts w:hint="eastAsia" w:cs="宋体"/>
          <w:spacing w:val="8"/>
          <w:highlight w:val="none"/>
        </w:rPr>
        <w:t>（1）按本章第2.2.3（1）目规定的评审因素和分值对商务</w:t>
      </w:r>
      <w:r>
        <w:rPr>
          <w:rFonts w:hint="eastAsia" w:cs="宋体"/>
          <w:spacing w:val="7"/>
          <w:highlight w:val="none"/>
        </w:rPr>
        <w:t>部分计算出得分B；</w:t>
      </w:r>
    </w:p>
    <w:p>
      <w:pPr>
        <w:snapToGrid w:val="0"/>
        <w:spacing w:line="396" w:lineRule="auto"/>
        <w:ind w:left="452"/>
        <w:rPr>
          <w:rFonts w:cs="宋体"/>
          <w:highlight w:val="none"/>
        </w:rPr>
      </w:pPr>
      <w:r>
        <w:rPr>
          <w:rFonts w:hint="eastAsia" w:cs="宋体"/>
          <w:spacing w:val="8"/>
          <w:highlight w:val="none"/>
        </w:rPr>
        <w:t>（2）按本章第2.2.3（2）目规定的评审因素和分值对技术</w:t>
      </w:r>
      <w:r>
        <w:rPr>
          <w:rFonts w:hint="eastAsia" w:cs="宋体"/>
          <w:spacing w:val="7"/>
          <w:highlight w:val="none"/>
        </w:rPr>
        <w:t>部分计算出得分C；</w:t>
      </w:r>
    </w:p>
    <w:p>
      <w:pPr>
        <w:snapToGrid w:val="0"/>
        <w:spacing w:line="396" w:lineRule="auto"/>
        <w:ind w:left="446"/>
        <w:rPr>
          <w:rFonts w:cs="宋体"/>
          <w:highlight w:val="none"/>
        </w:rPr>
      </w:pPr>
      <w:r>
        <w:rPr>
          <w:rFonts w:hint="eastAsia" w:cs="宋体"/>
          <w:spacing w:val="7"/>
          <w:highlight w:val="none"/>
        </w:rPr>
        <w:t>3.2.2评分分值计算保留小数点后三位，小数点后第四位“四舍五入”。</w:t>
      </w:r>
    </w:p>
    <w:p>
      <w:pPr>
        <w:snapToGrid w:val="0"/>
        <w:spacing w:line="396" w:lineRule="auto"/>
        <w:ind w:left="446"/>
        <w:rPr>
          <w:rFonts w:cs="宋体"/>
          <w:highlight w:val="none"/>
        </w:rPr>
      </w:pPr>
      <w:r>
        <w:rPr>
          <w:rFonts w:hint="eastAsia" w:cs="宋体"/>
          <w:spacing w:val="4"/>
          <w:highlight w:val="none"/>
        </w:rPr>
        <w:t>3.2.3供应商得分=A+B+C。</w:t>
      </w:r>
    </w:p>
    <w:p>
      <w:pPr>
        <w:snapToGrid w:val="0"/>
        <w:spacing w:line="396" w:lineRule="auto"/>
        <w:ind w:left="446"/>
        <w:rPr>
          <w:rFonts w:cs="宋体"/>
          <w:highlight w:val="none"/>
        </w:rPr>
      </w:pPr>
      <w:r>
        <w:rPr>
          <w:rFonts w:hint="eastAsia" w:cs="宋体"/>
          <w:spacing w:val="7"/>
          <w:highlight w:val="none"/>
        </w:rPr>
        <w:t>3.3 投标文件的澄清和补正</w:t>
      </w:r>
    </w:p>
    <w:p>
      <w:pPr>
        <w:tabs>
          <w:tab w:val="left" w:pos="868"/>
        </w:tabs>
        <w:snapToGrid w:val="0"/>
        <w:spacing w:line="396" w:lineRule="auto"/>
        <w:ind w:firstLine="480" w:firstLineChars="200"/>
        <w:rPr>
          <w:rFonts w:cs="宋体"/>
          <w:bCs/>
          <w:szCs w:val="20"/>
          <w:highlight w:val="none"/>
        </w:rPr>
      </w:pPr>
      <w:r>
        <w:rPr>
          <w:rFonts w:hint="eastAsia" w:cs="宋体"/>
          <w:bCs/>
          <w:szCs w:val="20"/>
          <w:highlight w:val="none"/>
        </w:rPr>
        <w:t>评标期间，评标委员会有权要求供应商对其投标文件中含义不明确、同类问题表述不一致或者有明显文字和计算错误的内容等作必要的澄清、说明或者补正。供应商必须按照评标委员会要求的澄清内容和时间做出澄清。除按本章第 3.1.3 款规定改正算术错误外，供应商对投标文件的澄清不得超出投标文件的范围或者改变投标文件的实质性内容。在评标期间，评标委员会可要求供应商对其投标文件进行澄清，但不得寻求、提供或允许供应商对投标报价等实质性内容做任何更改。有关澄清的答复均应由供应商的法定代表人或委托代理人签字的书面形式作出。供应商的澄清文件是其投标文件的组成部分。</w:t>
      </w:r>
    </w:p>
    <w:p>
      <w:pPr>
        <w:snapToGrid w:val="0"/>
        <w:spacing w:line="396" w:lineRule="auto"/>
        <w:ind w:left="446"/>
        <w:rPr>
          <w:rFonts w:cs="宋体"/>
          <w:highlight w:val="none"/>
        </w:rPr>
      </w:pPr>
      <w:r>
        <w:rPr>
          <w:rFonts w:hint="eastAsia" w:cs="宋体"/>
          <w:spacing w:val="5"/>
          <w:highlight w:val="none"/>
        </w:rPr>
        <w:t>3.4 评标结果</w:t>
      </w:r>
    </w:p>
    <w:p>
      <w:pPr>
        <w:snapToGrid w:val="0"/>
        <w:spacing w:line="396" w:lineRule="auto"/>
        <w:ind w:left="21" w:right="3" w:firstLine="425"/>
        <w:rPr>
          <w:rFonts w:cs="宋体"/>
          <w:highlight w:val="none"/>
        </w:rPr>
      </w:pPr>
      <w:r>
        <w:rPr>
          <w:rFonts w:hint="eastAsia" w:cs="宋体"/>
          <w:spacing w:val="-2"/>
          <w:highlight w:val="none"/>
        </w:rPr>
        <w:t>3.4.1各评委严格按照本章要求对实质上响应招标文件要求的投标文件进行独立评分。全体评委评分完成后再进行汇总。由采购代理机构负责打分统计工作，评标委员</w:t>
      </w:r>
      <w:r>
        <w:rPr>
          <w:rFonts w:hint="eastAsia" w:cs="宋体"/>
          <w:spacing w:val="-3"/>
          <w:highlight w:val="none"/>
        </w:rPr>
        <w:t>会组长负责审核。各</w:t>
      </w:r>
      <w:r>
        <w:rPr>
          <w:rFonts w:hint="eastAsia" w:cs="宋体"/>
          <w:spacing w:val="-2"/>
          <w:highlight w:val="none"/>
        </w:rPr>
        <w:t>供应商的最终得分计算办法见评标办法前附表。评标委员会按照得分由高到</w:t>
      </w:r>
      <w:r>
        <w:rPr>
          <w:rFonts w:hint="eastAsia" w:cs="宋体"/>
          <w:spacing w:val="-3"/>
          <w:highlight w:val="none"/>
        </w:rPr>
        <w:t>低的顺序推荐排序第</w:t>
      </w:r>
      <w:r>
        <w:rPr>
          <w:rFonts w:hint="eastAsia" w:cs="宋体"/>
          <w:spacing w:val="-2"/>
          <w:highlight w:val="none"/>
        </w:rPr>
        <w:t>一的供应商作为中标候选人，由采购人按照法律法规的有关规定确定中标供应商。</w:t>
      </w:r>
    </w:p>
    <w:p>
      <w:pPr>
        <w:snapToGrid w:val="0"/>
        <w:spacing w:line="396" w:lineRule="auto"/>
        <w:ind w:firstLine="472" w:firstLineChars="200"/>
        <w:rPr>
          <w:rFonts w:cs="宋体"/>
          <w:spacing w:val="-2"/>
          <w:highlight w:val="none"/>
        </w:rPr>
      </w:pPr>
      <w:r>
        <w:rPr>
          <w:rFonts w:hint="eastAsia" w:cs="宋体"/>
          <w:spacing w:val="-2"/>
          <w:highlight w:val="none"/>
        </w:rPr>
        <w:t>3.4.2 完成评标后，全体评委须在评标结果推荐意见上共同签字。</w:t>
      </w:r>
    </w:p>
    <w:p>
      <w:pPr>
        <w:adjustRightInd w:val="0"/>
        <w:snapToGrid w:val="0"/>
        <w:spacing w:before="100" w:line="396" w:lineRule="auto"/>
        <w:rPr>
          <w:rFonts w:cs="宋体"/>
          <w:b/>
          <w:kern w:val="0"/>
          <w:highlight w:val="none"/>
          <w:lang w:val="zh-CN"/>
        </w:rPr>
      </w:pPr>
      <w:r>
        <w:rPr>
          <w:rFonts w:hint="eastAsia" w:cs="宋体"/>
          <w:b/>
          <w:kern w:val="0"/>
          <w:highlight w:val="none"/>
        </w:rPr>
        <w:t>4</w:t>
      </w:r>
      <w:r>
        <w:rPr>
          <w:rFonts w:hint="eastAsia" w:cs="宋体"/>
          <w:b/>
          <w:kern w:val="0"/>
          <w:highlight w:val="none"/>
          <w:lang w:val="zh-CN"/>
        </w:rPr>
        <w:t>、澄清有关问题</w:t>
      </w:r>
    </w:p>
    <w:p>
      <w:pPr>
        <w:tabs>
          <w:tab w:val="left" w:pos="616"/>
        </w:tabs>
        <w:snapToGrid w:val="0"/>
        <w:spacing w:line="396" w:lineRule="auto"/>
        <w:ind w:firstLine="480" w:firstLineChars="200"/>
        <w:rPr>
          <w:rFonts w:cs="宋体"/>
          <w:bCs/>
          <w:szCs w:val="20"/>
          <w:highlight w:val="none"/>
          <w:lang w:val="zh-CN"/>
        </w:rPr>
      </w:pPr>
      <w:r>
        <w:rPr>
          <w:rFonts w:hint="eastAsia" w:cs="宋体"/>
          <w:bCs/>
          <w:szCs w:val="20"/>
          <w:highlight w:val="none"/>
        </w:rPr>
        <w:t>4.1</w:t>
      </w:r>
      <w:r>
        <w:rPr>
          <w:rFonts w:hint="eastAsia" w:cs="宋体"/>
          <w:bCs/>
          <w:szCs w:val="20"/>
          <w:highlight w:val="none"/>
          <w:lang w:val="zh-CN"/>
        </w:rPr>
        <w:t>评标期间，对于投标文件中含义不明确、同类问题表述不一致或者有明显文字和计算错误的内容，评标委员会应当以书面形式要求供应商作出必要的澄清、说明或者补正。</w:t>
      </w:r>
    </w:p>
    <w:p>
      <w:pPr>
        <w:tabs>
          <w:tab w:val="left" w:pos="616"/>
        </w:tabs>
        <w:snapToGrid w:val="0"/>
        <w:spacing w:line="396" w:lineRule="auto"/>
        <w:ind w:firstLine="480" w:firstLineChars="200"/>
        <w:rPr>
          <w:rFonts w:cs="宋体"/>
          <w:bCs/>
          <w:strike/>
          <w:szCs w:val="20"/>
          <w:highlight w:val="none"/>
          <w:lang w:val="zh-CN"/>
        </w:rPr>
      </w:pPr>
      <w:r>
        <w:rPr>
          <w:rFonts w:hint="eastAsia" w:cs="宋体"/>
          <w:bCs/>
          <w:szCs w:val="20"/>
          <w:highlight w:val="none"/>
        </w:rPr>
        <w:t>4.2</w:t>
      </w:r>
      <w:r>
        <w:rPr>
          <w:rFonts w:hint="eastAsia" w:cs="宋体"/>
          <w:bCs/>
          <w:szCs w:val="20"/>
          <w:highlight w:val="none"/>
          <w:lang w:val="zh-CN"/>
        </w:rPr>
        <w:t>供应商应按照评标委员会要求的澄清内容在规定时间内做出澄清。</w:t>
      </w:r>
      <w:r>
        <w:rPr>
          <w:rFonts w:hint="eastAsia" w:cs="宋体"/>
          <w:szCs w:val="20"/>
          <w:highlight w:val="none"/>
          <w:lang w:val="zh-CN"/>
        </w:rPr>
        <w:t>投标文件报价出现前后不一致的，按照本节第3.3</w:t>
      </w:r>
      <w:r>
        <w:rPr>
          <w:rFonts w:hint="eastAsia" w:cs="宋体"/>
          <w:bCs/>
          <w:szCs w:val="20"/>
          <w:highlight w:val="none"/>
          <w:lang w:val="zh-CN"/>
        </w:rPr>
        <w:t>条规定进行修正，</w:t>
      </w:r>
      <w:r>
        <w:rPr>
          <w:rFonts w:hint="eastAsia" w:cs="宋体"/>
          <w:kern w:val="0"/>
          <w:highlight w:val="none"/>
          <w:lang w:val="zh-CN"/>
        </w:rPr>
        <w:t>供应商的澄清、说明或者补正不得超出投标文件的范围或者改变投标文件的实质性内容。</w:t>
      </w:r>
    </w:p>
    <w:p>
      <w:pPr>
        <w:tabs>
          <w:tab w:val="left" w:pos="616"/>
        </w:tabs>
        <w:snapToGrid w:val="0"/>
        <w:spacing w:line="396" w:lineRule="auto"/>
        <w:ind w:firstLine="480" w:firstLineChars="200"/>
        <w:rPr>
          <w:rFonts w:cs="宋体"/>
          <w:bCs/>
          <w:szCs w:val="20"/>
          <w:highlight w:val="none"/>
          <w:lang w:val="zh-CN"/>
        </w:rPr>
      </w:pPr>
      <w:r>
        <w:rPr>
          <w:rFonts w:hint="eastAsia" w:cs="宋体"/>
          <w:bCs/>
          <w:szCs w:val="20"/>
          <w:highlight w:val="none"/>
        </w:rPr>
        <w:t>4.3</w:t>
      </w:r>
      <w:r>
        <w:rPr>
          <w:rFonts w:hint="eastAsia" w:cs="宋体"/>
          <w:bCs/>
          <w:szCs w:val="20"/>
          <w:highlight w:val="none"/>
          <w:lang w:val="zh-CN"/>
        </w:rPr>
        <w:t>投标文件报价出现前后不一致的，按照下列规定修正：</w:t>
      </w:r>
    </w:p>
    <w:p>
      <w:pPr>
        <w:adjustRightInd w:val="0"/>
        <w:snapToGrid w:val="0"/>
        <w:spacing w:line="396" w:lineRule="auto"/>
        <w:ind w:firstLine="480" w:firstLineChars="200"/>
        <w:rPr>
          <w:rFonts w:cs="宋体"/>
          <w:highlight w:val="none"/>
          <w:lang w:val="zh-CN"/>
        </w:rPr>
      </w:pPr>
      <w:r>
        <w:rPr>
          <w:rFonts w:hint="eastAsia" w:cs="宋体"/>
          <w:highlight w:val="none"/>
        </w:rPr>
        <w:t>4.3.1</w:t>
      </w:r>
      <w:r>
        <w:rPr>
          <w:rFonts w:hint="eastAsia" w:cs="宋体"/>
          <w:highlight w:val="none"/>
          <w:lang w:val="zh-CN"/>
        </w:rPr>
        <w:t>投标文件中开标一览表内容与投标文件中相应内容不一致的，以开标一览表为准。</w:t>
      </w:r>
    </w:p>
    <w:p>
      <w:pPr>
        <w:adjustRightInd w:val="0"/>
        <w:snapToGrid w:val="0"/>
        <w:spacing w:line="396" w:lineRule="auto"/>
        <w:ind w:firstLine="480" w:firstLineChars="200"/>
        <w:rPr>
          <w:rFonts w:cs="宋体"/>
          <w:highlight w:val="none"/>
          <w:lang w:val="zh-CN"/>
        </w:rPr>
      </w:pPr>
      <w:r>
        <w:rPr>
          <w:rFonts w:hint="eastAsia" w:cs="宋体"/>
          <w:highlight w:val="none"/>
        </w:rPr>
        <w:t>4.3.2</w:t>
      </w:r>
      <w:r>
        <w:rPr>
          <w:rFonts w:hint="eastAsia" w:cs="宋体"/>
          <w:highlight w:val="none"/>
          <w:lang w:val="zh-CN"/>
        </w:rPr>
        <w:t>大写金额和小写金额不一致的，以大写金额为准。</w:t>
      </w:r>
    </w:p>
    <w:p>
      <w:pPr>
        <w:adjustRightInd w:val="0"/>
        <w:snapToGrid w:val="0"/>
        <w:spacing w:line="396" w:lineRule="auto"/>
        <w:ind w:firstLine="480" w:firstLineChars="200"/>
        <w:rPr>
          <w:rFonts w:cs="宋体"/>
          <w:highlight w:val="none"/>
          <w:lang w:val="zh-CN"/>
        </w:rPr>
      </w:pPr>
      <w:r>
        <w:rPr>
          <w:rFonts w:hint="eastAsia" w:cs="宋体"/>
          <w:highlight w:val="none"/>
        </w:rPr>
        <w:t>4.3.3</w:t>
      </w:r>
      <w:r>
        <w:rPr>
          <w:rFonts w:hint="eastAsia" w:cs="宋体"/>
          <w:highlight w:val="none"/>
          <w:lang w:val="zh-CN"/>
        </w:rPr>
        <w:t>单价金额小数点或者百分比有明显错位的，以开标一览表的总价为准，并修改单价。</w:t>
      </w:r>
    </w:p>
    <w:p>
      <w:pPr>
        <w:adjustRightInd w:val="0"/>
        <w:snapToGrid w:val="0"/>
        <w:spacing w:line="396" w:lineRule="auto"/>
        <w:ind w:firstLine="480" w:firstLineChars="200"/>
        <w:rPr>
          <w:rFonts w:cs="宋体"/>
          <w:highlight w:val="none"/>
          <w:lang w:val="zh-CN"/>
        </w:rPr>
      </w:pPr>
      <w:r>
        <w:rPr>
          <w:rFonts w:hint="eastAsia" w:cs="宋体"/>
          <w:highlight w:val="none"/>
        </w:rPr>
        <w:t>4.3.4</w:t>
      </w:r>
      <w:r>
        <w:rPr>
          <w:rFonts w:hint="eastAsia" w:cs="宋体"/>
          <w:highlight w:val="none"/>
          <w:lang w:val="zh-CN"/>
        </w:rPr>
        <w:t>总价金额与按单价汇总金额不一致的，以单价金额计算结果为准。</w:t>
      </w:r>
    </w:p>
    <w:p>
      <w:pPr>
        <w:adjustRightInd w:val="0"/>
        <w:snapToGrid w:val="0"/>
        <w:spacing w:line="396" w:lineRule="auto"/>
        <w:ind w:firstLine="480" w:firstLineChars="200"/>
        <w:rPr>
          <w:rFonts w:cs="宋体"/>
          <w:highlight w:val="none"/>
          <w:lang w:val="zh-CN"/>
        </w:rPr>
      </w:pPr>
      <w:r>
        <w:rPr>
          <w:rFonts w:hint="eastAsia" w:cs="宋体"/>
          <w:highlight w:val="none"/>
        </w:rPr>
        <w:t>4.3.5</w:t>
      </w:r>
      <w:r>
        <w:rPr>
          <w:rFonts w:hint="eastAsia" w:cs="宋体"/>
          <w:highlight w:val="none"/>
          <w:lang w:val="zh-CN"/>
        </w:rPr>
        <w:t>同时出现两种以上不一致的，按照前款规定的顺序修正。</w:t>
      </w:r>
    </w:p>
    <w:p>
      <w:pPr>
        <w:adjustRightInd w:val="0"/>
        <w:snapToGrid w:val="0"/>
        <w:spacing w:line="396" w:lineRule="auto"/>
        <w:ind w:firstLine="480" w:firstLineChars="200"/>
        <w:rPr>
          <w:rFonts w:cs="宋体"/>
          <w:highlight w:val="none"/>
          <w:lang w:val="zh-CN"/>
        </w:rPr>
      </w:pPr>
      <w:r>
        <w:rPr>
          <w:rFonts w:hint="eastAsia" w:cs="宋体"/>
          <w:highlight w:val="none"/>
        </w:rPr>
        <w:t>3.3.6</w:t>
      </w:r>
      <w:r>
        <w:rPr>
          <w:rFonts w:hint="eastAsia" w:cs="宋体"/>
          <w:highlight w:val="none"/>
          <w:lang w:val="zh-CN"/>
        </w:rPr>
        <w:t>修正后的报价按照本节第3.4条规定经供应商确认后产生约束力，供应商不确认的,</w:t>
      </w:r>
      <w:r>
        <w:rPr>
          <w:rFonts w:hint="eastAsia" w:cs="宋体"/>
          <w:highlight w:val="none"/>
        </w:rPr>
        <w:t>按</w:t>
      </w:r>
      <w:r>
        <w:rPr>
          <w:rFonts w:hint="eastAsia" w:cs="宋体"/>
          <w:highlight w:val="none"/>
          <w:lang w:val="zh-CN"/>
        </w:rPr>
        <w:t>照</w:t>
      </w:r>
      <w:r>
        <w:rPr>
          <w:rFonts w:hint="eastAsia" w:cs="宋体"/>
          <w:b/>
          <w:highlight w:val="none"/>
          <w:lang w:val="zh-CN"/>
        </w:rPr>
        <w:t>无效投标处理</w:t>
      </w:r>
      <w:r>
        <w:rPr>
          <w:rFonts w:hint="eastAsia" w:cs="宋体"/>
          <w:highlight w:val="none"/>
          <w:lang w:val="zh-CN"/>
        </w:rPr>
        <w:t>。</w:t>
      </w:r>
    </w:p>
    <w:p>
      <w:pPr>
        <w:tabs>
          <w:tab w:val="left" w:pos="616"/>
        </w:tabs>
        <w:snapToGrid w:val="0"/>
        <w:spacing w:line="396" w:lineRule="auto"/>
        <w:ind w:firstLine="480" w:firstLineChars="200"/>
        <w:rPr>
          <w:rFonts w:cs="宋体"/>
          <w:szCs w:val="20"/>
          <w:highlight w:val="none"/>
          <w:lang w:val="zh-CN"/>
        </w:rPr>
      </w:pPr>
      <w:r>
        <w:rPr>
          <w:rFonts w:hint="eastAsia" w:cs="宋体"/>
          <w:szCs w:val="20"/>
          <w:highlight w:val="none"/>
        </w:rPr>
        <w:t>3.4</w:t>
      </w:r>
      <w:r>
        <w:rPr>
          <w:rFonts w:hint="eastAsia" w:cs="宋体"/>
          <w:szCs w:val="20"/>
          <w:highlight w:val="none"/>
          <w:lang w:val="zh-CN"/>
        </w:rPr>
        <w:t>供应商的</w:t>
      </w:r>
      <w:r>
        <w:rPr>
          <w:rFonts w:hint="eastAsia" w:cs="宋体"/>
          <w:kern w:val="0"/>
          <w:highlight w:val="none"/>
          <w:lang w:val="zh-CN"/>
        </w:rPr>
        <w:t>澄清、说明或者补正</w:t>
      </w:r>
      <w:r>
        <w:rPr>
          <w:rFonts w:hint="eastAsia" w:cs="宋体"/>
          <w:szCs w:val="20"/>
          <w:highlight w:val="none"/>
          <w:lang w:val="zh-CN"/>
        </w:rPr>
        <w:t>是其投标文件的有效组成部分。</w:t>
      </w:r>
      <w:r>
        <w:rPr>
          <w:rFonts w:hint="eastAsia" w:cs="宋体"/>
          <w:kern w:val="0"/>
          <w:highlight w:val="none"/>
          <w:lang w:val="zh-CN"/>
        </w:rPr>
        <w:t>供应商的澄清、说明或者补正应当采用书面形式，并加盖公章，或者由法定代表人或其授权的代表签字。</w:t>
      </w:r>
    </w:p>
    <w:p>
      <w:pPr>
        <w:adjustRightInd w:val="0"/>
        <w:snapToGrid w:val="0"/>
        <w:spacing w:before="100" w:line="396" w:lineRule="auto"/>
        <w:rPr>
          <w:rFonts w:cs="宋体"/>
          <w:b/>
          <w:kern w:val="0"/>
          <w:highlight w:val="none"/>
          <w:lang w:val="zh-CN"/>
        </w:rPr>
      </w:pPr>
      <w:r>
        <w:rPr>
          <w:rFonts w:hint="eastAsia" w:cs="宋体"/>
          <w:b/>
          <w:kern w:val="0"/>
          <w:highlight w:val="none"/>
        </w:rPr>
        <w:t>5</w:t>
      </w:r>
      <w:r>
        <w:rPr>
          <w:rFonts w:hint="eastAsia" w:cs="宋体"/>
          <w:b/>
          <w:kern w:val="0"/>
          <w:highlight w:val="none"/>
          <w:lang w:val="zh-CN"/>
        </w:rPr>
        <w:t>、综合比较与评价</w:t>
      </w:r>
    </w:p>
    <w:p>
      <w:pPr>
        <w:snapToGrid w:val="0"/>
        <w:spacing w:line="396" w:lineRule="auto"/>
        <w:ind w:firstLine="480" w:firstLineChars="200"/>
        <w:rPr>
          <w:rFonts w:cs="宋体"/>
          <w:bCs/>
          <w:szCs w:val="20"/>
          <w:highlight w:val="none"/>
          <w:lang w:val="zh-CN"/>
        </w:rPr>
      </w:pPr>
      <w:r>
        <w:rPr>
          <w:rFonts w:hint="eastAsia" w:cs="宋体"/>
          <w:bCs/>
          <w:szCs w:val="20"/>
          <w:highlight w:val="none"/>
          <w:lang w:val="zh-CN"/>
        </w:rPr>
        <w:t>评标委员会应当按照本章中规定的评审因素及评分标准，对符合性审查合格的投标文件进行商务和技术评估，综合比较与评价。</w:t>
      </w:r>
    </w:p>
    <w:p>
      <w:pPr>
        <w:snapToGrid w:val="0"/>
        <w:spacing w:line="396" w:lineRule="auto"/>
        <w:ind w:left="446"/>
        <w:rPr>
          <w:rFonts w:cs="宋体"/>
          <w:spacing w:val="5"/>
          <w:highlight w:val="none"/>
          <w:lang w:val="zh-CN"/>
        </w:rPr>
      </w:pPr>
      <w:r>
        <w:rPr>
          <w:rFonts w:hint="eastAsia" w:cs="宋体"/>
          <w:spacing w:val="5"/>
          <w:highlight w:val="none"/>
        </w:rPr>
        <w:t>5.1</w:t>
      </w:r>
      <w:r>
        <w:rPr>
          <w:rFonts w:hint="eastAsia" w:cs="宋体"/>
          <w:spacing w:val="5"/>
          <w:highlight w:val="none"/>
          <w:lang w:val="zh-CN"/>
        </w:rPr>
        <w:t>商务</w:t>
      </w:r>
      <w:r>
        <w:rPr>
          <w:rFonts w:hint="eastAsia" w:cs="宋体"/>
          <w:spacing w:val="5"/>
          <w:highlight w:val="none"/>
        </w:rPr>
        <w:t>部分评议</w:t>
      </w:r>
    </w:p>
    <w:p>
      <w:pPr>
        <w:snapToGrid w:val="0"/>
        <w:spacing w:line="396" w:lineRule="auto"/>
        <w:ind w:firstLine="480" w:firstLineChars="200"/>
        <w:rPr>
          <w:rFonts w:cs="宋体"/>
          <w:bCs/>
          <w:szCs w:val="20"/>
          <w:highlight w:val="none"/>
          <w:lang w:val="zh-CN"/>
        </w:rPr>
      </w:pPr>
      <w:r>
        <w:rPr>
          <w:rFonts w:hint="eastAsia" w:cs="宋体"/>
          <w:bCs/>
          <w:szCs w:val="20"/>
          <w:highlight w:val="none"/>
          <w:lang w:val="zh-CN"/>
        </w:rPr>
        <w:t>评标委员会对符合性审查合格的投标文件进行评议，并依据本章“评审因素及评分标准”中的商务评议进行综合比较和评分。</w:t>
      </w:r>
    </w:p>
    <w:p>
      <w:pPr>
        <w:snapToGrid w:val="0"/>
        <w:spacing w:line="396" w:lineRule="auto"/>
        <w:ind w:left="446"/>
        <w:rPr>
          <w:rFonts w:cs="宋体"/>
          <w:spacing w:val="5"/>
          <w:highlight w:val="none"/>
          <w:lang w:val="zh-CN"/>
        </w:rPr>
      </w:pPr>
      <w:r>
        <w:rPr>
          <w:rFonts w:hint="eastAsia" w:cs="宋体"/>
          <w:spacing w:val="5"/>
          <w:highlight w:val="none"/>
        </w:rPr>
        <w:t>5.2</w:t>
      </w:r>
      <w:r>
        <w:rPr>
          <w:rFonts w:hint="eastAsia" w:cs="宋体"/>
          <w:spacing w:val="5"/>
          <w:highlight w:val="none"/>
          <w:lang w:val="zh-CN"/>
        </w:rPr>
        <w:t>技术</w:t>
      </w:r>
      <w:r>
        <w:rPr>
          <w:rFonts w:hint="eastAsia" w:cs="宋体"/>
          <w:spacing w:val="5"/>
          <w:highlight w:val="none"/>
        </w:rPr>
        <w:t>部分</w:t>
      </w:r>
      <w:r>
        <w:rPr>
          <w:rFonts w:hint="eastAsia" w:cs="宋体"/>
          <w:spacing w:val="5"/>
          <w:highlight w:val="none"/>
          <w:lang w:val="zh-CN"/>
        </w:rPr>
        <w:t>评议</w:t>
      </w:r>
    </w:p>
    <w:p>
      <w:pPr>
        <w:snapToGrid w:val="0"/>
        <w:spacing w:line="396" w:lineRule="auto"/>
        <w:ind w:firstLine="480" w:firstLineChars="200"/>
        <w:rPr>
          <w:rFonts w:cs="宋体"/>
          <w:kern w:val="0"/>
          <w:szCs w:val="20"/>
          <w:highlight w:val="none"/>
          <w:lang w:val="zh-CN"/>
        </w:rPr>
      </w:pPr>
      <w:r>
        <w:rPr>
          <w:rFonts w:hint="eastAsia" w:cs="宋体"/>
          <w:bCs/>
          <w:szCs w:val="20"/>
          <w:highlight w:val="none"/>
          <w:lang w:val="zh-CN"/>
        </w:rPr>
        <w:t>评标委员会对符合性审查合格的投标文件进行评议，并依据本章“评审因素及评分标准”中的技术评议进行综合比较和评分。</w:t>
      </w:r>
    </w:p>
    <w:p>
      <w:pPr>
        <w:snapToGrid w:val="0"/>
        <w:spacing w:line="396" w:lineRule="auto"/>
        <w:ind w:left="446"/>
        <w:rPr>
          <w:rFonts w:cs="宋体"/>
          <w:spacing w:val="5"/>
          <w:highlight w:val="none"/>
          <w:lang w:val="zh-CN"/>
        </w:rPr>
      </w:pPr>
      <w:r>
        <w:rPr>
          <w:rFonts w:hint="eastAsia" w:cs="宋体"/>
          <w:spacing w:val="5"/>
          <w:highlight w:val="none"/>
        </w:rPr>
        <w:t>5.3</w:t>
      </w:r>
      <w:r>
        <w:rPr>
          <w:rFonts w:hint="eastAsia" w:cs="宋体"/>
          <w:spacing w:val="5"/>
          <w:highlight w:val="none"/>
          <w:lang w:val="zh-CN"/>
        </w:rPr>
        <w:t>价格评议</w:t>
      </w:r>
    </w:p>
    <w:p>
      <w:pPr>
        <w:snapToGrid w:val="0"/>
        <w:spacing w:line="396" w:lineRule="auto"/>
        <w:ind w:firstLine="480" w:firstLineChars="200"/>
        <w:rPr>
          <w:rFonts w:cs="宋体"/>
          <w:bCs/>
          <w:highlight w:val="none"/>
        </w:rPr>
      </w:pPr>
      <w:r>
        <w:rPr>
          <w:rFonts w:hint="eastAsia" w:cs="宋体"/>
          <w:bCs/>
          <w:highlight w:val="none"/>
        </w:rPr>
        <w:t>评标委员会对符合性审查合格的投标文件进行价格评议，报价分采用低价优先法计算，即满足招标文件要求且投标价格（落实政府采购政策进行价格调整的，以调整后的价格计算）最低的投标报价为评标基准价（投标价格为投标货物单价），其报价分为满分。其他供应商的报价分值计算详见本章“评审因素及评分标准”中的具体计算方式。</w:t>
      </w:r>
    </w:p>
    <w:p>
      <w:pPr>
        <w:adjustRightInd w:val="0"/>
        <w:snapToGrid w:val="0"/>
        <w:spacing w:line="396" w:lineRule="auto"/>
        <w:ind w:firstLine="482" w:firstLineChars="200"/>
        <w:rPr>
          <w:rFonts w:cs="宋体"/>
          <w:bCs/>
          <w:szCs w:val="21"/>
          <w:highlight w:val="none"/>
          <w:lang w:val="zh-CN"/>
        </w:rPr>
      </w:pPr>
      <w:r>
        <w:rPr>
          <w:rFonts w:hint="eastAsia" w:cs="宋体"/>
          <w:b/>
          <w:highlight w:val="none"/>
        </w:rPr>
        <w:t>5.3.1</w:t>
      </w:r>
      <w:r>
        <w:rPr>
          <w:rFonts w:hint="eastAsia" w:cs="宋体"/>
          <w:b/>
          <w:highlight w:val="none"/>
          <w:lang w:val="zh-CN"/>
        </w:rPr>
        <w:t>报价合理性说明：</w:t>
      </w:r>
      <w:r>
        <w:rPr>
          <w:rFonts w:hint="eastAsia" w:cs="宋体"/>
          <w:kern w:val="0"/>
          <w:highlight w:val="none"/>
          <w:lang w:val="zh-CN"/>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应当将其作为</w:t>
      </w:r>
      <w:r>
        <w:rPr>
          <w:rFonts w:hint="eastAsia" w:cs="宋体"/>
          <w:b/>
          <w:kern w:val="0"/>
          <w:highlight w:val="none"/>
          <w:lang w:val="zh-CN"/>
        </w:rPr>
        <w:t>无效投标处理</w:t>
      </w:r>
      <w:r>
        <w:rPr>
          <w:rFonts w:hint="eastAsia" w:cs="宋体"/>
          <w:kern w:val="0"/>
          <w:highlight w:val="none"/>
          <w:lang w:val="zh-CN"/>
        </w:rPr>
        <w:t>。</w:t>
      </w:r>
    </w:p>
    <w:p>
      <w:pPr>
        <w:rPr>
          <w:rFonts w:cs="宋体"/>
          <w:b/>
          <w:color w:val="0000FF"/>
          <w:highlight w:val="none"/>
        </w:rPr>
      </w:pPr>
      <w:r>
        <w:rPr>
          <w:rFonts w:hint="eastAsia" w:cs="宋体"/>
          <w:b/>
          <w:color w:val="0000FF"/>
          <w:highlight w:val="none"/>
        </w:rPr>
        <w:br w:type="page"/>
      </w:r>
    </w:p>
    <w:p>
      <w:pPr>
        <w:adjustRightInd w:val="0"/>
        <w:spacing w:line="360" w:lineRule="auto"/>
        <w:ind w:firstLine="482" w:firstLineChars="200"/>
        <w:rPr>
          <w:rFonts w:cs="宋体"/>
          <w:b/>
          <w:color w:val="0000FF"/>
          <w:highlight w:val="none"/>
          <w:lang w:val="zh-CN"/>
        </w:rPr>
      </w:pPr>
      <w:r>
        <w:rPr>
          <w:rFonts w:hint="eastAsia" w:cs="宋体"/>
          <w:b/>
          <w:color w:val="0000FF"/>
          <w:highlight w:val="none"/>
        </w:rPr>
        <w:t>5.3.2</w:t>
      </w:r>
      <w:r>
        <w:rPr>
          <w:rFonts w:hint="eastAsia" w:cs="宋体"/>
          <w:b/>
          <w:color w:val="0000FF"/>
          <w:highlight w:val="none"/>
          <w:lang w:val="zh-CN"/>
        </w:rPr>
        <w:t>小型和微型企业、监狱企业、残疾人福利性单位价格扣除：</w:t>
      </w:r>
    </w:p>
    <w:tbl>
      <w:tblPr>
        <w:tblStyle w:val="20"/>
        <w:tblW w:w="5000" w:type="pct"/>
        <w:tblInd w:w="0" w:type="dxa"/>
        <w:tblLayout w:type="autofit"/>
        <w:tblCellMar>
          <w:top w:w="0" w:type="dxa"/>
          <w:left w:w="108" w:type="dxa"/>
          <w:bottom w:w="0" w:type="dxa"/>
          <w:right w:w="108" w:type="dxa"/>
        </w:tblCellMar>
      </w:tblPr>
      <w:tblGrid>
        <w:gridCol w:w="1443"/>
        <w:gridCol w:w="8195"/>
      </w:tblGrid>
      <w:tr>
        <w:tblPrEx>
          <w:tblCellMar>
            <w:top w:w="0" w:type="dxa"/>
            <w:left w:w="108" w:type="dxa"/>
            <w:bottom w:w="0" w:type="dxa"/>
            <w:right w:w="108" w:type="dxa"/>
          </w:tblCellMar>
        </w:tblPrEx>
        <w:trPr>
          <w:trHeight w:val="472" w:hRule="atLeast"/>
        </w:trPr>
        <w:tc>
          <w:tcPr>
            <w:tcW w:w="5000" w:type="pct"/>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rPr>
                <w:rFonts w:cs="宋体"/>
                <w:b/>
                <w:bCs/>
                <w:color w:val="000000"/>
                <w:kern w:val="0"/>
                <w:sz w:val="22"/>
                <w:szCs w:val="22"/>
                <w:highlight w:val="none"/>
              </w:rPr>
            </w:pPr>
            <w:r>
              <w:rPr>
                <w:rFonts w:hint="eastAsia" w:cs="宋体"/>
                <w:b/>
                <w:bCs/>
                <w:color w:val="000000"/>
                <w:kern w:val="0"/>
                <w:sz w:val="22"/>
                <w:szCs w:val="22"/>
                <w:highlight w:val="none"/>
              </w:rPr>
              <w:t>政府采购相关政策</w:t>
            </w:r>
          </w:p>
        </w:tc>
      </w:tr>
      <w:tr>
        <w:tblPrEx>
          <w:tblCellMar>
            <w:top w:w="0" w:type="dxa"/>
            <w:left w:w="108" w:type="dxa"/>
            <w:bottom w:w="0" w:type="dxa"/>
            <w:right w:w="108" w:type="dxa"/>
          </w:tblCellMar>
        </w:tblPrEx>
        <w:trPr>
          <w:trHeight w:val="440" w:hRule="atLeast"/>
        </w:trPr>
        <w:tc>
          <w:tcPr>
            <w:tcW w:w="766"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rPr>
                <w:rFonts w:cs="宋体"/>
                <w:color w:val="000000"/>
                <w:kern w:val="0"/>
                <w:sz w:val="22"/>
                <w:szCs w:val="22"/>
                <w:highlight w:val="none"/>
              </w:rPr>
            </w:pPr>
            <w:r>
              <w:rPr>
                <w:rFonts w:hint="eastAsia" w:cs="宋体"/>
                <w:color w:val="000000"/>
                <w:kern w:val="0"/>
                <w:sz w:val="22"/>
                <w:szCs w:val="22"/>
                <w:highlight w:val="none"/>
              </w:rPr>
              <w:t>支持中小企业政策</w:t>
            </w:r>
          </w:p>
        </w:tc>
        <w:tc>
          <w:tcPr>
            <w:tcW w:w="4234"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left"/>
              <w:rPr>
                <w:rFonts w:cs="宋体"/>
                <w:color w:val="000000"/>
                <w:kern w:val="0"/>
                <w:sz w:val="22"/>
                <w:szCs w:val="22"/>
                <w:highlight w:val="none"/>
              </w:rPr>
            </w:pPr>
            <w:r>
              <w:rPr>
                <w:rFonts w:hint="eastAsia" w:cs="宋体"/>
                <w:color w:val="000000"/>
                <w:kern w:val="0"/>
                <w:sz w:val="22"/>
                <w:szCs w:val="22"/>
                <w:highlight w:val="none"/>
              </w:rPr>
              <w:t>1、非专门面向中小企业的货物类采购项目，按招标文件中采购清单确定的货物，对小型和微型企业制造的货物价格给予</w:t>
            </w:r>
            <w:r>
              <w:rPr>
                <w:rFonts w:hint="eastAsia" w:cs="宋体"/>
                <w:b/>
                <w:color w:val="000000"/>
                <w:kern w:val="0"/>
                <w:sz w:val="22"/>
                <w:szCs w:val="22"/>
                <w:highlight w:val="none"/>
              </w:rPr>
              <w:t>6%</w:t>
            </w:r>
            <w:r>
              <w:rPr>
                <w:rFonts w:hint="eastAsia" w:cs="宋体"/>
                <w:color w:val="000000"/>
                <w:kern w:val="0"/>
                <w:sz w:val="22"/>
                <w:szCs w:val="22"/>
                <w:highlight w:val="none"/>
              </w:rPr>
              <w:t>的扣除，用扣除后的价格参与评审。</w:t>
            </w:r>
          </w:p>
          <w:p>
            <w:pPr>
              <w:widowControl/>
              <w:spacing w:line="360" w:lineRule="auto"/>
              <w:jc w:val="left"/>
              <w:rPr>
                <w:rFonts w:cs="宋体"/>
                <w:color w:val="000000"/>
                <w:kern w:val="0"/>
                <w:sz w:val="22"/>
                <w:szCs w:val="22"/>
                <w:highlight w:val="none"/>
              </w:rPr>
            </w:pPr>
            <w:r>
              <w:rPr>
                <w:rFonts w:hint="eastAsia" w:cs="宋体"/>
                <w:color w:val="000000"/>
                <w:kern w:val="0"/>
                <w:sz w:val="22"/>
                <w:szCs w:val="22"/>
                <w:highlight w:val="none"/>
              </w:rPr>
              <w:t>2、非专门面向中小企业的工程、服务类采购项目，供应商是小型和微型企业的价格给予</w:t>
            </w:r>
            <w:r>
              <w:rPr>
                <w:rFonts w:hint="eastAsia" w:cs="宋体"/>
                <w:b/>
                <w:color w:val="000000"/>
                <w:kern w:val="0"/>
                <w:sz w:val="22"/>
                <w:szCs w:val="22"/>
                <w:highlight w:val="none"/>
              </w:rPr>
              <w:t>6%</w:t>
            </w:r>
            <w:r>
              <w:rPr>
                <w:rFonts w:hint="eastAsia" w:cs="宋体"/>
                <w:color w:val="000000"/>
                <w:kern w:val="0"/>
                <w:sz w:val="22"/>
                <w:szCs w:val="22"/>
                <w:highlight w:val="none"/>
              </w:rPr>
              <w:t>的扣除，用扣除后的价格参与评审。</w:t>
            </w:r>
          </w:p>
          <w:p>
            <w:pPr>
              <w:spacing w:line="360" w:lineRule="auto"/>
              <w:rPr>
                <w:rFonts w:cs="宋体"/>
                <w:sz w:val="21"/>
                <w:szCs w:val="21"/>
                <w:highlight w:val="none"/>
              </w:rPr>
            </w:pPr>
            <w:r>
              <w:rPr>
                <w:rFonts w:hint="eastAsia" w:cs="宋体"/>
                <w:sz w:val="21"/>
                <w:szCs w:val="21"/>
                <w:highlight w:val="none"/>
              </w:rPr>
              <w:t>3</w:t>
            </w:r>
            <w:r>
              <w:rPr>
                <w:rFonts w:hint="eastAsia" w:cs="宋体"/>
                <w:kern w:val="0"/>
                <w:sz w:val="22"/>
                <w:szCs w:val="22"/>
                <w:highlight w:val="none"/>
              </w:rPr>
              <w:t>、鼓励大中型企业和其他自然人、法人或者其他组织与小型、微型企业组成联合体共同参加非专门面向中小企业的政府采购活动。联合协议中约定，小型、微型企业的协议合同金额占到联合体协议合同总金额30%以上的，可给予联合体</w:t>
            </w:r>
            <w:r>
              <w:rPr>
                <w:rFonts w:hint="eastAsia" w:cs="宋体"/>
                <w:b/>
                <w:kern w:val="0"/>
                <w:sz w:val="22"/>
                <w:szCs w:val="22"/>
                <w:highlight w:val="none"/>
              </w:rPr>
              <w:t>3%</w:t>
            </w:r>
            <w:r>
              <w:rPr>
                <w:rFonts w:hint="eastAsia" w:cs="宋体"/>
                <w:kern w:val="0"/>
                <w:sz w:val="22"/>
                <w:szCs w:val="22"/>
                <w:highlight w:val="none"/>
              </w:rPr>
              <w:t>的价格扣除，不重复享受政策。</w:t>
            </w:r>
          </w:p>
        </w:tc>
      </w:tr>
      <w:tr>
        <w:tblPrEx>
          <w:tblCellMar>
            <w:top w:w="0" w:type="dxa"/>
            <w:left w:w="108" w:type="dxa"/>
            <w:bottom w:w="0" w:type="dxa"/>
            <w:right w:w="108" w:type="dxa"/>
          </w:tblCellMar>
        </w:tblPrEx>
        <w:trPr>
          <w:trHeight w:val="1761" w:hRule="atLeast"/>
        </w:trPr>
        <w:tc>
          <w:tcPr>
            <w:tcW w:w="766"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rPr>
                <w:rFonts w:cs="宋体"/>
                <w:color w:val="000000"/>
                <w:kern w:val="0"/>
                <w:sz w:val="22"/>
                <w:szCs w:val="22"/>
                <w:highlight w:val="none"/>
              </w:rPr>
            </w:pPr>
            <w:r>
              <w:rPr>
                <w:rFonts w:hint="eastAsia" w:cs="宋体"/>
                <w:color w:val="000000"/>
                <w:kern w:val="0"/>
                <w:sz w:val="22"/>
                <w:szCs w:val="22"/>
                <w:highlight w:val="none"/>
              </w:rPr>
              <w:t>支持监狱企业政策和促进残疾人就业政府采购政策</w:t>
            </w:r>
          </w:p>
        </w:tc>
        <w:tc>
          <w:tcPr>
            <w:tcW w:w="4234"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ind w:firstLine="440" w:firstLineChars="200"/>
              <w:jc w:val="left"/>
              <w:rPr>
                <w:rFonts w:cs="宋体"/>
                <w:color w:val="000000"/>
                <w:kern w:val="0"/>
                <w:sz w:val="22"/>
                <w:szCs w:val="22"/>
                <w:highlight w:val="none"/>
              </w:rPr>
            </w:pPr>
            <w:r>
              <w:rPr>
                <w:rFonts w:hint="eastAsia" w:cs="宋体"/>
                <w:color w:val="000000"/>
                <w:kern w:val="0"/>
                <w:sz w:val="22"/>
                <w:szCs w:val="22"/>
                <w:highlight w:val="none"/>
              </w:rPr>
              <w:t>监狱企业、残疾人福利性单位视同小型、微型企业，享受预留份额、评审中价格扣除等政府采购促进中小企业发展的政府采购政策，残疾人福利性单位属于小型、微型企业的，不重复享受政策。</w:t>
            </w:r>
          </w:p>
        </w:tc>
      </w:tr>
      <w:tr>
        <w:tblPrEx>
          <w:tblCellMar>
            <w:top w:w="0" w:type="dxa"/>
            <w:left w:w="108" w:type="dxa"/>
            <w:bottom w:w="0" w:type="dxa"/>
            <w:right w:w="108" w:type="dxa"/>
          </w:tblCellMar>
        </w:tblPrEx>
        <w:trPr>
          <w:trHeight w:val="836" w:hRule="atLeast"/>
        </w:trPr>
        <w:tc>
          <w:tcPr>
            <w:tcW w:w="5000" w:type="pct"/>
            <w:gridSpan w:val="2"/>
            <w:tcBorders>
              <w:top w:val="single" w:color="000000" w:sz="4" w:space="0"/>
              <w:left w:val="single" w:color="000000" w:sz="4" w:space="0"/>
              <w:bottom w:val="single" w:color="000000" w:sz="4" w:space="0"/>
              <w:right w:val="single" w:color="000000" w:sz="4" w:space="0"/>
            </w:tcBorders>
            <w:noWrap/>
          </w:tcPr>
          <w:p>
            <w:pPr>
              <w:widowControl/>
              <w:spacing w:line="360" w:lineRule="auto"/>
              <w:ind w:firstLine="440" w:firstLineChars="200"/>
              <w:jc w:val="left"/>
              <w:rPr>
                <w:rFonts w:cs="宋体"/>
                <w:color w:val="000000"/>
                <w:kern w:val="0"/>
                <w:sz w:val="22"/>
                <w:szCs w:val="22"/>
                <w:highlight w:val="none"/>
              </w:rPr>
            </w:pPr>
            <w:r>
              <w:rPr>
                <w:rFonts w:hint="eastAsia" w:cs="宋体"/>
                <w:color w:val="0000FF"/>
                <w:kern w:val="0"/>
                <w:sz w:val="22"/>
                <w:szCs w:val="22"/>
                <w:highlight w:val="none"/>
              </w:rPr>
              <w:t>小型和微型企业应出具《声明函》</w:t>
            </w:r>
            <w:r>
              <w:rPr>
                <w:rFonts w:hint="eastAsia" w:cs="宋体"/>
                <w:color w:val="000000"/>
                <w:kern w:val="0"/>
                <w:sz w:val="22"/>
                <w:szCs w:val="22"/>
                <w:highlight w:val="none"/>
              </w:rPr>
              <w:t>；监狱企业应提供由省级监狱局、戒毒局（含新疆生产兵团）出具的监狱企业的证明文件；残疾人福利性单位提供《声明函》。</w:t>
            </w:r>
          </w:p>
        </w:tc>
      </w:tr>
      <w:tr>
        <w:tblPrEx>
          <w:tblCellMar>
            <w:top w:w="0" w:type="dxa"/>
            <w:left w:w="108" w:type="dxa"/>
            <w:bottom w:w="0" w:type="dxa"/>
            <w:right w:w="108" w:type="dxa"/>
          </w:tblCellMar>
        </w:tblPrEx>
        <w:trPr>
          <w:trHeight w:val="2380" w:hRule="atLeast"/>
        </w:trPr>
        <w:tc>
          <w:tcPr>
            <w:tcW w:w="766"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rPr>
                <w:rFonts w:cs="宋体"/>
                <w:color w:val="000000"/>
                <w:kern w:val="0"/>
                <w:sz w:val="22"/>
                <w:szCs w:val="22"/>
                <w:highlight w:val="none"/>
              </w:rPr>
            </w:pPr>
            <w:r>
              <w:rPr>
                <w:rFonts w:hint="eastAsia" w:cs="宋体"/>
                <w:color w:val="000000"/>
                <w:kern w:val="0"/>
                <w:sz w:val="22"/>
                <w:szCs w:val="22"/>
                <w:highlight w:val="none"/>
              </w:rPr>
              <w:t>采购节能产品政策及采购环境标志产品政策</w:t>
            </w:r>
          </w:p>
        </w:tc>
        <w:tc>
          <w:tcPr>
            <w:tcW w:w="4234" w:type="pc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ind w:firstLine="440" w:firstLineChars="200"/>
              <w:jc w:val="left"/>
              <w:rPr>
                <w:rFonts w:cs="宋体"/>
                <w:color w:val="000000"/>
                <w:kern w:val="0"/>
                <w:sz w:val="22"/>
                <w:szCs w:val="22"/>
                <w:highlight w:val="none"/>
              </w:rPr>
            </w:pPr>
            <w:r>
              <w:rPr>
                <w:rFonts w:hint="eastAsia" w:cs="宋体"/>
                <w:color w:val="000000"/>
                <w:kern w:val="0"/>
                <w:sz w:val="22"/>
                <w:szCs w:val="22"/>
                <w:highlight w:val="none"/>
              </w:rPr>
              <w:t>根据《财政部发展改革委生态环境部 市场监管总局关于调整优化节能产品 环境标志产品政府采购执行机制的通知》（财库〔2019〕9号），供应商所投产品如属于政府强制采购节能产品范围，则该产品必须在节能产品品目内，提供相关证书。供应商所投产品如属于政府优先采购节能、环境标志产品范围，在同等条件下（评审得分及报价相同）优先采购，提供产品相关证书。“节能、环境标志产品政府采购品目”以中国政府采购网为准。</w:t>
            </w:r>
          </w:p>
        </w:tc>
      </w:tr>
    </w:tbl>
    <w:p>
      <w:pPr>
        <w:spacing w:line="360" w:lineRule="auto"/>
        <w:rPr>
          <w:rFonts w:cs="宋体"/>
          <w:sz w:val="21"/>
          <w:szCs w:val="21"/>
          <w:highlight w:val="none"/>
          <w:lang w:val="zh-CN"/>
        </w:rPr>
      </w:pPr>
    </w:p>
    <w:p>
      <w:pPr>
        <w:snapToGrid w:val="0"/>
        <w:spacing w:line="480" w:lineRule="auto"/>
        <w:ind w:left="446"/>
        <w:rPr>
          <w:rFonts w:cs="宋体"/>
          <w:spacing w:val="5"/>
          <w:highlight w:val="none"/>
          <w:lang w:val="zh-CN"/>
        </w:rPr>
      </w:pPr>
      <w:r>
        <w:rPr>
          <w:rFonts w:hint="eastAsia" w:cs="宋体"/>
          <w:spacing w:val="5"/>
          <w:highlight w:val="none"/>
        </w:rPr>
        <w:t>4.4</w:t>
      </w:r>
      <w:r>
        <w:rPr>
          <w:rFonts w:hint="eastAsia" w:cs="宋体"/>
          <w:spacing w:val="5"/>
          <w:highlight w:val="none"/>
          <w:lang w:val="zh-CN"/>
        </w:rPr>
        <w:t>相同品牌处理原则</w:t>
      </w:r>
    </w:p>
    <w:p>
      <w:pPr>
        <w:adjustRightInd w:val="0"/>
        <w:snapToGrid w:val="0"/>
        <w:spacing w:line="480" w:lineRule="auto"/>
        <w:ind w:firstLine="480" w:firstLineChars="200"/>
        <w:rPr>
          <w:rFonts w:cs="宋体"/>
          <w:kern w:val="0"/>
          <w:highlight w:val="none"/>
          <w:lang w:val="zh-CN"/>
        </w:rPr>
      </w:pPr>
      <w:r>
        <w:rPr>
          <w:rFonts w:hint="eastAsia" w:cs="宋体"/>
          <w:kern w:val="0"/>
          <w:highlight w:val="none"/>
        </w:rPr>
        <w:t>4.4.1</w:t>
      </w:r>
      <w:r>
        <w:rPr>
          <w:rFonts w:hint="eastAsia" w:cs="宋体"/>
          <w:kern w:val="0"/>
          <w:highlight w:val="none"/>
          <w:lang w:val="zh-CN"/>
        </w:rPr>
        <w:t>提供相同品牌产品且通过资格审查、符合性审查的不同供应商参加同一合同项下投标的，按一家供应商计算，评审后得分最高的同品牌供应商获得中标人推荐资格；评审得分相同的，由采购人确定或者采购人委托评标委员会以投票方式确定一个供应商获得中标人推荐资格，其他同品牌供应商不作为中标候选人。</w:t>
      </w:r>
    </w:p>
    <w:p>
      <w:pPr>
        <w:adjustRightInd w:val="0"/>
        <w:snapToGrid w:val="0"/>
        <w:spacing w:line="480" w:lineRule="auto"/>
        <w:ind w:firstLine="480" w:firstLineChars="200"/>
        <w:rPr>
          <w:rFonts w:cs="宋体"/>
          <w:kern w:val="0"/>
          <w:highlight w:val="none"/>
          <w:lang w:val="zh-CN"/>
        </w:rPr>
      </w:pPr>
      <w:r>
        <w:rPr>
          <w:rFonts w:hint="eastAsia" w:cs="宋体"/>
          <w:kern w:val="0"/>
          <w:highlight w:val="none"/>
        </w:rPr>
        <w:t>4.4.2</w:t>
      </w:r>
      <w:r>
        <w:rPr>
          <w:rFonts w:hint="eastAsia" w:cs="宋体"/>
          <w:kern w:val="0"/>
          <w:highlight w:val="none"/>
          <w:lang w:val="zh-CN"/>
        </w:rPr>
        <w:t>非单一产品采购项目，采购人应当根据采购项目技术构成、产品价格比重等合理确定</w:t>
      </w:r>
      <w:r>
        <w:rPr>
          <w:rFonts w:hint="eastAsia" w:cs="宋体"/>
          <w:b/>
          <w:kern w:val="0"/>
          <w:highlight w:val="none"/>
          <w:lang w:val="zh-CN"/>
        </w:rPr>
        <w:t>一个核心产品</w:t>
      </w:r>
      <w:r>
        <w:rPr>
          <w:rFonts w:hint="eastAsia" w:cs="宋体"/>
          <w:kern w:val="0"/>
          <w:highlight w:val="none"/>
          <w:lang w:val="zh-CN"/>
        </w:rPr>
        <w:t>，并以</w:t>
      </w:r>
      <w:r>
        <w:rPr>
          <w:rFonts w:hint="eastAsia" w:cs="宋体"/>
          <w:b/>
          <w:kern w:val="0"/>
          <w:highlight w:val="none"/>
          <w:lang w:val="zh-CN"/>
        </w:rPr>
        <w:t>“核心产品”</w:t>
      </w:r>
      <w:r>
        <w:rPr>
          <w:rFonts w:hint="eastAsia" w:cs="宋体"/>
          <w:kern w:val="0"/>
          <w:highlight w:val="none"/>
          <w:lang w:val="zh-CN"/>
        </w:rPr>
        <w:t>在招标文件中标注。多家供应商提供的核心产品品牌相同的，按4.1条规定处理。</w:t>
      </w:r>
    </w:p>
    <w:p>
      <w:pPr>
        <w:adjustRightInd w:val="0"/>
        <w:snapToGrid w:val="0"/>
        <w:spacing w:before="100" w:line="480" w:lineRule="auto"/>
        <w:rPr>
          <w:rFonts w:cs="宋体"/>
          <w:b/>
          <w:kern w:val="0"/>
          <w:highlight w:val="none"/>
          <w:lang w:val="zh-CN"/>
        </w:rPr>
      </w:pPr>
      <w:r>
        <w:rPr>
          <w:rFonts w:hint="eastAsia" w:cs="宋体"/>
          <w:b/>
          <w:kern w:val="0"/>
          <w:highlight w:val="none"/>
        </w:rPr>
        <w:t>5</w:t>
      </w:r>
      <w:r>
        <w:rPr>
          <w:rFonts w:hint="eastAsia" w:cs="宋体"/>
          <w:b/>
          <w:kern w:val="0"/>
          <w:highlight w:val="none"/>
          <w:lang w:val="zh-CN"/>
        </w:rPr>
        <w:t>、计分办法</w:t>
      </w:r>
    </w:p>
    <w:p>
      <w:pPr>
        <w:adjustRightInd w:val="0"/>
        <w:snapToGrid w:val="0"/>
        <w:spacing w:line="480" w:lineRule="auto"/>
        <w:ind w:firstLine="480" w:firstLineChars="200"/>
        <w:rPr>
          <w:rFonts w:cs="宋体"/>
          <w:kern w:val="0"/>
          <w:highlight w:val="none"/>
          <w:lang w:val="zh-CN"/>
        </w:rPr>
      </w:pPr>
      <w:r>
        <w:rPr>
          <w:rFonts w:hint="eastAsia" w:cs="宋体"/>
          <w:kern w:val="0"/>
          <w:highlight w:val="none"/>
        </w:rPr>
        <w:t>5.1采购代理机构</w:t>
      </w:r>
      <w:r>
        <w:rPr>
          <w:rFonts w:hint="eastAsia" w:cs="宋体"/>
          <w:kern w:val="0"/>
          <w:highlight w:val="none"/>
          <w:lang w:val="zh-CN"/>
        </w:rPr>
        <w:t>对各评委的总分进行复核。各项统计结果均精确到小数点后两位。</w:t>
      </w:r>
    </w:p>
    <w:p>
      <w:pPr>
        <w:adjustRightInd w:val="0"/>
        <w:snapToGrid w:val="0"/>
        <w:spacing w:line="480" w:lineRule="auto"/>
        <w:ind w:firstLine="480" w:firstLineChars="200"/>
        <w:rPr>
          <w:rFonts w:cs="宋体"/>
          <w:kern w:val="0"/>
          <w:highlight w:val="none"/>
          <w:lang w:val="zh-CN"/>
        </w:rPr>
      </w:pPr>
      <w:r>
        <w:rPr>
          <w:rFonts w:hint="eastAsia" w:cs="宋体"/>
          <w:kern w:val="0"/>
          <w:highlight w:val="none"/>
        </w:rPr>
        <w:t>5.2</w:t>
      </w:r>
      <w:r>
        <w:rPr>
          <w:rFonts w:hint="eastAsia" w:cs="宋体"/>
          <w:kern w:val="0"/>
          <w:highlight w:val="none"/>
          <w:lang w:val="zh-CN"/>
        </w:rPr>
        <w:t>各供应商的最终得分为评委所评定分数的算术平均值。</w:t>
      </w:r>
    </w:p>
    <w:p>
      <w:pPr>
        <w:adjustRightInd w:val="0"/>
        <w:snapToGrid w:val="0"/>
        <w:spacing w:before="100" w:line="480" w:lineRule="auto"/>
        <w:rPr>
          <w:rFonts w:cs="宋体"/>
          <w:b/>
          <w:kern w:val="0"/>
          <w:highlight w:val="none"/>
          <w:lang w:val="zh-CN"/>
        </w:rPr>
      </w:pPr>
      <w:r>
        <w:rPr>
          <w:rFonts w:hint="eastAsia" w:cs="宋体"/>
          <w:b/>
          <w:kern w:val="0"/>
          <w:highlight w:val="none"/>
        </w:rPr>
        <w:t>6</w:t>
      </w:r>
      <w:r>
        <w:rPr>
          <w:rFonts w:hint="eastAsia" w:cs="宋体"/>
          <w:b/>
          <w:kern w:val="0"/>
          <w:highlight w:val="none"/>
          <w:lang w:val="zh-CN"/>
        </w:rPr>
        <w:t>、推荐中标候选人名单或确定中标人</w:t>
      </w:r>
    </w:p>
    <w:p>
      <w:pPr>
        <w:tabs>
          <w:tab w:val="left" w:pos="868"/>
        </w:tabs>
        <w:snapToGrid w:val="0"/>
        <w:spacing w:line="480" w:lineRule="auto"/>
        <w:ind w:firstLine="480" w:firstLineChars="200"/>
        <w:rPr>
          <w:rFonts w:cs="宋体"/>
          <w:bCs/>
          <w:szCs w:val="20"/>
          <w:highlight w:val="none"/>
          <w:lang w:val="zh-CN"/>
        </w:rPr>
      </w:pPr>
      <w:r>
        <w:rPr>
          <w:rFonts w:hint="eastAsia" w:cs="宋体"/>
          <w:bCs/>
          <w:szCs w:val="20"/>
          <w:highlight w:val="none"/>
        </w:rPr>
        <w:t>6.1</w:t>
      </w:r>
      <w:r>
        <w:rPr>
          <w:rFonts w:hint="eastAsia" w:cs="宋体"/>
          <w:bCs/>
          <w:szCs w:val="20"/>
          <w:highlight w:val="none"/>
          <w:lang w:val="zh-CN"/>
        </w:rPr>
        <w:t>评标委员会按照招标文件确定的评标方法、程序及标准，对投标文件进行评审。</w:t>
      </w:r>
      <w:r>
        <w:rPr>
          <w:rFonts w:hint="eastAsia" w:cs="宋体"/>
          <w:bCs/>
          <w:szCs w:val="22"/>
          <w:highlight w:val="none"/>
        </w:rPr>
        <w:t>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pPr>
        <w:tabs>
          <w:tab w:val="left" w:pos="868"/>
        </w:tabs>
        <w:snapToGrid w:val="0"/>
        <w:spacing w:line="480" w:lineRule="auto"/>
        <w:ind w:firstLine="480" w:firstLineChars="200"/>
        <w:rPr>
          <w:rFonts w:cs="宋体"/>
          <w:bCs/>
          <w:szCs w:val="20"/>
          <w:highlight w:val="none"/>
          <w:lang w:val="zh-CN"/>
        </w:rPr>
      </w:pPr>
      <w:r>
        <w:rPr>
          <w:rFonts w:hint="eastAsia" w:cs="宋体"/>
          <w:bCs/>
          <w:szCs w:val="20"/>
          <w:highlight w:val="none"/>
        </w:rPr>
        <w:t>6.2</w:t>
      </w:r>
      <w:r>
        <w:rPr>
          <w:rFonts w:hint="eastAsia" w:cs="宋体"/>
          <w:bCs/>
          <w:szCs w:val="20"/>
          <w:highlight w:val="none"/>
          <w:lang w:val="zh-CN"/>
        </w:rPr>
        <w:t>评标委员会依据评标结果，按各供应商的评审后得分由高到低的顺序向采购人推荐得分前三名的进入中标候选人名单，并形成书面的评标报告。</w:t>
      </w:r>
    </w:p>
    <w:p>
      <w:pPr>
        <w:snapToGrid w:val="0"/>
        <w:spacing w:line="480" w:lineRule="auto"/>
        <w:ind w:firstLine="480" w:firstLineChars="200"/>
        <w:rPr>
          <w:rFonts w:cs="宋体"/>
          <w:b/>
          <w:sz w:val="21"/>
          <w:szCs w:val="21"/>
          <w:highlight w:val="none"/>
        </w:rPr>
      </w:pPr>
      <w:r>
        <w:rPr>
          <w:rFonts w:hint="eastAsia" w:cs="宋体"/>
          <w:bCs/>
          <w:szCs w:val="22"/>
          <w:highlight w:val="none"/>
        </w:rPr>
        <w:t>6.3中标候选人并列的，</w:t>
      </w:r>
      <w:r>
        <w:rPr>
          <w:rFonts w:hint="eastAsia" w:cs="宋体"/>
          <w:bCs/>
          <w:szCs w:val="20"/>
          <w:highlight w:val="none"/>
          <w:lang w:val="zh-CN"/>
        </w:rPr>
        <w:t>由采购人确定或者采购人委托评标委员会以投票方式确定中标人。评标委员会应当在评标报告上签字，对自己的评审意见承担法律责任。对评标报告有异议的，应当在评标报告上签署不同意见，并说明理由，否则视为同意评标报告。</w:t>
      </w:r>
    </w:p>
    <w:p>
      <w:pPr>
        <w:widowControl/>
        <w:topLinePunct/>
        <w:autoSpaceDE w:val="0"/>
        <w:autoSpaceDN w:val="0"/>
        <w:adjustRightInd w:val="0"/>
        <w:snapToGrid w:val="0"/>
        <w:spacing w:line="360" w:lineRule="auto"/>
        <w:ind w:firstLine="420" w:firstLineChars="200"/>
        <w:rPr>
          <w:rFonts w:cs="宋体"/>
          <w:sz w:val="21"/>
          <w:szCs w:val="21"/>
          <w:highlight w:val="none"/>
        </w:rPr>
      </w:pPr>
    </w:p>
    <w:p>
      <w:pPr>
        <w:rPr>
          <w:rFonts w:cs="宋体"/>
          <w:sz w:val="21"/>
          <w:szCs w:val="21"/>
          <w:highlight w:val="none"/>
        </w:rPr>
        <w:sectPr>
          <w:pgSz w:w="11906" w:h="16838"/>
          <w:pgMar w:top="1440" w:right="1242" w:bottom="1440" w:left="1242" w:header="851" w:footer="992" w:gutter="0"/>
          <w:cols w:space="720" w:num="1"/>
          <w:titlePg/>
          <w:docGrid w:type="lines" w:linePitch="312" w:charSpace="0"/>
        </w:sectPr>
      </w:pPr>
    </w:p>
    <w:p>
      <w:pPr>
        <w:pStyle w:val="3"/>
        <w:autoSpaceDE/>
        <w:autoSpaceDN/>
        <w:spacing w:line="720" w:lineRule="auto"/>
        <w:jc w:val="center"/>
        <w:rPr>
          <w:rFonts w:ascii="宋体" w:hAnsi="宋体" w:eastAsia="宋体" w:cs="宋体"/>
          <w:bCs/>
          <w:snapToGrid/>
          <w:kern w:val="2"/>
          <w:sz w:val="32"/>
          <w:highlight w:val="none"/>
        </w:rPr>
      </w:pPr>
      <w:bookmarkStart w:id="63" w:name="_Toc2174"/>
      <w:bookmarkStart w:id="64" w:name="_Toc1484421284"/>
      <w:bookmarkStart w:id="65" w:name="_Toc17872"/>
      <w:bookmarkStart w:id="66" w:name="_Toc525052847"/>
      <w:bookmarkStart w:id="67" w:name="_Toc353483817"/>
      <w:bookmarkStart w:id="68" w:name="_Toc1914430521"/>
      <w:bookmarkStart w:id="69" w:name="_Toc12113"/>
      <w:bookmarkStart w:id="70" w:name="_Toc38030150"/>
      <w:bookmarkStart w:id="71" w:name="_Toc25581"/>
      <w:bookmarkStart w:id="72" w:name="_Toc614538032"/>
      <w:bookmarkStart w:id="73" w:name="_Toc1406510925"/>
      <w:bookmarkStart w:id="74" w:name="_Toc1505390621"/>
      <w:r>
        <w:rPr>
          <w:rFonts w:hint="eastAsia" w:ascii="宋体" w:hAnsi="宋体" w:eastAsia="宋体" w:cs="宋体"/>
          <w:bCs/>
          <w:snapToGrid/>
          <w:kern w:val="2"/>
          <w:sz w:val="32"/>
          <w:highlight w:val="none"/>
        </w:rPr>
        <w:t>第四章政府采购合同文本</w:t>
      </w:r>
      <w:bookmarkEnd w:id="63"/>
      <w:bookmarkEnd w:id="64"/>
      <w:bookmarkEnd w:id="65"/>
      <w:bookmarkEnd w:id="66"/>
      <w:bookmarkEnd w:id="67"/>
      <w:bookmarkEnd w:id="68"/>
      <w:bookmarkEnd w:id="69"/>
      <w:bookmarkEnd w:id="70"/>
      <w:bookmarkEnd w:id="71"/>
      <w:bookmarkEnd w:id="72"/>
      <w:bookmarkEnd w:id="73"/>
      <w:bookmarkEnd w:id="74"/>
    </w:p>
    <w:p>
      <w:pPr>
        <w:pStyle w:val="13"/>
        <w:jc w:val="center"/>
        <w:rPr>
          <w:rFonts w:hAnsi="宋体" w:cs="宋体"/>
          <w:b/>
          <w:sz w:val="21"/>
          <w:highlight w:val="none"/>
        </w:rPr>
      </w:pPr>
    </w:p>
    <w:p>
      <w:pPr>
        <w:pStyle w:val="13"/>
        <w:jc w:val="center"/>
        <w:rPr>
          <w:rFonts w:hAnsi="宋体" w:cs="宋体"/>
          <w:b/>
          <w:sz w:val="21"/>
          <w:highlight w:val="none"/>
        </w:rPr>
      </w:pPr>
    </w:p>
    <w:p>
      <w:pPr>
        <w:pStyle w:val="13"/>
        <w:jc w:val="center"/>
        <w:rPr>
          <w:rFonts w:hAnsi="宋体" w:cs="宋体"/>
          <w:bCs/>
          <w:sz w:val="52"/>
          <w:szCs w:val="52"/>
          <w:highlight w:val="none"/>
        </w:rPr>
      </w:pPr>
      <w:r>
        <w:rPr>
          <w:rFonts w:hint="eastAsia" w:hAnsi="宋体" w:cs="宋体"/>
          <w:bCs/>
          <w:sz w:val="52"/>
          <w:szCs w:val="52"/>
          <w:highlight w:val="none"/>
        </w:rPr>
        <w:t>合 同 书</w:t>
      </w:r>
    </w:p>
    <w:p>
      <w:pPr>
        <w:pStyle w:val="13"/>
        <w:jc w:val="center"/>
        <w:rPr>
          <w:rFonts w:hAnsi="宋体" w:cs="宋体"/>
          <w:bCs/>
          <w:sz w:val="21"/>
          <w:highlight w:val="none"/>
        </w:rPr>
      </w:pPr>
    </w:p>
    <w:p>
      <w:pPr>
        <w:tabs>
          <w:tab w:val="left" w:pos="540"/>
          <w:tab w:val="left" w:pos="1080"/>
          <w:tab w:val="left" w:pos="1440"/>
        </w:tabs>
        <w:snapToGrid w:val="0"/>
        <w:jc w:val="center"/>
        <w:rPr>
          <w:rFonts w:cs="宋体"/>
          <w:sz w:val="21"/>
          <w:szCs w:val="21"/>
          <w:highlight w:val="none"/>
        </w:rPr>
      </w:pPr>
    </w:p>
    <w:p>
      <w:pPr>
        <w:tabs>
          <w:tab w:val="left" w:pos="540"/>
          <w:tab w:val="left" w:pos="1080"/>
          <w:tab w:val="left" w:pos="1440"/>
        </w:tabs>
        <w:snapToGrid w:val="0"/>
        <w:jc w:val="center"/>
        <w:rPr>
          <w:rFonts w:cs="宋体"/>
          <w:sz w:val="21"/>
          <w:szCs w:val="21"/>
          <w:highlight w:val="none"/>
        </w:rPr>
      </w:pPr>
    </w:p>
    <w:p>
      <w:pPr>
        <w:tabs>
          <w:tab w:val="left" w:pos="540"/>
          <w:tab w:val="left" w:pos="1080"/>
          <w:tab w:val="left" w:pos="1440"/>
        </w:tabs>
        <w:snapToGrid w:val="0"/>
        <w:jc w:val="center"/>
        <w:rPr>
          <w:rFonts w:cs="宋体"/>
          <w:sz w:val="21"/>
          <w:szCs w:val="21"/>
          <w:highlight w:val="none"/>
        </w:rPr>
      </w:pPr>
    </w:p>
    <w:p>
      <w:pPr>
        <w:tabs>
          <w:tab w:val="left" w:pos="540"/>
          <w:tab w:val="left" w:pos="1080"/>
          <w:tab w:val="left" w:pos="1440"/>
        </w:tabs>
        <w:snapToGrid w:val="0"/>
        <w:ind w:left="1920" w:leftChars="800"/>
        <w:jc w:val="center"/>
        <w:rPr>
          <w:rFonts w:cs="宋体"/>
          <w:sz w:val="21"/>
          <w:szCs w:val="21"/>
          <w:highlight w:val="none"/>
        </w:rPr>
      </w:pPr>
    </w:p>
    <w:p>
      <w:pPr>
        <w:topLinePunct/>
        <w:autoSpaceDE w:val="0"/>
        <w:autoSpaceDN w:val="0"/>
        <w:snapToGrid w:val="0"/>
        <w:spacing w:line="360" w:lineRule="auto"/>
        <w:ind w:firstLine="960" w:firstLineChars="400"/>
        <w:rPr>
          <w:rFonts w:cs="宋体"/>
          <w:highlight w:val="none"/>
        </w:rPr>
      </w:pPr>
      <w:r>
        <w:rPr>
          <w:rFonts w:hint="eastAsia" w:cs="宋体"/>
          <w:bCs/>
          <w:highlight w:val="none"/>
        </w:rPr>
        <w:t>项目名称：</w:t>
      </w:r>
      <w:r>
        <w:rPr>
          <w:rFonts w:hint="eastAsia" w:cs="宋体"/>
          <w:highlight w:val="none"/>
        </w:rPr>
        <w:t>国家税务总局十堰市税务局2025年度食堂餐饮服务项目协议</w:t>
      </w:r>
    </w:p>
    <w:p>
      <w:pPr>
        <w:tabs>
          <w:tab w:val="left" w:pos="540"/>
          <w:tab w:val="left" w:pos="1080"/>
          <w:tab w:val="left" w:pos="1440"/>
        </w:tabs>
        <w:snapToGrid w:val="0"/>
        <w:spacing w:line="360" w:lineRule="auto"/>
        <w:ind w:firstLine="2400" w:firstLineChars="1000"/>
        <w:rPr>
          <w:rFonts w:hint="eastAsia" w:cs="宋体"/>
          <w:bCs/>
          <w:highlight w:val="none"/>
        </w:rPr>
      </w:pPr>
    </w:p>
    <w:p>
      <w:pPr>
        <w:tabs>
          <w:tab w:val="left" w:pos="540"/>
          <w:tab w:val="left" w:pos="1080"/>
          <w:tab w:val="left" w:pos="1440"/>
        </w:tabs>
        <w:snapToGrid w:val="0"/>
        <w:spacing w:line="360" w:lineRule="auto"/>
        <w:ind w:firstLine="2400" w:firstLineChars="1000"/>
        <w:rPr>
          <w:rFonts w:cs="宋体"/>
          <w:bCs/>
          <w:highlight w:val="none"/>
        </w:rPr>
      </w:pPr>
      <w:r>
        <w:rPr>
          <w:rFonts w:hint="eastAsia" w:cs="宋体"/>
          <w:bCs/>
          <w:highlight w:val="none"/>
        </w:rPr>
        <w:t>合同编号：</w:t>
      </w:r>
    </w:p>
    <w:p>
      <w:pPr>
        <w:tabs>
          <w:tab w:val="left" w:pos="2160"/>
        </w:tabs>
        <w:topLinePunct/>
        <w:autoSpaceDE w:val="0"/>
        <w:autoSpaceDN w:val="0"/>
        <w:snapToGrid w:val="0"/>
        <w:spacing w:line="360" w:lineRule="auto"/>
        <w:rPr>
          <w:rFonts w:cs="宋体"/>
          <w:bCs/>
          <w:highlight w:val="none"/>
        </w:rPr>
      </w:pPr>
    </w:p>
    <w:p>
      <w:pPr>
        <w:pStyle w:val="13"/>
        <w:spacing w:line="460" w:lineRule="exact"/>
        <w:rPr>
          <w:rFonts w:hAnsi="宋体" w:cs="宋体"/>
          <w:bCs/>
          <w:szCs w:val="24"/>
          <w:highlight w:val="none"/>
        </w:rPr>
      </w:pPr>
    </w:p>
    <w:p>
      <w:pPr>
        <w:pStyle w:val="13"/>
        <w:spacing w:line="460" w:lineRule="exact"/>
        <w:rPr>
          <w:rFonts w:hAnsi="宋体" w:cs="宋体"/>
          <w:bCs/>
          <w:szCs w:val="24"/>
          <w:highlight w:val="none"/>
        </w:rPr>
      </w:pPr>
    </w:p>
    <w:p>
      <w:pPr>
        <w:pStyle w:val="13"/>
        <w:spacing w:line="460" w:lineRule="exact"/>
        <w:jc w:val="center"/>
        <w:rPr>
          <w:rFonts w:hAnsi="宋体" w:cs="宋体"/>
          <w:bCs/>
          <w:szCs w:val="24"/>
          <w:highlight w:val="none"/>
        </w:rPr>
      </w:pPr>
    </w:p>
    <w:p>
      <w:pPr>
        <w:spacing w:line="300" w:lineRule="auto"/>
        <w:ind w:left="960" w:leftChars="400" w:firstLine="1298" w:firstLineChars="541"/>
        <w:rPr>
          <w:rFonts w:cs="宋体"/>
          <w:bCs/>
          <w:highlight w:val="none"/>
        </w:rPr>
      </w:pPr>
      <w:r>
        <w:rPr>
          <w:rFonts w:hint="eastAsia" w:cs="宋体"/>
          <w:bCs/>
          <w:highlight w:val="none"/>
        </w:rPr>
        <w:t>甲    方：</w:t>
      </w:r>
      <w:r>
        <w:rPr>
          <w:rFonts w:hint="eastAsia" w:cs="宋体"/>
          <w:bCs/>
          <w:highlight w:val="none"/>
          <w:u w:val="single"/>
        </w:rPr>
        <w:t>国家税务总局十堰市税务局</w:t>
      </w:r>
    </w:p>
    <w:p>
      <w:pPr>
        <w:spacing w:line="300" w:lineRule="auto"/>
        <w:ind w:left="960" w:leftChars="400" w:firstLine="1298" w:firstLineChars="541"/>
        <w:rPr>
          <w:rFonts w:cs="宋体"/>
          <w:bCs/>
          <w:highlight w:val="none"/>
          <w:u w:val="single"/>
        </w:rPr>
      </w:pPr>
      <w:r>
        <w:rPr>
          <w:rFonts w:hint="eastAsia" w:cs="宋体"/>
          <w:bCs/>
          <w:highlight w:val="none"/>
        </w:rPr>
        <w:t xml:space="preserve">乙    方： </w:t>
      </w:r>
    </w:p>
    <w:p>
      <w:pPr>
        <w:spacing w:line="300" w:lineRule="auto"/>
        <w:ind w:left="960" w:leftChars="400" w:firstLine="1298" w:firstLineChars="541"/>
        <w:rPr>
          <w:rFonts w:cs="宋体"/>
          <w:bCs/>
          <w:highlight w:val="none"/>
          <w:u w:val="single"/>
        </w:rPr>
      </w:pPr>
      <w:r>
        <w:rPr>
          <w:rFonts w:hint="eastAsia" w:cs="宋体"/>
          <w:bCs/>
          <w:highlight w:val="none"/>
        </w:rPr>
        <w:t xml:space="preserve">日    期： </w:t>
      </w:r>
      <w:r>
        <w:rPr>
          <w:rFonts w:hint="eastAsia" w:cs="宋体"/>
          <w:bCs/>
          <w:highlight w:val="none"/>
          <w:u w:val="single"/>
        </w:rPr>
        <w:t>年</w:t>
      </w:r>
      <w:r>
        <w:rPr>
          <w:rFonts w:hint="eastAsia" w:cs="宋体"/>
          <w:bCs/>
          <w:highlight w:val="none"/>
          <w:u w:val="single"/>
          <w:lang w:val="en-US" w:eastAsia="zh-CN"/>
        </w:rPr>
        <w:t xml:space="preserve">   </w:t>
      </w:r>
      <w:r>
        <w:rPr>
          <w:rFonts w:hint="eastAsia" w:cs="宋体"/>
          <w:bCs/>
          <w:highlight w:val="none"/>
          <w:u w:val="single"/>
        </w:rPr>
        <w:t>月  日</w:t>
      </w:r>
    </w:p>
    <w:p>
      <w:pPr>
        <w:pStyle w:val="4"/>
        <w:autoSpaceDE/>
        <w:autoSpaceDN/>
        <w:spacing w:beforeLines="50"/>
        <w:jc w:val="center"/>
        <w:rPr>
          <w:rFonts w:ascii="宋体" w:hAnsi="宋体" w:eastAsia="宋体" w:cs="宋体"/>
          <w:sz w:val="21"/>
          <w:szCs w:val="21"/>
          <w:highlight w:val="none"/>
        </w:rPr>
      </w:pPr>
      <w:r>
        <w:rPr>
          <w:rFonts w:hint="eastAsia" w:ascii="宋体" w:hAnsi="宋体" w:eastAsia="宋体" w:cs="宋体"/>
          <w:bCs/>
          <w:sz w:val="21"/>
          <w:szCs w:val="21"/>
          <w:highlight w:val="none"/>
        </w:rPr>
        <w:br w:type="page"/>
      </w:r>
      <w:bookmarkStart w:id="75" w:name="_Toc8818"/>
      <w:bookmarkStart w:id="76" w:name="_Toc1034"/>
      <w:bookmarkStart w:id="77" w:name="_Toc26976"/>
      <w:bookmarkStart w:id="78" w:name="_Toc9386"/>
      <w:bookmarkStart w:id="79" w:name="_Toc11833"/>
      <w:bookmarkStart w:id="80" w:name="_Toc27754"/>
      <w:bookmarkStart w:id="81" w:name="_Toc23037"/>
      <w:bookmarkStart w:id="82" w:name="_Toc23844"/>
      <w:bookmarkStart w:id="83" w:name="_Toc14388"/>
      <w:bookmarkStart w:id="84" w:name="_Toc15587"/>
      <w:r>
        <w:rPr>
          <w:rFonts w:hint="eastAsia" w:ascii="宋体" w:hAnsi="宋体" w:eastAsia="宋体" w:cs="宋体"/>
          <w:sz w:val="21"/>
          <w:szCs w:val="21"/>
          <w:highlight w:val="none"/>
        </w:rPr>
        <w:t>合同条款前附表</w:t>
      </w:r>
      <w:bookmarkEnd w:id="75"/>
      <w:bookmarkEnd w:id="76"/>
      <w:bookmarkEnd w:id="77"/>
      <w:bookmarkEnd w:id="78"/>
      <w:bookmarkEnd w:id="79"/>
      <w:bookmarkEnd w:id="80"/>
      <w:bookmarkEnd w:id="81"/>
      <w:bookmarkEnd w:id="82"/>
      <w:bookmarkEnd w:id="83"/>
      <w:bookmarkEnd w:id="84"/>
    </w:p>
    <w:tbl>
      <w:tblPr>
        <w:tblStyle w:val="20"/>
        <w:tblW w:w="8728"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393"/>
        <w:gridCol w:w="1557"/>
        <w:gridCol w:w="6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blHeader/>
        </w:trPr>
        <w:tc>
          <w:tcPr>
            <w:tcW w:w="630" w:type="dxa"/>
            <w:tcBorders>
              <w:tl2br w:val="nil"/>
              <w:tr2bl w:val="nil"/>
            </w:tcBorders>
            <w:noWrap w:val="0"/>
            <w:vAlign w:val="center"/>
          </w:tcPr>
          <w:p>
            <w:pPr>
              <w:keepNext w:val="0"/>
              <w:keepLines w:val="0"/>
              <w:pageBreakBefore w:val="0"/>
              <w:tabs>
                <w:tab w:val="left" w:pos="700"/>
              </w:tabs>
              <w:kinsoku/>
              <w:wordWrap/>
              <w:overflowPunct/>
              <w:bidi w:val="0"/>
              <w:adjustRightInd w:val="0"/>
              <w:snapToGrid w:val="0"/>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8098" w:type="dxa"/>
            <w:gridSpan w:val="3"/>
            <w:tcBorders>
              <w:tl2br w:val="nil"/>
              <w:tr2bl w:val="nil"/>
            </w:tcBorders>
            <w:noWrap w:val="0"/>
            <w:vAlign w:val="center"/>
          </w:tcPr>
          <w:p>
            <w:pPr>
              <w:keepNext w:val="0"/>
              <w:keepLines w:val="0"/>
              <w:pageBreakBefore w:val="0"/>
              <w:tabs>
                <w:tab w:val="left" w:pos="700"/>
              </w:tabs>
              <w:kinsoku/>
              <w:wordWrap/>
              <w:overflowPunct/>
              <w:bidi w:val="0"/>
              <w:adjustRightInd w:val="0"/>
              <w:snapToGrid w:val="0"/>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30" w:type="dxa"/>
            <w:tcBorders>
              <w:tl2br w:val="nil"/>
              <w:tr2bl w:val="nil"/>
            </w:tcBorders>
            <w:noWrap w:val="0"/>
            <w:vAlign w:val="center"/>
          </w:tcPr>
          <w:p>
            <w:pPr>
              <w:keepNext w:val="0"/>
              <w:keepLines w:val="0"/>
              <w:pageBreakBefore w:val="0"/>
              <w:tabs>
                <w:tab w:val="left" w:pos="700"/>
              </w:tabs>
              <w:kinsoku/>
              <w:wordWrap/>
              <w:overflowPunct/>
              <w:bidi w:val="0"/>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950" w:type="dxa"/>
            <w:gridSpan w:val="2"/>
            <w:tcBorders>
              <w:tl2br w:val="nil"/>
              <w:tr2bl w:val="nil"/>
            </w:tcBorders>
            <w:noWrap w:val="0"/>
            <w:vAlign w:val="center"/>
          </w:tcPr>
          <w:p>
            <w:pPr>
              <w:keepNext w:val="0"/>
              <w:keepLines w:val="0"/>
              <w:pageBreakBefore w:val="0"/>
              <w:tabs>
                <w:tab w:val="left" w:pos="700"/>
              </w:tabs>
              <w:kinsoku/>
              <w:wordWrap/>
              <w:overflowPunct/>
              <w:bidi w:val="0"/>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合同名称</w:t>
            </w:r>
          </w:p>
        </w:tc>
        <w:tc>
          <w:tcPr>
            <w:tcW w:w="6148" w:type="dxa"/>
            <w:tcBorders>
              <w:tl2br w:val="nil"/>
              <w:tr2bl w:val="nil"/>
            </w:tcBorders>
            <w:noWrap w:val="0"/>
            <w:vAlign w:val="center"/>
          </w:tcPr>
          <w:p>
            <w:pPr>
              <w:keepNext w:val="0"/>
              <w:keepLines w:val="0"/>
              <w:pageBreakBefore w:val="0"/>
              <w:tabs>
                <w:tab w:val="left" w:pos="700"/>
              </w:tabs>
              <w:kinsoku/>
              <w:wordWrap/>
              <w:overflowPunct/>
              <w:bidi w:val="0"/>
              <w:adjustRightInd w:val="0"/>
              <w:snapToGrid w:val="0"/>
              <w:spacing w:line="240" w:lineRule="auto"/>
              <w:rPr>
                <w:rFonts w:hint="eastAsia" w:ascii="宋体" w:hAnsi="宋体" w:eastAsia="宋体" w:cs="宋体"/>
                <w:bCs/>
                <w:color w:val="auto"/>
                <w:sz w:val="24"/>
                <w:szCs w:val="24"/>
                <w:highlight w:val="none"/>
                <w:lang w:eastAsia="zh-CN"/>
              </w:rPr>
            </w:pPr>
            <w:r>
              <w:rPr>
                <w:rFonts w:hint="eastAsia" w:ascii="宋体" w:hAnsi="宋体" w:eastAsia="宋体" w:cs="宋体"/>
                <w:b w:val="0"/>
                <w:bCs/>
                <w:color w:val="auto"/>
                <w:sz w:val="24"/>
                <w:szCs w:val="24"/>
                <w:highlight w:val="none"/>
              </w:rPr>
              <w:t>国家税务总局十堰市税务局2025年度食堂餐饮服务项目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30" w:type="dxa"/>
            <w:tcBorders>
              <w:tl2br w:val="nil"/>
              <w:tr2bl w:val="nil"/>
            </w:tcBorders>
            <w:noWrap w:val="0"/>
            <w:vAlign w:val="center"/>
          </w:tcPr>
          <w:p>
            <w:pPr>
              <w:keepNext w:val="0"/>
              <w:keepLines w:val="0"/>
              <w:pageBreakBefore w:val="0"/>
              <w:tabs>
                <w:tab w:val="left" w:pos="700"/>
              </w:tabs>
              <w:kinsoku/>
              <w:wordWrap/>
              <w:overflowPunct/>
              <w:bidi w:val="0"/>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950" w:type="dxa"/>
            <w:gridSpan w:val="2"/>
            <w:tcBorders>
              <w:tl2br w:val="nil"/>
              <w:tr2bl w:val="nil"/>
            </w:tcBorders>
            <w:noWrap w:val="0"/>
            <w:vAlign w:val="center"/>
          </w:tcPr>
          <w:p>
            <w:pPr>
              <w:keepNext w:val="0"/>
              <w:keepLines w:val="0"/>
              <w:pageBreakBefore w:val="0"/>
              <w:tabs>
                <w:tab w:val="left" w:pos="700"/>
              </w:tabs>
              <w:kinsoku/>
              <w:wordWrap/>
              <w:overflowPunct/>
              <w:bidi w:val="0"/>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合同编号</w:t>
            </w:r>
          </w:p>
        </w:tc>
        <w:tc>
          <w:tcPr>
            <w:tcW w:w="6148" w:type="dxa"/>
            <w:tcBorders>
              <w:tl2br w:val="nil"/>
              <w:tr2bl w:val="nil"/>
            </w:tcBorders>
            <w:noWrap w:val="0"/>
            <w:vAlign w:val="center"/>
          </w:tcPr>
          <w:p>
            <w:pPr>
              <w:keepNext w:val="0"/>
              <w:keepLines w:val="0"/>
              <w:pageBreakBefore w:val="0"/>
              <w:tabs>
                <w:tab w:val="left" w:pos="2160"/>
              </w:tabs>
              <w:kinsoku/>
              <w:wordWrap/>
              <w:overflowPunct/>
              <w:topLinePunct/>
              <w:autoSpaceDE w:val="0"/>
              <w:autoSpaceDN w:val="0"/>
              <w:bidi w:val="0"/>
              <w:adjustRightInd w:val="0"/>
              <w:snapToGrid w:val="0"/>
              <w:spacing w:line="240" w:lineRule="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HB2025-DLGK-C0080-B00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30" w:type="dxa"/>
            <w:tcBorders>
              <w:tl2br w:val="nil"/>
              <w:tr2bl w:val="nil"/>
            </w:tcBorders>
            <w:noWrap w:val="0"/>
            <w:vAlign w:val="center"/>
          </w:tcPr>
          <w:p>
            <w:pPr>
              <w:keepNext w:val="0"/>
              <w:keepLines w:val="0"/>
              <w:pageBreakBefore w:val="0"/>
              <w:tabs>
                <w:tab w:val="left" w:pos="700"/>
              </w:tabs>
              <w:kinsoku/>
              <w:wordWrap/>
              <w:overflowPunct/>
              <w:bidi w:val="0"/>
              <w:adjustRightInd w:val="0"/>
              <w:snapToGrid w:val="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950" w:type="dxa"/>
            <w:gridSpan w:val="2"/>
            <w:tcBorders>
              <w:tl2br w:val="nil"/>
              <w:tr2bl w:val="nil"/>
            </w:tcBorders>
            <w:noWrap w:val="0"/>
            <w:vAlign w:val="center"/>
          </w:tcPr>
          <w:p>
            <w:pPr>
              <w:keepNext w:val="0"/>
              <w:keepLines w:val="0"/>
              <w:pageBreakBefore w:val="0"/>
              <w:tabs>
                <w:tab w:val="left" w:pos="700"/>
              </w:tabs>
              <w:kinsoku/>
              <w:wordWrap/>
              <w:overflowPunct/>
              <w:bidi w:val="0"/>
              <w:adjustRightInd w:val="0"/>
              <w:snapToGrid w:val="0"/>
              <w:spacing w:line="24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合同类型</w:t>
            </w:r>
          </w:p>
        </w:tc>
        <w:tc>
          <w:tcPr>
            <w:tcW w:w="6148" w:type="dxa"/>
            <w:tcBorders>
              <w:tl2br w:val="nil"/>
              <w:tr2bl w:val="nil"/>
            </w:tcBorders>
            <w:noWrap w:val="0"/>
            <w:vAlign w:val="center"/>
          </w:tcPr>
          <w:p>
            <w:pPr>
              <w:keepNext w:val="0"/>
              <w:keepLines w:val="0"/>
              <w:pageBreakBefore w:val="0"/>
              <w:tabs>
                <w:tab w:val="left" w:pos="2160"/>
              </w:tabs>
              <w:kinsoku/>
              <w:wordWrap/>
              <w:overflowPunct/>
              <w:topLinePunct/>
              <w:autoSpaceDE w:val="0"/>
              <w:autoSpaceDN w:val="0"/>
              <w:bidi w:val="0"/>
              <w:adjustRightInd w:val="0"/>
              <w:snapToGrid w:val="0"/>
              <w:spacing w:line="240" w:lineRule="auto"/>
              <w:rPr>
                <w:rFonts w:hint="eastAsia" w:ascii="宋体" w:hAnsi="宋体" w:eastAsia="宋体" w:cs="宋体"/>
                <w:b/>
                <w:bCs/>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餐饮类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30" w:type="dxa"/>
            <w:tcBorders>
              <w:tl2br w:val="nil"/>
              <w:tr2bl w:val="nil"/>
            </w:tcBorders>
            <w:noWrap w:val="0"/>
            <w:vAlign w:val="center"/>
          </w:tcPr>
          <w:p>
            <w:pPr>
              <w:keepNext w:val="0"/>
              <w:keepLines w:val="0"/>
              <w:pageBreakBefore w:val="0"/>
              <w:tabs>
                <w:tab w:val="left" w:pos="700"/>
              </w:tabs>
              <w:kinsoku/>
              <w:wordWrap/>
              <w:overflowPunct/>
              <w:bidi w:val="0"/>
              <w:adjustRightInd w:val="0"/>
              <w:snapToGrid w:val="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1950" w:type="dxa"/>
            <w:gridSpan w:val="2"/>
            <w:tcBorders>
              <w:tl2br w:val="nil"/>
              <w:tr2bl w:val="nil"/>
            </w:tcBorders>
            <w:noWrap w:val="0"/>
            <w:vAlign w:val="center"/>
          </w:tcPr>
          <w:p>
            <w:pPr>
              <w:keepNext w:val="0"/>
              <w:keepLines w:val="0"/>
              <w:pageBreakBefore w:val="0"/>
              <w:tabs>
                <w:tab w:val="left" w:pos="700"/>
              </w:tabs>
              <w:kinsoku/>
              <w:wordWrap/>
              <w:overflowPunct/>
              <w:bidi w:val="0"/>
              <w:adjustRightInd w:val="0"/>
              <w:snapToGrid w:val="0"/>
              <w:spacing w:line="24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定价方式</w:t>
            </w:r>
          </w:p>
        </w:tc>
        <w:tc>
          <w:tcPr>
            <w:tcW w:w="6148" w:type="dxa"/>
            <w:tcBorders>
              <w:tl2br w:val="nil"/>
              <w:tr2bl w:val="nil"/>
            </w:tcBorders>
            <w:noWrap w:val="0"/>
            <w:vAlign w:val="center"/>
          </w:tcPr>
          <w:p>
            <w:pPr>
              <w:keepNext w:val="0"/>
              <w:keepLines w:val="0"/>
              <w:pageBreakBefore w:val="0"/>
              <w:tabs>
                <w:tab w:val="left" w:pos="2160"/>
              </w:tabs>
              <w:kinsoku/>
              <w:wordWrap/>
              <w:overflowPunct/>
              <w:topLinePunct/>
              <w:autoSpaceDE w:val="0"/>
              <w:autoSpaceDN w:val="0"/>
              <w:bidi w:val="0"/>
              <w:adjustRightInd w:val="0"/>
              <w:snapToGrid w:val="0"/>
              <w:spacing w:line="24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固定单价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30" w:type="dxa"/>
            <w:vMerge w:val="restart"/>
            <w:tcBorders>
              <w:tl2br w:val="nil"/>
              <w:tr2bl w:val="nil"/>
            </w:tcBorders>
            <w:noWrap w:val="0"/>
            <w:vAlign w:val="center"/>
          </w:tcPr>
          <w:p>
            <w:pPr>
              <w:keepNext w:val="0"/>
              <w:keepLines w:val="0"/>
              <w:pageBreakBefore w:val="0"/>
              <w:tabs>
                <w:tab w:val="left" w:pos="700"/>
              </w:tabs>
              <w:kinsoku/>
              <w:wordWrap/>
              <w:overflowPunct/>
              <w:bidi w:val="0"/>
              <w:adjustRightInd w:val="0"/>
              <w:snapToGrid w:val="0"/>
              <w:spacing w:line="24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p>
        </w:tc>
        <w:tc>
          <w:tcPr>
            <w:tcW w:w="1950" w:type="dxa"/>
            <w:gridSpan w:val="2"/>
            <w:tcBorders>
              <w:tl2br w:val="nil"/>
              <w:tr2bl w:val="nil"/>
            </w:tcBorders>
            <w:noWrap w:val="0"/>
            <w:vAlign w:val="center"/>
          </w:tcPr>
          <w:p>
            <w:pPr>
              <w:keepNext w:val="0"/>
              <w:keepLines w:val="0"/>
              <w:pageBreakBefore w:val="0"/>
              <w:tabs>
                <w:tab w:val="left" w:pos="700"/>
              </w:tabs>
              <w:kinsoku/>
              <w:wordWrap/>
              <w:overflowPunct/>
              <w:bidi w:val="0"/>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甲方名称</w:t>
            </w:r>
          </w:p>
        </w:tc>
        <w:tc>
          <w:tcPr>
            <w:tcW w:w="6148" w:type="dxa"/>
            <w:tcBorders>
              <w:tl2br w:val="nil"/>
              <w:tr2bl w:val="nil"/>
            </w:tcBorders>
            <w:noWrap w:val="0"/>
            <w:vAlign w:val="center"/>
          </w:tcPr>
          <w:p>
            <w:pPr>
              <w:keepNext w:val="0"/>
              <w:keepLines w:val="0"/>
              <w:pageBreakBefore w:val="0"/>
              <w:tabs>
                <w:tab w:val="left" w:pos="700"/>
              </w:tabs>
              <w:kinsoku/>
              <w:wordWrap/>
              <w:overflowPunct/>
              <w:bidi w:val="0"/>
              <w:adjustRightInd w:val="0"/>
              <w:snapToGrid w:val="0"/>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国家税务总局十堰市税务局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30" w:type="dxa"/>
            <w:vMerge w:val="continue"/>
            <w:tcBorders>
              <w:tl2br w:val="nil"/>
              <w:tr2bl w:val="nil"/>
            </w:tcBorders>
            <w:noWrap w:val="0"/>
            <w:vAlign w:val="center"/>
          </w:tcPr>
          <w:p>
            <w:pPr>
              <w:keepNext w:val="0"/>
              <w:keepLines w:val="0"/>
              <w:pageBreakBefore w:val="0"/>
              <w:widowControl/>
              <w:kinsoku/>
              <w:wordWrap/>
              <w:overflowPunct/>
              <w:bidi w:val="0"/>
              <w:adjustRightInd w:val="0"/>
              <w:snapToGrid w:val="0"/>
              <w:spacing w:line="240" w:lineRule="auto"/>
              <w:rPr>
                <w:rFonts w:hint="eastAsia" w:ascii="宋体" w:hAnsi="宋体" w:eastAsia="宋体" w:cs="宋体"/>
                <w:color w:val="auto"/>
                <w:sz w:val="24"/>
                <w:szCs w:val="24"/>
                <w:highlight w:val="none"/>
              </w:rPr>
            </w:pPr>
          </w:p>
        </w:tc>
        <w:tc>
          <w:tcPr>
            <w:tcW w:w="1950" w:type="dxa"/>
            <w:gridSpan w:val="2"/>
            <w:tcBorders>
              <w:tl2br w:val="nil"/>
              <w:tr2bl w:val="nil"/>
            </w:tcBorders>
            <w:noWrap w:val="0"/>
            <w:vAlign w:val="center"/>
          </w:tcPr>
          <w:p>
            <w:pPr>
              <w:keepNext w:val="0"/>
              <w:keepLines w:val="0"/>
              <w:pageBreakBefore w:val="0"/>
              <w:tabs>
                <w:tab w:val="left" w:pos="700"/>
              </w:tabs>
              <w:kinsoku/>
              <w:wordWrap/>
              <w:overflowPunct/>
              <w:bidi w:val="0"/>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甲方地址</w:t>
            </w:r>
          </w:p>
        </w:tc>
        <w:tc>
          <w:tcPr>
            <w:tcW w:w="6148" w:type="dxa"/>
            <w:tcBorders>
              <w:tl2br w:val="nil"/>
              <w:tr2bl w:val="nil"/>
            </w:tcBorders>
            <w:noWrap w:val="0"/>
            <w:vAlign w:val="center"/>
          </w:tcPr>
          <w:p>
            <w:pPr>
              <w:keepNext w:val="0"/>
              <w:keepLines w:val="0"/>
              <w:pageBreakBefore w:val="0"/>
              <w:tabs>
                <w:tab w:val="left" w:pos="700"/>
              </w:tabs>
              <w:kinsoku/>
              <w:wordWrap/>
              <w:overflowPunct/>
              <w:bidi w:val="0"/>
              <w:adjustRightInd w:val="0"/>
              <w:snapToGrid w:val="0"/>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十堰市朝阳中路15号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630" w:type="dxa"/>
            <w:vMerge w:val="continue"/>
            <w:tcBorders>
              <w:tl2br w:val="nil"/>
              <w:tr2bl w:val="nil"/>
            </w:tcBorders>
            <w:noWrap w:val="0"/>
            <w:vAlign w:val="center"/>
          </w:tcPr>
          <w:p>
            <w:pPr>
              <w:keepNext w:val="0"/>
              <w:keepLines w:val="0"/>
              <w:pageBreakBefore w:val="0"/>
              <w:widowControl/>
              <w:kinsoku/>
              <w:wordWrap/>
              <w:overflowPunct/>
              <w:bidi w:val="0"/>
              <w:adjustRightInd w:val="0"/>
              <w:snapToGrid w:val="0"/>
              <w:spacing w:line="240" w:lineRule="auto"/>
              <w:rPr>
                <w:rFonts w:hint="eastAsia" w:ascii="宋体" w:hAnsi="宋体" w:eastAsia="宋体" w:cs="宋体"/>
                <w:color w:val="auto"/>
                <w:sz w:val="24"/>
                <w:szCs w:val="24"/>
                <w:highlight w:val="none"/>
              </w:rPr>
            </w:pPr>
          </w:p>
        </w:tc>
        <w:tc>
          <w:tcPr>
            <w:tcW w:w="393" w:type="dxa"/>
            <w:vMerge w:val="restart"/>
            <w:tcBorders>
              <w:tl2br w:val="nil"/>
              <w:tr2bl w:val="nil"/>
            </w:tcBorders>
            <w:noWrap w:val="0"/>
            <w:vAlign w:val="center"/>
          </w:tcPr>
          <w:p>
            <w:pPr>
              <w:keepNext w:val="0"/>
              <w:keepLines w:val="0"/>
              <w:pageBreakBefore w:val="0"/>
              <w:tabs>
                <w:tab w:val="left" w:pos="700"/>
              </w:tabs>
              <w:kinsoku/>
              <w:wordWrap/>
              <w:overflowPunct/>
              <w:bidi w:val="0"/>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甲方相关部门</w:t>
            </w:r>
          </w:p>
        </w:tc>
        <w:tc>
          <w:tcPr>
            <w:tcW w:w="1557" w:type="dxa"/>
            <w:tcBorders>
              <w:tl2br w:val="nil"/>
              <w:tr2bl w:val="nil"/>
            </w:tcBorders>
            <w:noWrap w:val="0"/>
            <w:vAlign w:val="center"/>
          </w:tcPr>
          <w:p>
            <w:pPr>
              <w:keepNext w:val="0"/>
              <w:keepLines w:val="0"/>
              <w:pageBreakBefore w:val="0"/>
              <w:tabs>
                <w:tab w:val="left" w:pos="700"/>
              </w:tabs>
              <w:kinsoku/>
              <w:wordWrap/>
              <w:overflowPunct/>
              <w:bidi w:val="0"/>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0000FF"/>
                <w:sz w:val="24"/>
                <w:szCs w:val="24"/>
                <w:highlight w:val="none"/>
              </w:rPr>
              <w:t>甲方采购部门</w:t>
            </w:r>
          </w:p>
        </w:tc>
        <w:tc>
          <w:tcPr>
            <w:tcW w:w="6148" w:type="dxa"/>
            <w:tcBorders>
              <w:tl2br w:val="nil"/>
              <w:tr2bl w:val="nil"/>
            </w:tcBorders>
            <w:noWrap w:val="0"/>
            <w:vAlign w:val="center"/>
          </w:tcPr>
          <w:p>
            <w:pPr>
              <w:keepNext w:val="0"/>
              <w:keepLines w:val="0"/>
              <w:pageBreakBefore w:val="0"/>
              <w:tabs>
                <w:tab w:val="left" w:pos="700"/>
              </w:tabs>
              <w:kinsoku/>
              <w:wordWrap/>
              <w:overflowPunct/>
              <w:bidi w:val="0"/>
              <w:adjustRightInd w:val="0"/>
              <w:snapToGrid w:val="0"/>
              <w:spacing w:line="24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30" w:type="dxa"/>
            <w:vMerge w:val="continue"/>
            <w:tcBorders>
              <w:tl2br w:val="nil"/>
              <w:tr2bl w:val="nil"/>
            </w:tcBorders>
            <w:noWrap w:val="0"/>
            <w:vAlign w:val="center"/>
          </w:tcPr>
          <w:p>
            <w:pPr>
              <w:keepNext w:val="0"/>
              <w:keepLines w:val="0"/>
              <w:pageBreakBefore w:val="0"/>
              <w:widowControl/>
              <w:kinsoku/>
              <w:wordWrap/>
              <w:overflowPunct/>
              <w:bidi w:val="0"/>
              <w:adjustRightInd w:val="0"/>
              <w:snapToGrid w:val="0"/>
              <w:spacing w:line="240" w:lineRule="auto"/>
              <w:rPr>
                <w:rFonts w:hint="eastAsia" w:ascii="宋体" w:hAnsi="宋体" w:eastAsia="宋体" w:cs="宋体"/>
                <w:color w:val="auto"/>
                <w:sz w:val="24"/>
                <w:szCs w:val="24"/>
                <w:highlight w:val="none"/>
              </w:rPr>
            </w:pPr>
          </w:p>
        </w:tc>
        <w:tc>
          <w:tcPr>
            <w:tcW w:w="393" w:type="dxa"/>
            <w:vMerge w:val="continue"/>
            <w:tcBorders>
              <w:tl2br w:val="nil"/>
              <w:tr2bl w:val="nil"/>
            </w:tcBorders>
            <w:noWrap w:val="0"/>
            <w:vAlign w:val="center"/>
          </w:tcPr>
          <w:p>
            <w:pPr>
              <w:keepNext w:val="0"/>
              <w:keepLines w:val="0"/>
              <w:pageBreakBefore w:val="0"/>
              <w:tabs>
                <w:tab w:val="left" w:pos="700"/>
              </w:tabs>
              <w:kinsoku/>
              <w:wordWrap/>
              <w:overflowPunct/>
              <w:bidi w:val="0"/>
              <w:adjustRightInd w:val="0"/>
              <w:snapToGrid w:val="0"/>
              <w:spacing w:line="240" w:lineRule="auto"/>
              <w:jc w:val="center"/>
              <w:rPr>
                <w:rFonts w:hint="eastAsia" w:ascii="宋体" w:hAnsi="宋体" w:eastAsia="宋体" w:cs="宋体"/>
                <w:color w:val="auto"/>
                <w:sz w:val="24"/>
                <w:szCs w:val="24"/>
                <w:highlight w:val="none"/>
              </w:rPr>
            </w:pPr>
          </w:p>
        </w:tc>
        <w:tc>
          <w:tcPr>
            <w:tcW w:w="1557" w:type="dxa"/>
            <w:tcBorders>
              <w:tl2br w:val="nil"/>
              <w:tr2bl w:val="nil"/>
            </w:tcBorders>
            <w:noWrap w:val="0"/>
            <w:vAlign w:val="center"/>
          </w:tcPr>
          <w:p>
            <w:pPr>
              <w:keepNext w:val="0"/>
              <w:keepLines w:val="0"/>
              <w:pageBreakBefore w:val="0"/>
              <w:tabs>
                <w:tab w:val="left" w:pos="700"/>
              </w:tabs>
              <w:kinsoku/>
              <w:wordWrap/>
              <w:overflowPunct/>
              <w:bidi w:val="0"/>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c>
          <w:tcPr>
            <w:tcW w:w="6148" w:type="dxa"/>
            <w:tcBorders>
              <w:tl2br w:val="nil"/>
              <w:tr2bl w:val="nil"/>
            </w:tcBorders>
            <w:noWrap w:val="0"/>
            <w:vAlign w:val="center"/>
          </w:tcPr>
          <w:p>
            <w:pPr>
              <w:keepNext w:val="0"/>
              <w:keepLines w:val="0"/>
              <w:pageBreakBefore w:val="0"/>
              <w:tabs>
                <w:tab w:val="left" w:pos="700"/>
              </w:tabs>
              <w:kinsoku/>
              <w:wordWrap/>
              <w:overflowPunct/>
              <w:bidi w:val="0"/>
              <w:adjustRightInd w:val="0"/>
              <w:snapToGrid w:val="0"/>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陈思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30" w:type="dxa"/>
            <w:vMerge w:val="continue"/>
            <w:tcBorders>
              <w:tl2br w:val="nil"/>
              <w:tr2bl w:val="nil"/>
            </w:tcBorders>
            <w:noWrap w:val="0"/>
            <w:vAlign w:val="center"/>
          </w:tcPr>
          <w:p>
            <w:pPr>
              <w:keepNext w:val="0"/>
              <w:keepLines w:val="0"/>
              <w:pageBreakBefore w:val="0"/>
              <w:widowControl/>
              <w:kinsoku/>
              <w:wordWrap/>
              <w:overflowPunct/>
              <w:bidi w:val="0"/>
              <w:adjustRightInd w:val="0"/>
              <w:snapToGrid w:val="0"/>
              <w:spacing w:line="240" w:lineRule="auto"/>
              <w:rPr>
                <w:rFonts w:hint="eastAsia" w:ascii="宋体" w:hAnsi="宋体" w:eastAsia="宋体" w:cs="宋体"/>
                <w:color w:val="auto"/>
                <w:sz w:val="24"/>
                <w:szCs w:val="24"/>
                <w:highlight w:val="none"/>
              </w:rPr>
            </w:pPr>
          </w:p>
        </w:tc>
        <w:tc>
          <w:tcPr>
            <w:tcW w:w="393" w:type="dxa"/>
            <w:vMerge w:val="continue"/>
            <w:tcBorders>
              <w:tl2br w:val="nil"/>
              <w:tr2bl w:val="nil"/>
            </w:tcBorders>
            <w:noWrap w:val="0"/>
            <w:vAlign w:val="center"/>
          </w:tcPr>
          <w:p>
            <w:pPr>
              <w:keepNext w:val="0"/>
              <w:keepLines w:val="0"/>
              <w:pageBreakBefore w:val="0"/>
              <w:tabs>
                <w:tab w:val="left" w:pos="700"/>
              </w:tabs>
              <w:kinsoku/>
              <w:wordWrap/>
              <w:overflowPunct/>
              <w:bidi w:val="0"/>
              <w:adjustRightInd w:val="0"/>
              <w:snapToGrid w:val="0"/>
              <w:spacing w:line="240" w:lineRule="auto"/>
              <w:jc w:val="center"/>
              <w:rPr>
                <w:rFonts w:hint="eastAsia" w:ascii="宋体" w:hAnsi="宋体" w:eastAsia="宋体" w:cs="宋体"/>
                <w:color w:val="auto"/>
                <w:sz w:val="24"/>
                <w:szCs w:val="24"/>
                <w:highlight w:val="none"/>
              </w:rPr>
            </w:pPr>
          </w:p>
        </w:tc>
        <w:tc>
          <w:tcPr>
            <w:tcW w:w="1557" w:type="dxa"/>
            <w:tcBorders>
              <w:tl2br w:val="nil"/>
              <w:tr2bl w:val="nil"/>
            </w:tcBorders>
            <w:noWrap w:val="0"/>
            <w:vAlign w:val="center"/>
          </w:tcPr>
          <w:p>
            <w:pPr>
              <w:keepNext w:val="0"/>
              <w:keepLines w:val="0"/>
              <w:pageBreakBefore w:val="0"/>
              <w:tabs>
                <w:tab w:val="left" w:pos="700"/>
              </w:tabs>
              <w:kinsoku/>
              <w:wordWrap/>
              <w:overflowPunct/>
              <w:bidi w:val="0"/>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6148" w:type="dxa"/>
            <w:tcBorders>
              <w:tl2br w:val="nil"/>
              <w:tr2bl w:val="nil"/>
            </w:tcBorders>
            <w:noWrap w:val="0"/>
            <w:vAlign w:val="center"/>
          </w:tcPr>
          <w:p>
            <w:pPr>
              <w:keepNext w:val="0"/>
              <w:keepLines w:val="0"/>
              <w:pageBreakBefore w:val="0"/>
              <w:tabs>
                <w:tab w:val="left" w:pos="700"/>
              </w:tabs>
              <w:kinsoku/>
              <w:wordWrap/>
              <w:overflowPunct/>
              <w:bidi w:val="0"/>
              <w:adjustRightInd w:val="0"/>
              <w:snapToGrid w:val="0"/>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0719-8110328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630" w:type="dxa"/>
            <w:vMerge w:val="continue"/>
            <w:tcBorders>
              <w:tl2br w:val="nil"/>
              <w:tr2bl w:val="nil"/>
            </w:tcBorders>
            <w:noWrap w:val="0"/>
            <w:vAlign w:val="center"/>
          </w:tcPr>
          <w:p>
            <w:pPr>
              <w:keepNext w:val="0"/>
              <w:keepLines w:val="0"/>
              <w:pageBreakBefore w:val="0"/>
              <w:widowControl/>
              <w:kinsoku/>
              <w:wordWrap/>
              <w:overflowPunct/>
              <w:bidi w:val="0"/>
              <w:adjustRightInd w:val="0"/>
              <w:snapToGrid w:val="0"/>
              <w:spacing w:line="240" w:lineRule="auto"/>
              <w:rPr>
                <w:rFonts w:hint="eastAsia" w:ascii="宋体" w:hAnsi="宋体" w:eastAsia="宋体" w:cs="宋体"/>
                <w:color w:val="auto"/>
                <w:sz w:val="24"/>
                <w:szCs w:val="24"/>
                <w:highlight w:val="none"/>
              </w:rPr>
            </w:pPr>
          </w:p>
        </w:tc>
        <w:tc>
          <w:tcPr>
            <w:tcW w:w="393" w:type="dxa"/>
            <w:vMerge w:val="continue"/>
            <w:tcBorders>
              <w:tl2br w:val="nil"/>
              <w:tr2bl w:val="nil"/>
            </w:tcBorders>
            <w:noWrap w:val="0"/>
            <w:vAlign w:val="center"/>
          </w:tcPr>
          <w:p>
            <w:pPr>
              <w:keepNext w:val="0"/>
              <w:keepLines w:val="0"/>
              <w:pageBreakBefore w:val="0"/>
              <w:tabs>
                <w:tab w:val="left" w:pos="700"/>
              </w:tabs>
              <w:kinsoku/>
              <w:wordWrap/>
              <w:overflowPunct/>
              <w:bidi w:val="0"/>
              <w:adjustRightInd w:val="0"/>
              <w:snapToGrid w:val="0"/>
              <w:spacing w:line="240" w:lineRule="auto"/>
              <w:jc w:val="center"/>
              <w:rPr>
                <w:rFonts w:hint="eastAsia" w:ascii="宋体" w:hAnsi="宋体" w:eastAsia="宋体" w:cs="宋体"/>
                <w:color w:val="auto"/>
                <w:sz w:val="24"/>
                <w:szCs w:val="24"/>
                <w:highlight w:val="none"/>
              </w:rPr>
            </w:pPr>
          </w:p>
        </w:tc>
        <w:tc>
          <w:tcPr>
            <w:tcW w:w="1557" w:type="dxa"/>
            <w:tcBorders>
              <w:tl2br w:val="nil"/>
              <w:tr2bl w:val="nil"/>
            </w:tcBorders>
            <w:noWrap w:val="0"/>
            <w:vAlign w:val="center"/>
          </w:tcPr>
          <w:p>
            <w:pPr>
              <w:keepNext w:val="0"/>
              <w:keepLines w:val="0"/>
              <w:pageBreakBefore w:val="0"/>
              <w:tabs>
                <w:tab w:val="left" w:pos="700"/>
              </w:tabs>
              <w:kinsoku/>
              <w:wordWrap/>
              <w:overflowPunct/>
              <w:bidi w:val="0"/>
              <w:adjustRightInd w:val="0"/>
              <w:snapToGrid w:val="0"/>
              <w:spacing w:line="24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0000FF"/>
                <w:sz w:val="24"/>
                <w:szCs w:val="24"/>
                <w:highlight w:val="none"/>
              </w:rPr>
              <w:t>甲方</w:t>
            </w:r>
            <w:r>
              <w:rPr>
                <w:rFonts w:hint="eastAsia" w:ascii="宋体" w:hAnsi="宋体" w:eastAsia="宋体" w:cs="宋体"/>
                <w:color w:val="0000FF"/>
                <w:sz w:val="24"/>
                <w:szCs w:val="24"/>
                <w:highlight w:val="none"/>
                <w:lang w:eastAsia="zh-CN"/>
              </w:rPr>
              <w:t>需求部门</w:t>
            </w:r>
          </w:p>
        </w:tc>
        <w:tc>
          <w:tcPr>
            <w:tcW w:w="6148" w:type="dxa"/>
            <w:tcBorders>
              <w:tl2br w:val="nil"/>
              <w:tr2bl w:val="nil"/>
            </w:tcBorders>
            <w:noWrap w:val="0"/>
            <w:vAlign w:val="center"/>
          </w:tcPr>
          <w:p>
            <w:pPr>
              <w:keepNext w:val="0"/>
              <w:keepLines w:val="0"/>
              <w:pageBreakBefore w:val="0"/>
              <w:tabs>
                <w:tab w:val="left" w:pos="700"/>
              </w:tabs>
              <w:kinsoku/>
              <w:wordWrap/>
              <w:overflowPunct/>
              <w:bidi w:val="0"/>
              <w:adjustRightInd w:val="0"/>
              <w:snapToGrid w:val="0"/>
              <w:spacing w:line="240" w:lineRule="auto"/>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30" w:type="dxa"/>
            <w:vMerge w:val="continue"/>
            <w:tcBorders>
              <w:tl2br w:val="nil"/>
              <w:tr2bl w:val="nil"/>
            </w:tcBorders>
            <w:noWrap w:val="0"/>
            <w:vAlign w:val="center"/>
          </w:tcPr>
          <w:p>
            <w:pPr>
              <w:keepNext w:val="0"/>
              <w:keepLines w:val="0"/>
              <w:pageBreakBefore w:val="0"/>
              <w:widowControl/>
              <w:kinsoku/>
              <w:wordWrap/>
              <w:overflowPunct/>
              <w:bidi w:val="0"/>
              <w:adjustRightInd w:val="0"/>
              <w:snapToGrid w:val="0"/>
              <w:spacing w:line="240" w:lineRule="auto"/>
              <w:rPr>
                <w:rFonts w:hint="eastAsia" w:ascii="宋体" w:hAnsi="宋体" w:eastAsia="宋体" w:cs="宋体"/>
                <w:color w:val="auto"/>
                <w:sz w:val="24"/>
                <w:szCs w:val="24"/>
                <w:highlight w:val="none"/>
              </w:rPr>
            </w:pPr>
          </w:p>
        </w:tc>
        <w:tc>
          <w:tcPr>
            <w:tcW w:w="393" w:type="dxa"/>
            <w:vMerge w:val="continue"/>
            <w:tcBorders>
              <w:tl2br w:val="nil"/>
              <w:tr2bl w:val="nil"/>
            </w:tcBorders>
            <w:noWrap w:val="0"/>
            <w:vAlign w:val="center"/>
          </w:tcPr>
          <w:p>
            <w:pPr>
              <w:keepNext w:val="0"/>
              <w:keepLines w:val="0"/>
              <w:pageBreakBefore w:val="0"/>
              <w:tabs>
                <w:tab w:val="left" w:pos="700"/>
              </w:tabs>
              <w:kinsoku/>
              <w:wordWrap/>
              <w:overflowPunct/>
              <w:bidi w:val="0"/>
              <w:adjustRightInd w:val="0"/>
              <w:snapToGrid w:val="0"/>
              <w:spacing w:line="240" w:lineRule="auto"/>
              <w:jc w:val="center"/>
              <w:rPr>
                <w:rFonts w:hint="eastAsia" w:ascii="宋体" w:hAnsi="宋体" w:eastAsia="宋体" w:cs="宋体"/>
                <w:color w:val="auto"/>
                <w:sz w:val="24"/>
                <w:szCs w:val="24"/>
                <w:highlight w:val="none"/>
              </w:rPr>
            </w:pPr>
          </w:p>
        </w:tc>
        <w:tc>
          <w:tcPr>
            <w:tcW w:w="1557" w:type="dxa"/>
            <w:tcBorders>
              <w:tl2br w:val="nil"/>
              <w:tr2bl w:val="nil"/>
            </w:tcBorders>
            <w:noWrap w:val="0"/>
            <w:vAlign w:val="center"/>
          </w:tcPr>
          <w:p>
            <w:pPr>
              <w:keepNext w:val="0"/>
              <w:keepLines w:val="0"/>
              <w:pageBreakBefore w:val="0"/>
              <w:tabs>
                <w:tab w:val="left" w:pos="700"/>
              </w:tabs>
              <w:kinsoku/>
              <w:wordWrap/>
              <w:overflowPunct/>
              <w:bidi w:val="0"/>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c>
          <w:tcPr>
            <w:tcW w:w="6148" w:type="dxa"/>
            <w:tcBorders>
              <w:tl2br w:val="nil"/>
              <w:tr2bl w:val="nil"/>
            </w:tcBorders>
            <w:noWrap w:val="0"/>
            <w:vAlign w:val="center"/>
          </w:tcPr>
          <w:p>
            <w:pPr>
              <w:keepNext w:val="0"/>
              <w:keepLines w:val="0"/>
              <w:pageBreakBefore w:val="0"/>
              <w:tabs>
                <w:tab w:val="left" w:pos="700"/>
              </w:tabs>
              <w:kinsoku/>
              <w:wordWrap/>
              <w:overflowPunct/>
              <w:bidi w:val="0"/>
              <w:adjustRightInd w:val="0"/>
              <w:snapToGrid w:val="0"/>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赵冠均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30" w:type="dxa"/>
            <w:vMerge w:val="continue"/>
            <w:tcBorders>
              <w:tl2br w:val="nil"/>
              <w:tr2bl w:val="nil"/>
            </w:tcBorders>
            <w:noWrap w:val="0"/>
            <w:vAlign w:val="center"/>
          </w:tcPr>
          <w:p>
            <w:pPr>
              <w:keepNext w:val="0"/>
              <w:keepLines w:val="0"/>
              <w:pageBreakBefore w:val="0"/>
              <w:widowControl/>
              <w:kinsoku/>
              <w:wordWrap/>
              <w:overflowPunct/>
              <w:bidi w:val="0"/>
              <w:adjustRightInd w:val="0"/>
              <w:snapToGrid w:val="0"/>
              <w:spacing w:line="240" w:lineRule="auto"/>
              <w:rPr>
                <w:rFonts w:hint="eastAsia" w:ascii="宋体" w:hAnsi="宋体" w:eastAsia="宋体" w:cs="宋体"/>
                <w:color w:val="auto"/>
                <w:sz w:val="24"/>
                <w:szCs w:val="24"/>
                <w:highlight w:val="none"/>
              </w:rPr>
            </w:pPr>
          </w:p>
        </w:tc>
        <w:tc>
          <w:tcPr>
            <w:tcW w:w="393" w:type="dxa"/>
            <w:vMerge w:val="continue"/>
            <w:tcBorders>
              <w:tl2br w:val="nil"/>
              <w:tr2bl w:val="nil"/>
            </w:tcBorders>
            <w:noWrap w:val="0"/>
            <w:vAlign w:val="center"/>
          </w:tcPr>
          <w:p>
            <w:pPr>
              <w:keepNext w:val="0"/>
              <w:keepLines w:val="0"/>
              <w:pageBreakBefore w:val="0"/>
              <w:tabs>
                <w:tab w:val="left" w:pos="700"/>
              </w:tabs>
              <w:kinsoku/>
              <w:wordWrap/>
              <w:overflowPunct/>
              <w:bidi w:val="0"/>
              <w:adjustRightInd w:val="0"/>
              <w:snapToGrid w:val="0"/>
              <w:spacing w:line="240" w:lineRule="auto"/>
              <w:jc w:val="center"/>
              <w:rPr>
                <w:rFonts w:hint="eastAsia" w:ascii="宋体" w:hAnsi="宋体" w:eastAsia="宋体" w:cs="宋体"/>
                <w:color w:val="auto"/>
                <w:sz w:val="24"/>
                <w:szCs w:val="24"/>
                <w:highlight w:val="none"/>
              </w:rPr>
            </w:pPr>
          </w:p>
        </w:tc>
        <w:tc>
          <w:tcPr>
            <w:tcW w:w="1557" w:type="dxa"/>
            <w:tcBorders>
              <w:tl2br w:val="nil"/>
              <w:tr2bl w:val="nil"/>
            </w:tcBorders>
            <w:noWrap w:val="0"/>
            <w:vAlign w:val="center"/>
          </w:tcPr>
          <w:p>
            <w:pPr>
              <w:keepNext w:val="0"/>
              <w:keepLines w:val="0"/>
              <w:pageBreakBefore w:val="0"/>
              <w:tabs>
                <w:tab w:val="left" w:pos="700"/>
              </w:tabs>
              <w:kinsoku/>
              <w:wordWrap/>
              <w:overflowPunct/>
              <w:bidi w:val="0"/>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6148" w:type="dxa"/>
            <w:tcBorders>
              <w:tl2br w:val="nil"/>
              <w:tr2bl w:val="nil"/>
            </w:tcBorders>
            <w:noWrap w:val="0"/>
            <w:vAlign w:val="center"/>
          </w:tcPr>
          <w:p>
            <w:pPr>
              <w:keepNext w:val="0"/>
              <w:keepLines w:val="0"/>
              <w:pageBreakBefore w:val="0"/>
              <w:tabs>
                <w:tab w:val="left" w:pos="700"/>
              </w:tabs>
              <w:kinsoku/>
              <w:wordWrap/>
              <w:overflowPunct/>
              <w:bidi w:val="0"/>
              <w:adjustRightInd w:val="0"/>
              <w:snapToGrid w:val="0"/>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0719-8110400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30" w:type="dxa"/>
            <w:vMerge w:val="restart"/>
            <w:tcBorders>
              <w:tl2br w:val="nil"/>
              <w:tr2bl w:val="nil"/>
            </w:tcBorders>
            <w:noWrap w:val="0"/>
            <w:vAlign w:val="center"/>
          </w:tcPr>
          <w:p>
            <w:pPr>
              <w:keepNext w:val="0"/>
              <w:keepLines w:val="0"/>
              <w:pageBreakBefore w:val="0"/>
              <w:tabs>
                <w:tab w:val="left" w:pos="700"/>
              </w:tabs>
              <w:kinsoku/>
              <w:wordWrap/>
              <w:overflowPunct/>
              <w:bidi w:val="0"/>
              <w:adjustRightInd w:val="0"/>
              <w:snapToGrid w:val="0"/>
              <w:spacing w:line="24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p>
        </w:tc>
        <w:tc>
          <w:tcPr>
            <w:tcW w:w="1950" w:type="dxa"/>
            <w:gridSpan w:val="2"/>
            <w:tcBorders>
              <w:tl2br w:val="nil"/>
              <w:tr2bl w:val="nil"/>
            </w:tcBorders>
            <w:noWrap w:val="0"/>
            <w:vAlign w:val="center"/>
          </w:tcPr>
          <w:p>
            <w:pPr>
              <w:keepNext w:val="0"/>
              <w:keepLines w:val="0"/>
              <w:pageBreakBefore w:val="0"/>
              <w:tabs>
                <w:tab w:val="left" w:pos="700"/>
              </w:tabs>
              <w:kinsoku/>
              <w:wordWrap/>
              <w:overflowPunct/>
              <w:bidi w:val="0"/>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乙方名称</w:t>
            </w:r>
          </w:p>
        </w:tc>
        <w:tc>
          <w:tcPr>
            <w:tcW w:w="6148" w:type="dxa"/>
            <w:tcBorders>
              <w:tl2br w:val="nil"/>
              <w:tr2bl w:val="nil"/>
            </w:tcBorders>
            <w:noWrap w:val="0"/>
            <w:vAlign w:val="center"/>
          </w:tcPr>
          <w:p>
            <w:pPr>
              <w:keepNext w:val="0"/>
              <w:keepLines w:val="0"/>
              <w:pageBreakBefore w:val="0"/>
              <w:tabs>
                <w:tab w:val="left" w:pos="700"/>
              </w:tabs>
              <w:kinsoku/>
              <w:wordWrap/>
              <w:overflowPunct/>
              <w:bidi w:val="0"/>
              <w:adjustRightInd w:val="0"/>
              <w:snapToGrid w:val="0"/>
              <w:spacing w:line="24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630" w:type="dxa"/>
            <w:vMerge w:val="continue"/>
            <w:tcBorders>
              <w:tl2br w:val="nil"/>
              <w:tr2bl w:val="nil"/>
            </w:tcBorders>
            <w:noWrap w:val="0"/>
            <w:vAlign w:val="center"/>
          </w:tcPr>
          <w:p>
            <w:pPr>
              <w:keepNext w:val="0"/>
              <w:keepLines w:val="0"/>
              <w:pageBreakBefore w:val="0"/>
              <w:widowControl/>
              <w:kinsoku/>
              <w:wordWrap/>
              <w:overflowPunct/>
              <w:bidi w:val="0"/>
              <w:adjustRightInd w:val="0"/>
              <w:snapToGrid w:val="0"/>
              <w:spacing w:line="240" w:lineRule="auto"/>
              <w:rPr>
                <w:rFonts w:hint="eastAsia" w:ascii="宋体" w:hAnsi="宋体" w:eastAsia="宋体" w:cs="宋体"/>
                <w:color w:val="auto"/>
                <w:sz w:val="24"/>
                <w:szCs w:val="24"/>
                <w:highlight w:val="none"/>
              </w:rPr>
            </w:pPr>
          </w:p>
        </w:tc>
        <w:tc>
          <w:tcPr>
            <w:tcW w:w="1950" w:type="dxa"/>
            <w:gridSpan w:val="2"/>
            <w:tcBorders>
              <w:tl2br w:val="nil"/>
              <w:tr2bl w:val="nil"/>
            </w:tcBorders>
            <w:noWrap w:val="0"/>
            <w:vAlign w:val="center"/>
          </w:tcPr>
          <w:p>
            <w:pPr>
              <w:keepNext w:val="0"/>
              <w:keepLines w:val="0"/>
              <w:pageBreakBefore w:val="0"/>
              <w:tabs>
                <w:tab w:val="left" w:pos="700"/>
              </w:tabs>
              <w:kinsoku/>
              <w:wordWrap/>
              <w:overflowPunct/>
              <w:bidi w:val="0"/>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乙方企业性质</w:t>
            </w:r>
          </w:p>
        </w:tc>
        <w:tc>
          <w:tcPr>
            <w:tcW w:w="6148" w:type="dxa"/>
            <w:tcBorders>
              <w:tl2br w:val="nil"/>
              <w:tr2bl w:val="nil"/>
            </w:tcBorders>
            <w:noWrap w:val="0"/>
            <w:vAlign w:val="center"/>
          </w:tcPr>
          <w:p>
            <w:pPr>
              <w:keepNext w:val="0"/>
              <w:keepLines w:val="0"/>
              <w:pageBreakBefore w:val="0"/>
              <w:tabs>
                <w:tab w:val="left" w:pos="700"/>
              </w:tabs>
              <w:kinsoku/>
              <w:wordWrap/>
              <w:overflowPunct/>
              <w:bidi w:val="0"/>
              <w:adjustRightInd w:val="0"/>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 xml:space="preserve"> 中型企业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 xml:space="preserve"> 小型企业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 xml:space="preserve"> 微型企业    </w:t>
            </w:r>
          </w:p>
          <w:p>
            <w:pPr>
              <w:keepNext w:val="0"/>
              <w:keepLines w:val="0"/>
              <w:pageBreakBefore w:val="0"/>
              <w:tabs>
                <w:tab w:val="left" w:pos="700"/>
              </w:tabs>
              <w:kinsoku/>
              <w:wordWrap/>
              <w:overflowPunct/>
              <w:bidi w:val="0"/>
              <w:adjustRightInd w:val="0"/>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 xml:space="preserve"> 监狱企业</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 xml:space="preserve"> 残疾人福利性单位    </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30" w:type="dxa"/>
            <w:vMerge w:val="continue"/>
            <w:tcBorders>
              <w:tl2br w:val="nil"/>
              <w:tr2bl w:val="nil"/>
            </w:tcBorders>
            <w:noWrap w:val="0"/>
            <w:vAlign w:val="center"/>
          </w:tcPr>
          <w:p>
            <w:pPr>
              <w:keepNext w:val="0"/>
              <w:keepLines w:val="0"/>
              <w:pageBreakBefore w:val="0"/>
              <w:widowControl/>
              <w:kinsoku/>
              <w:wordWrap/>
              <w:overflowPunct/>
              <w:bidi w:val="0"/>
              <w:adjustRightInd w:val="0"/>
              <w:snapToGrid w:val="0"/>
              <w:spacing w:line="240" w:lineRule="auto"/>
              <w:rPr>
                <w:rFonts w:hint="eastAsia" w:ascii="宋体" w:hAnsi="宋体" w:eastAsia="宋体" w:cs="宋体"/>
                <w:color w:val="auto"/>
                <w:sz w:val="24"/>
                <w:szCs w:val="24"/>
                <w:highlight w:val="none"/>
              </w:rPr>
            </w:pPr>
          </w:p>
        </w:tc>
        <w:tc>
          <w:tcPr>
            <w:tcW w:w="1950" w:type="dxa"/>
            <w:gridSpan w:val="2"/>
            <w:tcBorders>
              <w:tl2br w:val="nil"/>
              <w:tr2bl w:val="nil"/>
            </w:tcBorders>
            <w:noWrap w:val="0"/>
            <w:vAlign w:val="center"/>
          </w:tcPr>
          <w:p>
            <w:pPr>
              <w:keepNext w:val="0"/>
              <w:keepLines w:val="0"/>
              <w:pageBreakBefore w:val="0"/>
              <w:tabs>
                <w:tab w:val="left" w:pos="700"/>
              </w:tabs>
              <w:kinsoku/>
              <w:wordWrap/>
              <w:overflowPunct/>
              <w:bidi w:val="0"/>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乙方地址</w:t>
            </w:r>
          </w:p>
        </w:tc>
        <w:tc>
          <w:tcPr>
            <w:tcW w:w="6148" w:type="dxa"/>
            <w:tcBorders>
              <w:tl2br w:val="nil"/>
              <w:tr2bl w:val="nil"/>
            </w:tcBorders>
            <w:noWrap w:val="0"/>
            <w:vAlign w:val="center"/>
          </w:tcPr>
          <w:p>
            <w:pPr>
              <w:keepNext w:val="0"/>
              <w:keepLines w:val="0"/>
              <w:pageBreakBefore w:val="0"/>
              <w:tabs>
                <w:tab w:val="left" w:pos="700"/>
              </w:tabs>
              <w:kinsoku/>
              <w:wordWrap/>
              <w:overflowPunct/>
              <w:bidi w:val="0"/>
              <w:adjustRightInd w:val="0"/>
              <w:snapToGrid w:val="0"/>
              <w:spacing w:line="240" w:lineRule="auto"/>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30" w:type="dxa"/>
            <w:vMerge w:val="continue"/>
            <w:tcBorders>
              <w:tl2br w:val="nil"/>
              <w:tr2bl w:val="nil"/>
            </w:tcBorders>
            <w:noWrap w:val="0"/>
            <w:vAlign w:val="center"/>
          </w:tcPr>
          <w:p>
            <w:pPr>
              <w:keepNext w:val="0"/>
              <w:keepLines w:val="0"/>
              <w:pageBreakBefore w:val="0"/>
              <w:widowControl/>
              <w:kinsoku/>
              <w:wordWrap/>
              <w:overflowPunct/>
              <w:bidi w:val="0"/>
              <w:adjustRightInd w:val="0"/>
              <w:snapToGrid w:val="0"/>
              <w:spacing w:line="240" w:lineRule="auto"/>
              <w:rPr>
                <w:rFonts w:hint="eastAsia" w:ascii="宋体" w:hAnsi="宋体" w:eastAsia="宋体" w:cs="宋体"/>
                <w:color w:val="auto"/>
                <w:sz w:val="24"/>
                <w:szCs w:val="24"/>
                <w:highlight w:val="none"/>
              </w:rPr>
            </w:pPr>
          </w:p>
        </w:tc>
        <w:tc>
          <w:tcPr>
            <w:tcW w:w="1950" w:type="dxa"/>
            <w:gridSpan w:val="2"/>
            <w:tcBorders>
              <w:tl2br w:val="nil"/>
              <w:tr2bl w:val="nil"/>
            </w:tcBorders>
            <w:noWrap w:val="0"/>
            <w:vAlign w:val="center"/>
          </w:tcPr>
          <w:p>
            <w:pPr>
              <w:keepNext w:val="0"/>
              <w:keepLines w:val="0"/>
              <w:pageBreakBefore w:val="0"/>
              <w:tabs>
                <w:tab w:val="left" w:pos="700"/>
              </w:tabs>
              <w:kinsoku/>
              <w:wordWrap/>
              <w:overflowPunct/>
              <w:bidi w:val="0"/>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乙方联系人</w:t>
            </w:r>
          </w:p>
        </w:tc>
        <w:tc>
          <w:tcPr>
            <w:tcW w:w="6148" w:type="dxa"/>
            <w:tcBorders>
              <w:tl2br w:val="nil"/>
              <w:tr2bl w:val="nil"/>
            </w:tcBorders>
            <w:noWrap w:val="0"/>
            <w:vAlign w:val="center"/>
          </w:tcPr>
          <w:p>
            <w:pPr>
              <w:keepNext w:val="0"/>
              <w:keepLines w:val="0"/>
              <w:pageBreakBefore w:val="0"/>
              <w:tabs>
                <w:tab w:val="left" w:pos="700"/>
              </w:tabs>
              <w:kinsoku/>
              <w:wordWrap/>
              <w:overflowPunct/>
              <w:bidi w:val="0"/>
              <w:adjustRightInd w:val="0"/>
              <w:snapToGrid w:val="0"/>
              <w:spacing w:line="240" w:lineRule="auto"/>
              <w:rPr>
                <w:rFonts w:hint="eastAsia" w:ascii="宋体" w:hAnsi="宋体" w:eastAsia="宋体" w:cs="宋体"/>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30" w:type="dxa"/>
            <w:vMerge w:val="continue"/>
            <w:tcBorders>
              <w:tl2br w:val="nil"/>
              <w:tr2bl w:val="nil"/>
            </w:tcBorders>
            <w:noWrap w:val="0"/>
            <w:vAlign w:val="center"/>
          </w:tcPr>
          <w:p>
            <w:pPr>
              <w:keepNext w:val="0"/>
              <w:keepLines w:val="0"/>
              <w:pageBreakBefore w:val="0"/>
              <w:widowControl/>
              <w:kinsoku/>
              <w:wordWrap/>
              <w:overflowPunct/>
              <w:bidi w:val="0"/>
              <w:adjustRightInd w:val="0"/>
              <w:snapToGrid w:val="0"/>
              <w:spacing w:line="240" w:lineRule="auto"/>
              <w:rPr>
                <w:rFonts w:hint="eastAsia" w:ascii="宋体" w:hAnsi="宋体" w:eastAsia="宋体" w:cs="宋体"/>
                <w:color w:val="auto"/>
                <w:sz w:val="24"/>
                <w:szCs w:val="24"/>
                <w:highlight w:val="none"/>
              </w:rPr>
            </w:pPr>
          </w:p>
        </w:tc>
        <w:tc>
          <w:tcPr>
            <w:tcW w:w="1950" w:type="dxa"/>
            <w:gridSpan w:val="2"/>
            <w:tcBorders>
              <w:tl2br w:val="nil"/>
              <w:tr2bl w:val="nil"/>
            </w:tcBorders>
            <w:noWrap w:val="0"/>
            <w:vAlign w:val="center"/>
          </w:tcPr>
          <w:p>
            <w:pPr>
              <w:keepNext w:val="0"/>
              <w:keepLines w:val="0"/>
              <w:pageBreakBefore w:val="0"/>
              <w:tabs>
                <w:tab w:val="left" w:pos="700"/>
              </w:tabs>
              <w:kinsoku/>
              <w:wordWrap/>
              <w:overflowPunct/>
              <w:bidi w:val="0"/>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6148" w:type="dxa"/>
            <w:tcBorders>
              <w:tl2br w:val="nil"/>
              <w:tr2bl w:val="nil"/>
            </w:tcBorders>
            <w:noWrap w:val="0"/>
            <w:vAlign w:val="center"/>
          </w:tcPr>
          <w:p>
            <w:pPr>
              <w:keepNext w:val="0"/>
              <w:keepLines w:val="0"/>
              <w:pageBreakBefore w:val="0"/>
              <w:tabs>
                <w:tab w:val="left" w:pos="700"/>
              </w:tabs>
              <w:kinsoku/>
              <w:wordWrap/>
              <w:overflowPunct/>
              <w:bidi w:val="0"/>
              <w:adjustRightInd w:val="0"/>
              <w:snapToGrid w:val="0"/>
              <w:spacing w:line="240" w:lineRule="auto"/>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30" w:type="dxa"/>
            <w:vMerge w:val="continue"/>
            <w:tcBorders>
              <w:tl2br w:val="nil"/>
              <w:tr2bl w:val="nil"/>
            </w:tcBorders>
            <w:noWrap w:val="0"/>
            <w:vAlign w:val="center"/>
          </w:tcPr>
          <w:p>
            <w:pPr>
              <w:keepNext w:val="0"/>
              <w:keepLines w:val="0"/>
              <w:pageBreakBefore w:val="0"/>
              <w:widowControl/>
              <w:kinsoku/>
              <w:wordWrap/>
              <w:overflowPunct/>
              <w:bidi w:val="0"/>
              <w:adjustRightInd w:val="0"/>
              <w:snapToGrid w:val="0"/>
              <w:spacing w:line="240" w:lineRule="auto"/>
              <w:rPr>
                <w:rFonts w:hint="eastAsia" w:ascii="宋体" w:hAnsi="宋体" w:eastAsia="宋体" w:cs="宋体"/>
                <w:color w:val="auto"/>
                <w:sz w:val="24"/>
                <w:szCs w:val="24"/>
                <w:highlight w:val="none"/>
              </w:rPr>
            </w:pPr>
          </w:p>
        </w:tc>
        <w:tc>
          <w:tcPr>
            <w:tcW w:w="1950" w:type="dxa"/>
            <w:gridSpan w:val="2"/>
            <w:tcBorders>
              <w:tl2br w:val="nil"/>
              <w:tr2bl w:val="nil"/>
            </w:tcBorders>
            <w:noWrap w:val="0"/>
            <w:vAlign w:val="center"/>
          </w:tcPr>
          <w:p>
            <w:pPr>
              <w:keepNext w:val="0"/>
              <w:keepLines w:val="0"/>
              <w:pageBreakBefore w:val="0"/>
              <w:tabs>
                <w:tab w:val="left" w:pos="700"/>
              </w:tabs>
              <w:kinsoku/>
              <w:wordWrap/>
              <w:overflowPunct/>
              <w:bidi w:val="0"/>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p>
        </w:tc>
        <w:tc>
          <w:tcPr>
            <w:tcW w:w="6148" w:type="dxa"/>
            <w:tcBorders>
              <w:tl2br w:val="nil"/>
              <w:tr2bl w:val="nil"/>
            </w:tcBorders>
            <w:noWrap w:val="0"/>
            <w:vAlign w:val="center"/>
          </w:tcPr>
          <w:p>
            <w:pPr>
              <w:keepNext w:val="0"/>
              <w:keepLines w:val="0"/>
              <w:pageBreakBefore w:val="0"/>
              <w:tabs>
                <w:tab w:val="left" w:pos="700"/>
              </w:tabs>
              <w:kinsoku/>
              <w:wordWrap/>
              <w:overflowPunct/>
              <w:bidi w:val="0"/>
              <w:adjustRightInd w:val="0"/>
              <w:snapToGrid w:val="0"/>
              <w:spacing w:line="24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30" w:type="dxa"/>
            <w:tcBorders>
              <w:tl2br w:val="nil"/>
              <w:tr2bl w:val="nil"/>
            </w:tcBorders>
            <w:noWrap w:val="0"/>
            <w:vAlign w:val="center"/>
          </w:tcPr>
          <w:p>
            <w:pPr>
              <w:keepNext w:val="0"/>
              <w:keepLines w:val="0"/>
              <w:pageBreakBefore w:val="0"/>
              <w:tabs>
                <w:tab w:val="left" w:pos="700"/>
              </w:tabs>
              <w:kinsoku/>
              <w:wordWrap/>
              <w:overflowPunct/>
              <w:bidi w:val="0"/>
              <w:adjustRightInd w:val="0"/>
              <w:snapToGrid w:val="0"/>
              <w:spacing w:line="24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p>
        </w:tc>
        <w:tc>
          <w:tcPr>
            <w:tcW w:w="1950" w:type="dxa"/>
            <w:gridSpan w:val="2"/>
            <w:tcBorders>
              <w:tl2br w:val="nil"/>
              <w:tr2bl w:val="nil"/>
            </w:tcBorders>
            <w:noWrap w:val="0"/>
            <w:vAlign w:val="center"/>
          </w:tcPr>
          <w:p>
            <w:pPr>
              <w:keepNext w:val="0"/>
              <w:keepLines w:val="0"/>
              <w:pageBreakBefore w:val="0"/>
              <w:tabs>
                <w:tab w:val="left" w:pos="700"/>
              </w:tabs>
              <w:kinsoku/>
              <w:wordWrap/>
              <w:overflowPunct/>
              <w:bidi w:val="0"/>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合同金额</w:t>
            </w:r>
          </w:p>
        </w:tc>
        <w:tc>
          <w:tcPr>
            <w:tcW w:w="6148" w:type="dxa"/>
            <w:tcBorders>
              <w:tl2br w:val="nil"/>
              <w:tr2bl w:val="nil"/>
            </w:tcBorders>
            <w:noWrap w:val="0"/>
            <w:vAlign w:val="center"/>
          </w:tcPr>
          <w:p>
            <w:pPr>
              <w:keepNext w:val="0"/>
              <w:keepLines w:val="0"/>
              <w:pageBreakBefore w:val="0"/>
              <w:tabs>
                <w:tab w:val="left" w:pos="700"/>
              </w:tabs>
              <w:kinsoku/>
              <w:wordWrap/>
              <w:overflowPunct/>
              <w:bidi w:val="0"/>
              <w:adjustRightInd w:val="0"/>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元</w:t>
            </w:r>
            <w:r>
              <w:rPr>
                <w:rFonts w:hint="eastAsia" w:ascii="宋体" w:hAnsi="宋体" w:eastAsia="宋体" w:cs="宋体"/>
                <w:color w:val="auto"/>
                <w:sz w:val="24"/>
                <w:szCs w:val="24"/>
                <w:highlight w:val="none"/>
              </w:rPr>
              <w:t>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630" w:type="dxa"/>
            <w:tcBorders>
              <w:tl2br w:val="nil"/>
              <w:tr2bl w:val="nil"/>
            </w:tcBorders>
            <w:noWrap w:val="0"/>
            <w:vAlign w:val="center"/>
          </w:tcPr>
          <w:p>
            <w:pPr>
              <w:keepNext w:val="0"/>
              <w:keepLines w:val="0"/>
              <w:pageBreakBefore w:val="0"/>
              <w:tabs>
                <w:tab w:val="left" w:pos="700"/>
              </w:tabs>
              <w:kinsoku/>
              <w:wordWrap/>
              <w:overflowPunct/>
              <w:bidi w:val="0"/>
              <w:adjustRightInd w:val="0"/>
              <w:snapToGrid w:val="0"/>
              <w:spacing w:line="24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w:t>
            </w:r>
          </w:p>
        </w:tc>
        <w:tc>
          <w:tcPr>
            <w:tcW w:w="1950" w:type="dxa"/>
            <w:gridSpan w:val="2"/>
            <w:tcBorders>
              <w:tl2br w:val="nil"/>
              <w:tr2bl w:val="nil"/>
            </w:tcBorders>
            <w:noWrap w:val="0"/>
            <w:vAlign w:val="center"/>
          </w:tcPr>
          <w:p>
            <w:pPr>
              <w:keepNext w:val="0"/>
              <w:keepLines w:val="0"/>
              <w:pageBreakBefore w:val="0"/>
              <w:tabs>
                <w:tab w:val="left" w:pos="700"/>
              </w:tabs>
              <w:kinsoku/>
              <w:wordWrap/>
              <w:overflowPunct/>
              <w:bidi w:val="0"/>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服务内容</w:t>
            </w:r>
          </w:p>
        </w:tc>
        <w:tc>
          <w:tcPr>
            <w:tcW w:w="6148" w:type="dxa"/>
            <w:tcBorders>
              <w:tl2br w:val="nil"/>
              <w:tr2bl w:val="nil"/>
            </w:tcBorders>
            <w:noWrap w:val="0"/>
            <w:vAlign w:val="center"/>
          </w:tcPr>
          <w:p>
            <w:pPr>
              <w:keepNext w:val="0"/>
              <w:keepLines w:val="0"/>
              <w:pageBreakBefore w:val="0"/>
              <w:tabs>
                <w:tab w:val="left" w:pos="700"/>
              </w:tabs>
              <w:kinsoku/>
              <w:wordWrap/>
              <w:overflowPunct/>
              <w:bidi w:val="0"/>
              <w:adjustRightInd w:val="0"/>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本项目在机关及派出单位5个职工食堂，食堂实行人工打餐制，每天早、中餐就餐人数各 1000人左右。工作日正常提供早、中餐及临时客餐、加班工作餐服务。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2" w:hRule="atLeast"/>
        </w:trPr>
        <w:tc>
          <w:tcPr>
            <w:tcW w:w="630" w:type="dxa"/>
            <w:tcBorders>
              <w:tl2br w:val="nil"/>
              <w:tr2bl w:val="nil"/>
            </w:tcBorders>
            <w:noWrap w:val="0"/>
            <w:vAlign w:val="center"/>
          </w:tcPr>
          <w:p>
            <w:pPr>
              <w:keepNext w:val="0"/>
              <w:keepLines w:val="0"/>
              <w:pageBreakBefore w:val="0"/>
              <w:tabs>
                <w:tab w:val="left" w:pos="700"/>
              </w:tabs>
              <w:kinsoku/>
              <w:wordWrap/>
              <w:overflowPunct/>
              <w:bidi w:val="0"/>
              <w:adjustRightInd w:val="0"/>
              <w:snapToGrid w:val="0"/>
              <w:spacing w:line="24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9</w:t>
            </w:r>
          </w:p>
        </w:tc>
        <w:tc>
          <w:tcPr>
            <w:tcW w:w="1950" w:type="dxa"/>
            <w:gridSpan w:val="2"/>
            <w:tcBorders>
              <w:tl2br w:val="nil"/>
              <w:tr2bl w:val="nil"/>
            </w:tcBorders>
            <w:noWrap w:val="0"/>
            <w:vAlign w:val="center"/>
          </w:tcPr>
          <w:p>
            <w:pPr>
              <w:keepNext w:val="0"/>
              <w:keepLines w:val="0"/>
              <w:pageBreakBefore w:val="0"/>
              <w:tabs>
                <w:tab w:val="left" w:pos="700"/>
              </w:tabs>
              <w:kinsoku/>
              <w:wordWrap/>
              <w:overflowPunct/>
              <w:bidi w:val="0"/>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合同付款</w:t>
            </w:r>
          </w:p>
        </w:tc>
        <w:tc>
          <w:tcPr>
            <w:tcW w:w="6148" w:type="dxa"/>
            <w:tcBorders>
              <w:tl2br w:val="nil"/>
              <w:tr2bl w:val="nil"/>
            </w:tcBorders>
            <w:noWrap w:val="0"/>
            <w:vAlign w:val="center"/>
          </w:tcPr>
          <w:p>
            <w:pPr>
              <w:keepNext w:val="0"/>
              <w:keepLines w:val="0"/>
              <w:pageBreakBefore w:val="0"/>
              <w:widowControl w:val="0"/>
              <w:numPr>
                <w:ilvl w:val="0"/>
                <w:numId w:val="0"/>
              </w:numPr>
              <w:tabs>
                <w:tab w:val="left" w:pos="840"/>
              </w:tabs>
              <w:kinsoku/>
              <w:wordWrap/>
              <w:overflowPunct/>
              <w:bidi w:val="0"/>
              <w:adjustRightInd w:val="0"/>
              <w:snapToGrid w:val="0"/>
              <w:spacing w:line="24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（1）付款进度：本项目以人民币付款，验收合格后，凭中标通知书、发票、合同、验收单等办理付款。</w:t>
            </w:r>
          </w:p>
          <w:p>
            <w:pPr>
              <w:keepNext w:val="0"/>
              <w:keepLines w:val="0"/>
              <w:pageBreakBefore w:val="0"/>
              <w:widowControl w:val="0"/>
              <w:numPr>
                <w:ilvl w:val="0"/>
                <w:numId w:val="0"/>
              </w:numPr>
              <w:tabs>
                <w:tab w:val="left" w:pos="840"/>
              </w:tabs>
              <w:kinsoku/>
              <w:wordWrap/>
              <w:overflowPunct/>
              <w:bidi w:val="0"/>
              <w:adjustRightInd w:val="0"/>
              <w:snapToGrid w:val="0"/>
              <w:spacing w:line="24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（2）付款方式：付款根据考核结果采用按季付款方式</w:t>
            </w:r>
            <w:r>
              <w:rPr>
                <w:rFonts w:hint="eastAsia" w:ascii="宋体" w:hAnsi="宋体" w:eastAsia="宋体" w:cs="宋体"/>
                <w:bCs/>
                <w:kern w:val="2"/>
                <w:sz w:val="24"/>
                <w:szCs w:val="24"/>
                <w:highlight w:val="none"/>
                <w:lang w:val="en-US" w:eastAsia="zh-CN" w:bidi="ar-SA"/>
              </w:rPr>
              <w:t>。</w:t>
            </w:r>
          </w:p>
          <w:p>
            <w:pPr>
              <w:keepNext w:val="0"/>
              <w:keepLines w:val="0"/>
              <w:pageBreakBefore w:val="0"/>
              <w:widowControl w:val="0"/>
              <w:numPr>
                <w:ilvl w:val="0"/>
                <w:numId w:val="0"/>
              </w:numPr>
              <w:tabs>
                <w:tab w:val="left" w:pos="840"/>
              </w:tabs>
              <w:kinsoku/>
              <w:wordWrap/>
              <w:overflowPunct/>
              <w:bidi w:val="0"/>
              <w:adjustRightInd w:val="0"/>
              <w:snapToGrid w:val="0"/>
              <w:spacing w:line="24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（3）付款时间：根据采购人的财务付款程序，按照各包付款方式支付给中标人。</w:t>
            </w:r>
          </w:p>
          <w:p>
            <w:pPr>
              <w:keepNext w:val="0"/>
              <w:keepLines w:val="0"/>
              <w:pageBreakBefore w:val="0"/>
              <w:widowControl w:val="0"/>
              <w:numPr>
                <w:ilvl w:val="0"/>
                <w:numId w:val="0"/>
              </w:numPr>
              <w:tabs>
                <w:tab w:val="left" w:pos="840"/>
              </w:tabs>
              <w:kinsoku/>
              <w:wordWrap/>
              <w:overflowPunct/>
              <w:bidi w:val="0"/>
              <w:adjustRightInd w:val="0"/>
              <w:snapToGrid w:val="0"/>
              <w:spacing w:line="24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每次办理付款时，乙方应提供发票、付款申请（格式另附）、合同或合同关键页复印件、合同约定的其他资料。涉及验收的，应同时提交甲方需求部门出具的验收意见。支付合同款项时（合同初次付款外），如属于信息化监理范围内的项目，应经实施单位、业主单位、监理单位共同签字认可；如属于需要进行中期报告的项目，应附中期报告审议意见为“通过”的文书。</w:t>
            </w:r>
          </w:p>
          <w:p>
            <w:pPr>
              <w:keepNext w:val="0"/>
              <w:keepLines w:val="0"/>
              <w:pageBreakBefore w:val="0"/>
              <w:widowControl w:val="0"/>
              <w:numPr>
                <w:ilvl w:val="0"/>
                <w:numId w:val="0"/>
              </w:numPr>
              <w:tabs>
                <w:tab w:val="left" w:pos="840"/>
              </w:tabs>
              <w:kinsoku/>
              <w:wordWrap/>
              <w:overflowPunct/>
              <w:bidi w:val="0"/>
              <w:adjustRightInd w:val="0"/>
              <w:snapToGrid w:val="0"/>
              <w:spacing w:line="24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甲方在收到发票等合同约定资料后，进行核实。满足合同约定支付条件的，自收到发票后30日内将资金以</w:t>
            </w:r>
            <w:r>
              <w:rPr>
                <w:rFonts w:hint="eastAsia" w:ascii="宋体" w:hAnsi="宋体" w:eastAsia="宋体" w:cs="宋体"/>
                <w:color w:val="auto"/>
                <w:kern w:val="2"/>
                <w:sz w:val="24"/>
                <w:szCs w:val="24"/>
                <w:highlight w:val="none"/>
                <w:u w:val="single"/>
                <w:lang w:val="en-US" w:eastAsia="zh-CN" w:bidi="ar-SA"/>
              </w:rPr>
              <w:t xml:space="preserve">      （如：</w:t>
            </w:r>
            <w:r>
              <w:rPr>
                <w:rFonts w:hint="eastAsia" w:ascii="宋体" w:hAnsi="宋体" w:eastAsia="宋体" w:cs="宋体"/>
                <w:color w:val="auto"/>
                <w:kern w:val="2"/>
                <w:sz w:val="24"/>
                <w:szCs w:val="24"/>
                <w:highlight w:val="none"/>
                <w:lang w:val="en-US" w:eastAsia="zh-CN" w:bidi="ar-SA"/>
              </w:rPr>
              <w:t>电汇）方式支付到乙方账户。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4" w:hRule="atLeast"/>
        </w:trPr>
        <w:tc>
          <w:tcPr>
            <w:tcW w:w="630" w:type="dxa"/>
            <w:tcBorders>
              <w:tl2br w:val="nil"/>
              <w:tr2bl w:val="nil"/>
            </w:tcBorders>
            <w:noWrap w:val="0"/>
            <w:vAlign w:val="center"/>
          </w:tcPr>
          <w:p>
            <w:pPr>
              <w:keepNext w:val="0"/>
              <w:keepLines w:val="0"/>
              <w:pageBreakBefore w:val="0"/>
              <w:tabs>
                <w:tab w:val="left" w:pos="700"/>
              </w:tabs>
              <w:kinsoku/>
              <w:wordWrap/>
              <w:overflowPunct/>
              <w:bidi w:val="0"/>
              <w:adjustRightInd w:val="0"/>
              <w:snapToGrid w:val="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1950" w:type="dxa"/>
            <w:gridSpan w:val="2"/>
            <w:tcBorders>
              <w:tl2br w:val="nil"/>
              <w:tr2bl w:val="nil"/>
            </w:tcBorders>
            <w:noWrap w:val="0"/>
            <w:vAlign w:val="center"/>
          </w:tcPr>
          <w:p>
            <w:pPr>
              <w:keepNext w:val="0"/>
              <w:keepLines w:val="0"/>
              <w:pageBreakBefore w:val="0"/>
              <w:tabs>
                <w:tab w:val="left" w:pos="700"/>
              </w:tabs>
              <w:kinsoku/>
              <w:wordWrap/>
              <w:overflowPunct/>
              <w:bidi w:val="0"/>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履约保证金及返还</w:t>
            </w:r>
          </w:p>
        </w:tc>
        <w:tc>
          <w:tcPr>
            <w:tcW w:w="6148" w:type="dxa"/>
            <w:tcBorders>
              <w:tl2br w:val="nil"/>
              <w:tr2bl w:val="nil"/>
            </w:tcBorders>
            <w:noWrap w:val="0"/>
            <w:vAlign w:val="center"/>
          </w:tcPr>
          <w:p>
            <w:pPr>
              <w:keepNext w:val="0"/>
              <w:keepLines w:val="0"/>
              <w:pageBreakBefore w:val="0"/>
              <w:tabs>
                <w:tab w:val="left" w:pos="700"/>
              </w:tabs>
              <w:kinsoku/>
              <w:wordWrap/>
              <w:overflowPunct/>
              <w:bidi w:val="0"/>
              <w:adjustRightInd w:val="0"/>
              <w:snapToGrid w:val="0"/>
              <w:spacing w:line="24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eastAsia="zh-CN"/>
              </w:rPr>
              <w:t>项目不要求提供履约保证金。</w:t>
            </w:r>
          </w:p>
          <w:p>
            <w:pPr>
              <w:keepNext w:val="0"/>
              <w:keepLines w:val="0"/>
              <w:pageBreakBefore w:val="0"/>
              <w:tabs>
                <w:tab w:val="left" w:pos="700"/>
              </w:tabs>
              <w:kinsoku/>
              <w:wordWrap/>
              <w:overflowPunct/>
              <w:bidi w:val="0"/>
              <w:adjustRightInd w:val="0"/>
              <w:snapToGrid w:val="0"/>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□本项目要求提供履约保证金。履约保证金为合同</w:t>
            </w:r>
            <w:r>
              <w:rPr>
                <w:rFonts w:hint="eastAsia" w:ascii="宋体" w:hAnsi="宋体" w:eastAsia="宋体" w:cs="宋体"/>
                <w:color w:val="auto"/>
                <w:sz w:val="24"/>
                <w:szCs w:val="24"/>
                <w:highlight w:val="none"/>
                <w:lang w:eastAsia="zh-CN"/>
              </w:rPr>
              <w:t>总</w:t>
            </w:r>
            <w:r>
              <w:rPr>
                <w:rFonts w:hint="eastAsia" w:ascii="宋体" w:hAnsi="宋体" w:eastAsia="宋体" w:cs="宋体"/>
                <w:color w:val="auto"/>
                <w:sz w:val="24"/>
                <w:szCs w:val="24"/>
                <w:highlight w:val="none"/>
              </w:rPr>
              <w:t>金额</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%，即人民币</w:t>
            </w:r>
            <w:r>
              <w:rPr>
                <w:rFonts w:hint="eastAsia" w:ascii="宋体" w:hAnsi="宋体" w:eastAsia="宋体" w:cs="宋体"/>
                <w:color w:val="auto"/>
                <w:sz w:val="24"/>
                <w:szCs w:val="24"/>
                <w:highlight w:val="none"/>
                <w:u w:val="single"/>
                <w:lang w:val="e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
              </w:rPr>
              <w:t xml:space="preserve"> </w:t>
            </w:r>
            <w:r>
              <w:rPr>
                <w:rFonts w:hint="eastAsia" w:ascii="宋体" w:hAnsi="宋体" w:eastAsia="宋体" w:cs="宋体"/>
                <w:color w:val="auto"/>
                <w:sz w:val="24"/>
                <w:szCs w:val="24"/>
                <w:highlight w:val="none"/>
                <w:u w:val="none"/>
                <w:lang w:val="en" w:eastAsia="zh-CN"/>
              </w:rPr>
              <w:t>元</w:t>
            </w:r>
            <w:r>
              <w:rPr>
                <w:rFonts w:hint="eastAsia" w:ascii="宋体" w:hAnsi="宋体" w:eastAsia="宋体" w:cs="宋体"/>
                <w:color w:val="auto"/>
                <w:sz w:val="24"/>
                <w:szCs w:val="24"/>
                <w:highlight w:val="none"/>
              </w:rPr>
              <w:t>整（¥</w:t>
            </w:r>
            <w:r>
              <w:rPr>
                <w:rFonts w:hint="eastAsia" w:ascii="宋体" w:hAnsi="宋体" w:eastAsia="宋体" w:cs="宋体"/>
                <w:color w:val="auto"/>
                <w:sz w:val="24"/>
                <w:szCs w:val="24"/>
                <w:highlight w:val="none"/>
                <w:u w:val="single"/>
                <w:lang w:val="e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乙方应在合同签订之日起 30 日内提交甲方。提交方式为银行电汇、金融机构或担保机构出具的保函。在合同履行期满，扣除应扣除的款项（如有）且双方无争议后，无息返还。</w:t>
            </w:r>
          </w:p>
          <w:p>
            <w:pPr>
              <w:keepNext w:val="0"/>
              <w:keepLines w:val="0"/>
              <w:pageBreakBefore w:val="0"/>
              <w:tabs>
                <w:tab w:val="left" w:pos="700"/>
              </w:tabs>
              <w:kinsoku/>
              <w:wordWrap/>
              <w:overflowPunct/>
              <w:bidi w:val="0"/>
              <w:adjustRightInd w:val="0"/>
              <w:snapToGrid w:val="0"/>
              <w:spacing w:line="24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办理返还履约保证金时，乙方应提供履约保证金返还申请（格式另附）、</w:t>
            </w:r>
            <w:r>
              <w:rPr>
                <w:rFonts w:hint="eastAsia" w:ascii="宋体" w:hAnsi="宋体" w:eastAsia="宋体" w:cs="宋体"/>
                <w:color w:val="auto"/>
                <w:sz w:val="24"/>
                <w:szCs w:val="24"/>
                <w:highlight w:val="none"/>
                <w:lang w:eastAsia="zh-CN"/>
              </w:rPr>
              <w:t>合同或</w:t>
            </w:r>
            <w:r>
              <w:rPr>
                <w:rFonts w:hint="eastAsia" w:ascii="宋体" w:hAnsi="宋体" w:eastAsia="宋体" w:cs="宋体"/>
                <w:color w:val="auto"/>
                <w:sz w:val="24"/>
                <w:szCs w:val="24"/>
                <w:highlight w:val="none"/>
              </w:rPr>
              <w:t>合同关键页复印件、合同约定的其他资料。涉及验收的，应同时提交甲方</w:t>
            </w:r>
            <w:r>
              <w:rPr>
                <w:rFonts w:hint="eastAsia" w:ascii="宋体" w:hAnsi="宋体" w:eastAsia="宋体" w:cs="宋体"/>
                <w:color w:val="auto"/>
                <w:sz w:val="24"/>
                <w:szCs w:val="24"/>
                <w:highlight w:val="none"/>
                <w:lang w:eastAsia="zh-CN"/>
              </w:rPr>
              <w:t>需求部门</w:t>
            </w:r>
            <w:r>
              <w:rPr>
                <w:rFonts w:hint="eastAsia" w:ascii="宋体" w:hAnsi="宋体" w:eastAsia="宋体" w:cs="宋体"/>
                <w:color w:val="auto"/>
                <w:sz w:val="24"/>
                <w:szCs w:val="24"/>
                <w:highlight w:val="none"/>
              </w:rPr>
              <w:t>出具的项目终验意见或</w:t>
            </w:r>
            <w:r>
              <w:rPr>
                <w:rFonts w:hint="eastAsia" w:ascii="宋体" w:hAnsi="宋体" w:eastAsia="宋体" w:cs="宋体"/>
                <w:color w:val="auto"/>
                <w:sz w:val="24"/>
                <w:szCs w:val="24"/>
                <w:highlight w:val="none"/>
                <w:lang w:eastAsia="zh-CN"/>
              </w:rPr>
              <w:t>质量保证</w:t>
            </w:r>
            <w:r>
              <w:rPr>
                <w:rFonts w:hint="eastAsia" w:ascii="宋体" w:hAnsi="宋体" w:eastAsia="宋体" w:cs="宋体"/>
                <w:color w:val="auto"/>
                <w:sz w:val="24"/>
                <w:szCs w:val="24"/>
                <w:highlight w:val="none"/>
              </w:rPr>
              <w:t>期（服务期）满验收意见。</w:t>
            </w:r>
          </w:p>
          <w:p>
            <w:pPr>
              <w:keepNext w:val="0"/>
              <w:keepLines w:val="0"/>
              <w:pageBreakBefore w:val="0"/>
              <w:tabs>
                <w:tab w:val="left" w:pos="700"/>
              </w:tabs>
              <w:kinsoku/>
              <w:wordWrap/>
              <w:overflowPunct/>
              <w:bidi w:val="0"/>
              <w:adjustRightInd w:val="0"/>
              <w:snapToGrid w:val="0"/>
              <w:spacing w:line="24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满足履约保证金返还条件的，甲方在收到返还相关信息等合同约定资料后，进行核实。对核实结果无异议的，自完成核实之日起30日内，以</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方式返还履约保证金</w:t>
            </w:r>
            <w:r>
              <w:rPr>
                <w:rFonts w:hint="eastAsia" w:ascii="宋体" w:hAnsi="宋体" w:eastAsia="宋体" w:cs="宋体"/>
                <w:color w:val="auto"/>
                <w:sz w:val="24"/>
                <w:szCs w:val="24"/>
                <w:highlight w:val="none"/>
                <w:lang w:eastAsia="zh-CN"/>
              </w:rPr>
              <w:t>或退回保函</w:t>
            </w: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7" w:hRule="atLeast"/>
        </w:trPr>
        <w:tc>
          <w:tcPr>
            <w:tcW w:w="630" w:type="dxa"/>
            <w:tcBorders>
              <w:tl2br w:val="nil"/>
              <w:tr2bl w:val="nil"/>
            </w:tcBorders>
            <w:noWrap w:val="0"/>
            <w:vAlign w:val="center"/>
          </w:tcPr>
          <w:p>
            <w:pPr>
              <w:keepNext w:val="0"/>
              <w:keepLines w:val="0"/>
              <w:pageBreakBefore w:val="0"/>
              <w:tabs>
                <w:tab w:val="left" w:pos="700"/>
              </w:tabs>
              <w:kinsoku/>
              <w:wordWrap/>
              <w:overflowPunct/>
              <w:bidi w:val="0"/>
              <w:adjustRightInd w:val="0"/>
              <w:snapToGrid w:val="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c>
          <w:tcPr>
            <w:tcW w:w="1950" w:type="dxa"/>
            <w:gridSpan w:val="2"/>
            <w:tcBorders>
              <w:tl2br w:val="nil"/>
              <w:tr2bl w:val="nil"/>
            </w:tcBorders>
            <w:noWrap w:val="0"/>
            <w:vAlign w:val="center"/>
          </w:tcPr>
          <w:p>
            <w:pPr>
              <w:keepNext w:val="0"/>
              <w:keepLines w:val="0"/>
              <w:pageBreakBefore w:val="0"/>
              <w:tabs>
                <w:tab w:val="left" w:pos="700"/>
              </w:tabs>
              <w:kinsoku/>
              <w:wordWrap/>
              <w:overflowPunct/>
              <w:bidi w:val="0"/>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合同履行期限</w:t>
            </w:r>
          </w:p>
        </w:tc>
        <w:tc>
          <w:tcPr>
            <w:tcW w:w="6148" w:type="dxa"/>
            <w:tcBorders>
              <w:tl2br w:val="nil"/>
              <w:tr2bl w:val="nil"/>
            </w:tcBorders>
            <w:noWrap w:val="0"/>
            <w:vAlign w:val="center"/>
          </w:tcPr>
          <w:p>
            <w:pPr>
              <w:keepNext w:val="0"/>
              <w:keepLines w:val="0"/>
              <w:pageBreakBefore w:val="0"/>
              <w:tabs>
                <w:tab w:val="left" w:pos="700"/>
              </w:tabs>
              <w:kinsoku/>
              <w:wordWrap/>
              <w:overflowPunct/>
              <w:bidi w:val="0"/>
              <w:adjustRightInd w:val="0"/>
              <w:snapToGrid w:val="0"/>
              <w:spacing w:line="240" w:lineRule="auto"/>
              <w:rPr>
                <w:rFonts w:hint="eastAsia" w:ascii="宋体" w:hAnsi="宋体" w:eastAsia="宋体" w:cs="宋体"/>
                <w:b w:val="0"/>
                <w:bCs w:val="0"/>
                <w:sz w:val="24"/>
                <w:szCs w:val="24"/>
                <w:highlight w:val="none"/>
                <w:lang w:val="en-US" w:eastAsia="zh-CN"/>
              </w:rPr>
            </w:pPr>
            <w:r>
              <w:rPr>
                <w:rFonts w:hint="eastAsia" w:ascii="宋体" w:hAnsi="宋体" w:eastAsia="宋体" w:cs="宋体"/>
                <w:color w:val="auto"/>
                <w:sz w:val="24"/>
                <w:szCs w:val="24"/>
                <w:highlight w:val="none"/>
              </w:rPr>
              <w:t>本采购项目服务期为一年</w:t>
            </w:r>
            <w:r>
              <w:rPr>
                <w:rFonts w:hint="eastAsia" w:ascii="宋体" w:hAnsi="宋体" w:eastAsia="宋体" w:cs="宋体"/>
                <w:b w:val="0"/>
                <w:bCs w:val="0"/>
                <w:sz w:val="24"/>
                <w:szCs w:val="24"/>
                <w:highlight w:val="none"/>
                <w:lang w:val="en-US" w:eastAsia="zh-CN"/>
              </w:rPr>
              <w:t>。</w:t>
            </w:r>
          </w:p>
          <w:p>
            <w:pPr>
              <w:keepNext w:val="0"/>
              <w:keepLines w:val="0"/>
              <w:pageBreakBefore w:val="0"/>
              <w:tabs>
                <w:tab w:val="left" w:pos="700"/>
              </w:tabs>
              <w:kinsoku/>
              <w:wordWrap/>
              <w:overflowPunct/>
              <w:bidi w:val="0"/>
              <w:adjustRightInd w:val="0"/>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kern w:val="0"/>
                <w:sz w:val="24"/>
                <w:szCs w:val="24"/>
                <w:highlight w:val="none"/>
                <w:lang w:val="en-US" w:eastAsia="zh-CN"/>
              </w:rPr>
              <w:t>服务期限内，若采购需求出现重大调整或因故取消等特殊情形时，服务终止；服务期限内，因国家税务总局十堰市税务局出现不可预见的特殊情况不能继续履行合同的特殊情形时，服务终止。当特殊情况出现导致服务要提前终止的，应提前30天书面通知对方。服务期间，</w:t>
            </w:r>
            <w:r>
              <w:rPr>
                <w:rFonts w:hint="eastAsia" w:ascii="宋体" w:hAnsi="宋体" w:eastAsia="宋体" w:cs="宋体"/>
                <w:b w:val="0"/>
                <w:bCs w:val="0"/>
                <w:iCs/>
                <w:sz w:val="24"/>
                <w:szCs w:val="24"/>
                <w:highlight w:val="none"/>
                <w:lang w:val="en-US" w:eastAsia="zh-CN"/>
              </w:rPr>
              <w:t>采购人</w:t>
            </w:r>
            <w:r>
              <w:rPr>
                <w:rFonts w:hint="eastAsia" w:ascii="宋体" w:hAnsi="宋体" w:eastAsia="宋体" w:cs="宋体"/>
                <w:kern w:val="0"/>
                <w:sz w:val="24"/>
                <w:szCs w:val="24"/>
                <w:highlight w:val="none"/>
                <w:lang w:val="en-US" w:eastAsia="zh-CN"/>
              </w:rPr>
              <w:t>有权根据公司履约情况决定履行或终止合同。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630" w:type="dxa"/>
            <w:tcBorders>
              <w:tl2br w:val="nil"/>
              <w:tr2bl w:val="nil"/>
            </w:tcBorders>
            <w:noWrap w:val="0"/>
            <w:vAlign w:val="center"/>
          </w:tcPr>
          <w:p>
            <w:pPr>
              <w:keepNext w:val="0"/>
              <w:keepLines w:val="0"/>
              <w:pageBreakBefore w:val="0"/>
              <w:tabs>
                <w:tab w:val="left" w:pos="700"/>
              </w:tabs>
              <w:kinsoku/>
              <w:wordWrap/>
              <w:overflowPunct/>
              <w:bidi w:val="0"/>
              <w:adjustRightInd w:val="0"/>
              <w:snapToGrid w:val="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p>
        </w:tc>
        <w:tc>
          <w:tcPr>
            <w:tcW w:w="1950" w:type="dxa"/>
            <w:gridSpan w:val="2"/>
            <w:tcBorders>
              <w:tl2br w:val="nil"/>
              <w:tr2bl w:val="nil"/>
            </w:tcBorders>
            <w:noWrap w:val="0"/>
            <w:vAlign w:val="center"/>
          </w:tcPr>
          <w:p>
            <w:pPr>
              <w:keepNext w:val="0"/>
              <w:keepLines w:val="0"/>
              <w:pageBreakBefore w:val="0"/>
              <w:tabs>
                <w:tab w:val="left" w:pos="700"/>
              </w:tabs>
              <w:kinsoku/>
              <w:wordWrap/>
              <w:overflowPunct/>
              <w:bidi w:val="0"/>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项目</w:t>
            </w:r>
            <w:r>
              <w:rPr>
                <w:rFonts w:hint="eastAsia" w:ascii="宋体" w:hAnsi="宋体" w:eastAsia="宋体" w:cs="宋体"/>
                <w:color w:val="auto"/>
                <w:sz w:val="24"/>
                <w:szCs w:val="24"/>
                <w:highlight w:val="none"/>
              </w:rPr>
              <w:t>质量保障期</w:t>
            </w:r>
          </w:p>
          <w:p>
            <w:pPr>
              <w:keepNext w:val="0"/>
              <w:keepLines w:val="0"/>
              <w:pageBreakBefore w:val="0"/>
              <w:tabs>
                <w:tab w:val="left" w:pos="700"/>
              </w:tabs>
              <w:kinsoku/>
              <w:wordWrap/>
              <w:overflowPunct/>
              <w:bidi w:val="0"/>
              <w:adjustRightInd w:val="0"/>
              <w:snapToGrid w:val="0"/>
              <w:spacing w:line="240" w:lineRule="auto"/>
              <w:jc w:val="center"/>
              <w:rPr>
                <w:rFonts w:hint="eastAsia" w:ascii="宋体" w:hAnsi="宋体" w:eastAsia="宋体" w:cs="宋体"/>
                <w:color w:val="auto"/>
                <w:sz w:val="24"/>
                <w:szCs w:val="24"/>
                <w:highlight w:val="none"/>
                <w:lang w:val="en" w:eastAsia="zh-CN"/>
              </w:rPr>
            </w:pPr>
            <w:r>
              <w:rPr>
                <w:rFonts w:hint="eastAsia" w:ascii="宋体" w:hAnsi="宋体" w:eastAsia="宋体" w:cs="宋体"/>
                <w:color w:val="auto"/>
                <w:sz w:val="24"/>
                <w:szCs w:val="24"/>
                <w:highlight w:val="none"/>
                <w:lang w:eastAsia="zh-CN"/>
              </w:rPr>
              <w:t>（服务期）</w:t>
            </w:r>
          </w:p>
        </w:tc>
        <w:tc>
          <w:tcPr>
            <w:tcW w:w="6148" w:type="dxa"/>
            <w:tcBorders>
              <w:tl2br w:val="nil"/>
              <w:tr2bl w:val="nil"/>
            </w:tcBorders>
            <w:noWrap w:val="0"/>
            <w:vAlign w:val="center"/>
          </w:tcPr>
          <w:p>
            <w:pPr>
              <w:keepNext w:val="0"/>
              <w:keepLines w:val="0"/>
              <w:pageBreakBefore w:val="0"/>
              <w:tabs>
                <w:tab w:val="left" w:pos="700"/>
              </w:tabs>
              <w:kinsoku/>
              <w:wordWrap/>
              <w:overflowPunct/>
              <w:bidi w:val="0"/>
              <w:adjustRightInd w:val="0"/>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自合同签订之日起至</w:t>
            </w:r>
            <w:r>
              <w:rPr>
                <w:rFonts w:hint="eastAsia" w:ascii="宋体" w:hAnsi="宋体" w:eastAsia="宋体" w:cs="宋体"/>
                <w:color w:val="auto"/>
                <w:sz w:val="24"/>
                <w:szCs w:val="24"/>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30" w:type="dxa"/>
            <w:tcBorders>
              <w:tl2br w:val="nil"/>
              <w:tr2bl w:val="nil"/>
            </w:tcBorders>
            <w:noWrap w:val="0"/>
            <w:vAlign w:val="center"/>
          </w:tcPr>
          <w:p>
            <w:pPr>
              <w:keepNext w:val="0"/>
              <w:keepLines w:val="0"/>
              <w:pageBreakBefore w:val="0"/>
              <w:tabs>
                <w:tab w:val="left" w:pos="700"/>
              </w:tabs>
              <w:kinsoku/>
              <w:wordWrap/>
              <w:overflowPunct/>
              <w:bidi w:val="0"/>
              <w:adjustRightInd w:val="0"/>
              <w:snapToGrid w:val="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p>
        </w:tc>
        <w:tc>
          <w:tcPr>
            <w:tcW w:w="1950" w:type="dxa"/>
            <w:gridSpan w:val="2"/>
            <w:tcBorders>
              <w:tl2br w:val="nil"/>
              <w:tr2bl w:val="nil"/>
            </w:tcBorders>
            <w:noWrap w:val="0"/>
            <w:vAlign w:val="center"/>
          </w:tcPr>
          <w:p>
            <w:pPr>
              <w:keepNext w:val="0"/>
              <w:keepLines w:val="0"/>
              <w:pageBreakBefore w:val="0"/>
              <w:tabs>
                <w:tab w:val="left" w:pos="700"/>
              </w:tabs>
              <w:kinsoku/>
              <w:wordWrap/>
              <w:overflowPunct/>
              <w:bidi w:val="0"/>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合同履约地点</w:t>
            </w:r>
          </w:p>
        </w:tc>
        <w:tc>
          <w:tcPr>
            <w:tcW w:w="6148" w:type="dxa"/>
            <w:tcBorders>
              <w:tl2br w:val="nil"/>
              <w:tr2bl w:val="nil"/>
            </w:tcBorders>
            <w:noWrap w:val="0"/>
            <w:vAlign w:val="center"/>
          </w:tcPr>
          <w:p>
            <w:pPr>
              <w:keepNext w:val="0"/>
              <w:keepLines w:val="0"/>
              <w:pageBreakBefore w:val="0"/>
              <w:tabs>
                <w:tab w:val="left" w:pos="700"/>
              </w:tabs>
              <w:kinsoku/>
              <w:wordWrap/>
              <w:overflowPunct/>
              <w:bidi w:val="0"/>
              <w:adjustRightInd w:val="0"/>
              <w:snapToGrid w:val="0"/>
              <w:spacing w:line="24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合同约定地点或甲方指定地点</w:t>
            </w:r>
          </w:p>
        </w:tc>
      </w:tr>
    </w:tbl>
    <w:p>
      <w:pPr>
        <w:rPr>
          <w:rFonts w:cs="宋体"/>
          <w:b/>
          <w:sz w:val="21"/>
          <w:szCs w:val="21"/>
          <w:highlight w:val="none"/>
        </w:rPr>
      </w:pPr>
      <w:r>
        <w:rPr>
          <w:rFonts w:hint="eastAsia" w:cs="宋体"/>
          <w:b/>
          <w:sz w:val="21"/>
          <w:szCs w:val="21"/>
          <w:highlight w:val="none"/>
        </w:rPr>
        <w:br w:type="page"/>
      </w:r>
    </w:p>
    <w:p>
      <w:pPr>
        <w:snapToGrid w:val="0"/>
        <w:spacing w:line="312" w:lineRule="auto"/>
        <w:jc w:val="center"/>
        <w:rPr>
          <w:rFonts w:ascii="宋体" w:hAnsi="宋体" w:eastAsia="宋体" w:cs="宋体"/>
          <w:b/>
          <w:bCs/>
          <w:sz w:val="52"/>
          <w:szCs w:val="52"/>
          <w:highlight w:val="none"/>
        </w:rPr>
      </w:pPr>
      <w:r>
        <w:rPr>
          <w:rFonts w:hint="eastAsia" w:ascii="宋体" w:hAnsi="宋体" w:eastAsia="宋体" w:cs="宋体"/>
          <w:b/>
          <w:bCs/>
          <w:sz w:val="52"/>
          <w:szCs w:val="52"/>
          <w:highlight w:val="none"/>
        </w:rPr>
        <w:t>国家税务总局十堰市税务局</w:t>
      </w:r>
    </w:p>
    <w:p>
      <w:pPr>
        <w:snapToGrid w:val="0"/>
        <w:spacing w:line="312" w:lineRule="auto"/>
        <w:jc w:val="center"/>
        <w:rPr>
          <w:rFonts w:ascii="宋体" w:hAnsi="宋体" w:eastAsia="宋体" w:cs="宋体"/>
          <w:b/>
          <w:bCs/>
          <w:sz w:val="52"/>
          <w:szCs w:val="52"/>
          <w:highlight w:val="none"/>
        </w:rPr>
      </w:pPr>
      <w:r>
        <w:rPr>
          <w:rFonts w:hint="eastAsia" w:ascii="宋体" w:hAnsi="宋体" w:eastAsia="宋体" w:cs="宋体"/>
          <w:b/>
          <w:bCs/>
          <w:sz w:val="52"/>
          <w:szCs w:val="52"/>
          <w:highlight w:val="none"/>
        </w:rPr>
        <w:t>2025年度食堂餐饮服务项目协议</w:t>
      </w:r>
    </w:p>
    <w:p>
      <w:pPr>
        <w:spacing w:line="360" w:lineRule="auto"/>
        <w:jc w:val="left"/>
        <w:rPr>
          <w:rFonts w:ascii="宋体" w:hAnsi="宋体" w:eastAsia="宋体" w:cs="宋体"/>
          <w:b/>
          <w:bCs/>
          <w:sz w:val="28"/>
          <w:szCs w:val="28"/>
          <w:highlight w:val="none"/>
        </w:rPr>
      </w:pPr>
    </w:p>
    <w:p>
      <w:pPr>
        <w:spacing w:line="360" w:lineRule="auto"/>
        <w:jc w:val="left"/>
        <w:rPr>
          <w:rFonts w:ascii="宋体" w:hAnsi="宋体" w:eastAsia="宋体" w:cs="宋体"/>
          <w:b/>
          <w:bCs/>
          <w:sz w:val="28"/>
          <w:szCs w:val="28"/>
          <w:highlight w:val="none"/>
        </w:rPr>
      </w:pPr>
    </w:p>
    <w:p>
      <w:pPr>
        <w:tabs>
          <w:tab w:val="left" w:pos="840"/>
        </w:tabs>
        <w:spacing w:line="360" w:lineRule="auto"/>
        <w:jc w:val="left"/>
        <w:rPr>
          <w:rFonts w:ascii="宋体" w:hAnsi="宋体" w:eastAsia="宋体" w:cs="宋体"/>
          <w:b/>
          <w:bCs/>
          <w:sz w:val="28"/>
          <w:szCs w:val="28"/>
          <w:highlight w:val="none"/>
        </w:rPr>
      </w:pPr>
    </w:p>
    <w:p>
      <w:pPr>
        <w:tabs>
          <w:tab w:val="left" w:pos="840"/>
        </w:tabs>
        <w:spacing w:line="360" w:lineRule="auto"/>
        <w:jc w:val="left"/>
        <w:rPr>
          <w:rFonts w:ascii="宋体" w:hAnsi="宋体" w:eastAsia="宋体" w:cs="宋体"/>
          <w:b/>
          <w:bCs/>
          <w:sz w:val="28"/>
          <w:szCs w:val="28"/>
          <w:highlight w:val="none"/>
        </w:rPr>
      </w:pPr>
    </w:p>
    <w:p>
      <w:pPr>
        <w:tabs>
          <w:tab w:val="left" w:pos="840"/>
        </w:tabs>
        <w:spacing w:line="360" w:lineRule="auto"/>
        <w:jc w:val="left"/>
        <w:rPr>
          <w:rFonts w:ascii="宋体" w:hAnsi="宋体" w:eastAsia="宋体" w:cs="宋体"/>
          <w:b/>
          <w:bCs/>
          <w:sz w:val="28"/>
          <w:szCs w:val="28"/>
          <w:highlight w:val="none"/>
        </w:rPr>
      </w:pPr>
    </w:p>
    <w:p>
      <w:pPr>
        <w:tabs>
          <w:tab w:val="left" w:pos="840"/>
        </w:tabs>
        <w:spacing w:line="360" w:lineRule="auto"/>
        <w:jc w:val="left"/>
        <w:rPr>
          <w:rFonts w:ascii="宋体" w:hAnsi="宋体" w:eastAsia="宋体" w:cs="宋体"/>
          <w:b/>
          <w:bCs/>
          <w:sz w:val="28"/>
          <w:szCs w:val="28"/>
          <w:highlight w:val="none"/>
        </w:rPr>
      </w:pPr>
    </w:p>
    <w:p>
      <w:pPr>
        <w:tabs>
          <w:tab w:val="left" w:pos="840"/>
        </w:tabs>
        <w:spacing w:line="360" w:lineRule="auto"/>
        <w:jc w:val="left"/>
        <w:rPr>
          <w:rFonts w:ascii="宋体" w:hAnsi="宋体" w:eastAsia="宋体" w:cs="宋体"/>
          <w:b/>
          <w:bCs/>
          <w:sz w:val="28"/>
          <w:szCs w:val="28"/>
          <w:highlight w:val="none"/>
        </w:rPr>
      </w:pPr>
    </w:p>
    <w:p>
      <w:pPr>
        <w:tabs>
          <w:tab w:val="left" w:pos="840"/>
        </w:tabs>
        <w:spacing w:line="360" w:lineRule="auto"/>
        <w:jc w:val="left"/>
        <w:rPr>
          <w:rFonts w:ascii="宋体" w:hAnsi="宋体" w:eastAsia="宋体" w:cs="宋体"/>
          <w:b/>
          <w:bCs/>
          <w:sz w:val="28"/>
          <w:szCs w:val="28"/>
          <w:highlight w:val="none"/>
        </w:rPr>
      </w:pPr>
    </w:p>
    <w:p>
      <w:pPr>
        <w:tabs>
          <w:tab w:val="left" w:pos="840"/>
        </w:tabs>
        <w:spacing w:line="360" w:lineRule="auto"/>
        <w:jc w:val="left"/>
        <w:rPr>
          <w:rFonts w:ascii="宋体" w:hAnsi="宋体" w:eastAsia="宋体" w:cs="宋体"/>
          <w:b/>
          <w:bCs/>
          <w:sz w:val="28"/>
          <w:szCs w:val="28"/>
          <w:highlight w:val="none"/>
        </w:rPr>
      </w:pPr>
    </w:p>
    <w:p>
      <w:pPr>
        <w:tabs>
          <w:tab w:val="left" w:pos="840"/>
        </w:tabs>
        <w:spacing w:line="720" w:lineRule="auto"/>
        <w:ind w:firstLine="2160" w:firstLineChars="600"/>
        <w:rPr>
          <w:rFonts w:ascii="宋体" w:hAnsi="宋体" w:eastAsia="宋体" w:cs="宋体"/>
          <w:sz w:val="36"/>
          <w:szCs w:val="36"/>
          <w:highlight w:val="none"/>
        </w:rPr>
      </w:pPr>
      <w:r>
        <w:rPr>
          <w:rFonts w:hint="eastAsia" w:ascii="宋体" w:hAnsi="宋体" w:eastAsia="宋体" w:cs="宋体"/>
          <w:sz w:val="36"/>
          <w:szCs w:val="36"/>
          <w:highlight w:val="none"/>
        </w:rPr>
        <w:t>甲方：</w:t>
      </w:r>
    </w:p>
    <w:p>
      <w:pPr>
        <w:tabs>
          <w:tab w:val="left" w:pos="840"/>
        </w:tabs>
        <w:spacing w:line="720" w:lineRule="auto"/>
        <w:ind w:firstLine="2160" w:firstLineChars="600"/>
        <w:rPr>
          <w:rFonts w:ascii="宋体" w:hAnsi="宋体" w:eastAsia="宋体" w:cs="宋体"/>
          <w:sz w:val="36"/>
          <w:szCs w:val="36"/>
          <w:highlight w:val="none"/>
          <w:u w:val="single"/>
        </w:rPr>
      </w:pPr>
      <w:r>
        <w:rPr>
          <w:rFonts w:hint="eastAsia" w:ascii="宋体" w:hAnsi="宋体" w:eastAsia="宋体" w:cs="宋体"/>
          <w:sz w:val="36"/>
          <w:szCs w:val="36"/>
          <w:highlight w:val="none"/>
        </w:rPr>
        <w:t>乙方：</w:t>
      </w:r>
    </w:p>
    <w:p>
      <w:pPr>
        <w:tabs>
          <w:tab w:val="left" w:pos="840"/>
        </w:tabs>
        <w:spacing w:line="360" w:lineRule="auto"/>
        <w:jc w:val="left"/>
        <w:rPr>
          <w:rFonts w:ascii="宋体" w:hAnsi="宋体" w:eastAsia="宋体" w:cs="宋体"/>
          <w:sz w:val="28"/>
          <w:szCs w:val="28"/>
          <w:highlight w:val="none"/>
        </w:rPr>
      </w:pPr>
    </w:p>
    <w:p>
      <w:pPr>
        <w:tabs>
          <w:tab w:val="left" w:pos="840"/>
        </w:tabs>
        <w:spacing w:line="360" w:lineRule="auto"/>
        <w:jc w:val="center"/>
        <w:rPr>
          <w:rFonts w:ascii="宋体" w:hAnsi="宋体" w:eastAsia="宋体" w:cs="宋体"/>
          <w:sz w:val="36"/>
          <w:szCs w:val="36"/>
          <w:highlight w:val="none"/>
        </w:rPr>
      </w:pPr>
      <w:r>
        <w:rPr>
          <w:rFonts w:hint="eastAsia" w:ascii="宋体" w:hAnsi="宋体" w:eastAsia="宋体" w:cs="宋体"/>
          <w:sz w:val="36"/>
          <w:szCs w:val="36"/>
          <w:highlight w:val="none"/>
        </w:rPr>
        <w:t>年</w:t>
      </w:r>
      <w:r>
        <w:rPr>
          <w:rFonts w:hint="eastAsia" w:ascii="宋体" w:hAnsi="宋体" w:eastAsia="宋体" w:cs="宋体"/>
          <w:sz w:val="36"/>
          <w:szCs w:val="36"/>
          <w:highlight w:val="none"/>
          <w:lang w:val="en-US" w:eastAsia="zh-CN"/>
        </w:rPr>
        <w:t xml:space="preserve"> </w:t>
      </w:r>
      <w:r>
        <w:rPr>
          <w:rFonts w:hint="eastAsia" w:ascii="宋体" w:hAnsi="宋体" w:eastAsia="宋体" w:cs="宋体"/>
          <w:sz w:val="36"/>
          <w:szCs w:val="36"/>
          <w:highlight w:val="none"/>
        </w:rPr>
        <w:t>月</w:t>
      </w:r>
      <w:r>
        <w:rPr>
          <w:rFonts w:hint="eastAsia" w:ascii="宋体" w:hAnsi="宋体" w:eastAsia="宋体" w:cs="宋体"/>
          <w:sz w:val="36"/>
          <w:szCs w:val="36"/>
          <w:highlight w:val="none"/>
          <w:lang w:val="en-US" w:eastAsia="zh-CN"/>
        </w:rPr>
        <w:t xml:space="preserve"> </w:t>
      </w:r>
      <w:r>
        <w:rPr>
          <w:rFonts w:hint="eastAsia" w:ascii="宋体" w:hAnsi="宋体" w:eastAsia="宋体" w:cs="宋体"/>
          <w:sz w:val="36"/>
          <w:szCs w:val="36"/>
          <w:highlight w:val="none"/>
        </w:rPr>
        <w:t>日</w:t>
      </w:r>
    </w:p>
    <w:p>
      <w:pPr>
        <w:spacing w:line="360" w:lineRule="auto"/>
        <w:rPr>
          <w:rFonts w:ascii="宋体" w:hAnsi="宋体" w:eastAsia="宋体" w:cs="宋体"/>
          <w:b/>
          <w:bCs/>
          <w:sz w:val="44"/>
          <w:szCs w:val="44"/>
          <w:highlight w:val="none"/>
        </w:rPr>
      </w:pPr>
      <w:r>
        <w:rPr>
          <w:rFonts w:hint="eastAsia" w:ascii="宋体" w:hAnsi="宋体" w:eastAsia="宋体" w:cs="宋体"/>
          <w:b/>
          <w:bCs/>
          <w:sz w:val="44"/>
          <w:szCs w:val="44"/>
          <w:highlight w:val="none"/>
        </w:rPr>
        <w:br w:type="page"/>
      </w:r>
    </w:p>
    <w:p>
      <w:pPr>
        <w:spacing w:line="360" w:lineRule="auto"/>
        <w:jc w:val="center"/>
        <w:rPr>
          <w:rFonts w:ascii="宋体" w:hAnsi="宋体" w:eastAsia="宋体" w:cs="宋体"/>
          <w:b/>
          <w:bCs/>
          <w:sz w:val="44"/>
          <w:szCs w:val="44"/>
          <w:highlight w:val="none"/>
        </w:rPr>
      </w:pPr>
      <w:r>
        <w:rPr>
          <w:rFonts w:hint="eastAsia" w:ascii="宋体" w:hAnsi="宋体" w:eastAsia="宋体" w:cs="宋体"/>
          <w:b/>
          <w:bCs/>
          <w:sz w:val="44"/>
          <w:szCs w:val="44"/>
          <w:highlight w:val="none"/>
        </w:rPr>
        <w:t>国家税务总局十堰市税务局</w:t>
      </w:r>
    </w:p>
    <w:p>
      <w:pPr>
        <w:spacing w:line="360" w:lineRule="auto"/>
        <w:jc w:val="center"/>
        <w:rPr>
          <w:rFonts w:ascii="宋体" w:hAnsi="宋体" w:eastAsia="宋体" w:cs="宋体"/>
          <w:b/>
          <w:bCs/>
          <w:sz w:val="44"/>
          <w:szCs w:val="44"/>
          <w:highlight w:val="none"/>
        </w:rPr>
      </w:pPr>
      <w:r>
        <w:rPr>
          <w:rFonts w:hint="eastAsia" w:ascii="宋体" w:hAnsi="宋体" w:eastAsia="宋体" w:cs="宋体"/>
          <w:b/>
          <w:bCs/>
          <w:sz w:val="44"/>
          <w:szCs w:val="44"/>
          <w:highlight w:val="none"/>
        </w:rPr>
        <w:t>2025年度食堂餐饮服务项目协议</w:t>
      </w:r>
    </w:p>
    <w:p>
      <w:pPr>
        <w:spacing w:line="500" w:lineRule="exact"/>
        <w:jc w:val="left"/>
        <w:rPr>
          <w:rFonts w:ascii="宋体" w:hAnsi="宋体" w:eastAsia="宋体" w:cs="宋体"/>
          <w:sz w:val="28"/>
          <w:szCs w:val="28"/>
          <w:highlight w:val="none"/>
          <w:u w:val="single"/>
        </w:rPr>
      </w:pPr>
      <w:r>
        <w:rPr>
          <w:rFonts w:hint="eastAsia" w:ascii="宋体" w:hAnsi="宋体" w:eastAsia="宋体" w:cs="宋体"/>
          <w:sz w:val="28"/>
          <w:szCs w:val="28"/>
          <w:highlight w:val="none"/>
        </w:rPr>
        <w:t>甲方：</w:t>
      </w:r>
    </w:p>
    <w:p>
      <w:pPr>
        <w:spacing w:line="500" w:lineRule="exact"/>
        <w:jc w:val="left"/>
        <w:rPr>
          <w:rFonts w:ascii="宋体" w:hAnsi="宋体" w:eastAsia="宋体" w:cs="宋体"/>
          <w:sz w:val="28"/>
          <w:szCs w:val="28"/>
          <w:highlight w:val="none"/>
          <w:u w:val="single"/>
        </w:rPr>
      </w:pPr>
      <w:r>
        <w:rPr>
          <w:rFonts w:hint="eastAsia" w:ascii="宋体" w:hAnsi="宋体" w:eastAsia="宋体" w:cs="宋体"/>
          <w:sz w:val="28"/>
          <w:szCs w:val="28"/>
          <w:highlight w:val="none"/>
        </w:rPr>
        <w:t>乙方：</w:t>
      </w:r>
    </w:p>
    <w:p>
      <w:pPr>
        <w:spacing w:line="500" w:lineRule="exact"/>
        <w:jc w:val="left"/>
        <w:rPr>
          <w:rFonts w:ascii="宋体" w:hAnsi="宋体" w:eastAsia="宋体" w:cs="宋体"/>
          <w:sz w:val="28"/>
          <w:szCs w:val="28"/>
          <w:highlight w:val="none"/>
          <w:u w:val="single"/>
        </w:rPr>
      </w:pPr>
    </w:p>
    <w:p>
      <w:pPr>
        <w:adjustRightInd w:val="0"/>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甲方将“国家税务</w:t>
      </w:r>
      <w:r>
        <w:rPr>
          <w:rFonts w:hint="eastAsia" w:cs="宋体"/>
          <w:highlight w:val="none"/>
          <w:lang w:eastAsia="zh-CN"/>
        </w:rPr>
        <w:t>总</w:t>
      </w:r>
      <w:r>
        <w:rPr>
          <w:rFonts w:hint="eastAsia" w:ascii="宋体" w:hAnsi="宋体" w:eastAsia="宋体" w:cs="宋体"/>
          <w:highlight w:val="none"/>
        </w:rPr>
        <w:t>局十堰市税务局食堂（朝阳中路15号）”、“国家税务</w:t>
      </w:r>
      <w:r>
        <w:rPr>
          <w:rFonts w:hint="eastAsia" w:cs="宋体"/>
          <w:highlight w:val="none"/>
          <w:lang w:eastAsia="zh-CN"/>
        </w:rPr>
        <w:t>总</w:t>
      </w:r>
      <w:r>
        <w:rPr>
          <w:rFonts w:hint="eastAsia" w:ascii="宋体" w:hAnsi="宋体" w:eastAsia="宋体" w:cs="宋体"/>
          <w:highlight w:val="none"/>
        </w:rPr>
        <w:t>局十堰市税务局第一税务分局食堂（东山路2号）”、“国家税务</w:t>
      </w:r>
      <w:r>
        <w:rPr>
          <w:rFonts w:hint="eastAsia" w:cs="宋体"/>
          <w:highlight w:val="none"/>
          <w:lang w:eastAsia="zh-CN"/>
        </w:rPr>
        <w:t>总</w:t>
      </w:r>
      <w:r>
        <w:rPr>
          <w:rFonts w:hint="eastAsia" w:ascii="宋体" w:hAnsi="宋体" w:eastAsia="宋体" w:cs="宋体"/>
          <w:highlight w:val="none"/>
        </w:rPr>
        <w:t>局十堰市税务局第二税务分局食堂（港晖巷17号）”、“国家税务</w:t>
      </w:r>
      <w:r>
        <w:rPr>
          <w:rFonts w:hint="eastAsia" w:cs="宋体"/>
          <w:highlight w:val="none"/>
          <w:lang w:eastAsia="zh-CN"/>
        </w:rPr>
        <w:t>总</w:t>
      </w:r>
      <w:r>
        <w:rPr>
          <w:rFonts w:hint="eastAsia" w:ascii="宋体" w:hAnsi="宋体" w:eastAsia="宋体" w:cs="宋体"/>
          <w:highlight w:val="none"/>
        </w:rPr>
        <w:t>局十堰市税务局</w:t>
      </w:r>
      <w:r>
        <w:rPr>
          <w:rFonts w:hint="eastAsia" w:cs="宋体"/>
          <w:highlight w:val="none"/>
          <w:lang w:eastAsia="zh-CN"/>
        </w:rPr>
        <w:t>第一稽查局</w:t>
      </w:r>
      <w:r>
        <w:rPr>
          <w:rFonts w:hint="eastAsia" w:ascii="宋体" w:hAnsi="宋体" w:eastAsia="宋体" w:cs="宋体"/>
          <w:highlight w:val="none"/>
        </w:rPr>
        <w:t>食堂（公园路38号）”、“国家税务</w:t>
      </w:r>
      <w:r>
        <w:rPr>
          <w:rFonts w:hint="eastAsia" w:cs="宋体"/>
          <w:highlight w:val="none"/>
          <w:lang w:eastAsia="zh-CN"/>
        </w:rPr>
        <w:t>总</w:t>
      </w:r>
      <w:r>
        <w:rPr>
          <w:rFonts w:hint="eastAsia" w:ascii="宋体" w:hAnsi="宋体" w:eastAsia="宋体" w:cs="宋体"/>
          <w:highlight w:val="none"/>
        </w:rPr>
        <w:t>局十堰市税务局</w:t>
      </w:r>
      <w:r>
        <w:rPr>
          <w:rFonts w:hint="eastAsia" w:cs="宋体"/>
          <w:highlight w:val="none"/>
          <w:lang w:val="en-US" w:eastAsia="zh-CN"/>
        </w:rPr>
        <w:t>第二稽查局</w:t>
      </w:r>
      <w:r>
        <w:rPr>
          <w:rFonts w:hint="eastAsia" w:ascii="宋体" w:hAnsi="宋体" w:eastAsia="宋体" w:cs="宋体"/>
          <w:highlight w:val="none"/>
        </w:rPr>
        <w:t>食堂（富康小区）”五个网点（1000人左右）机关干部职工食堂餐饮服务全权委托乙方负责管理，乙方向甲方提供食堂餐饮服务，为明确责任和义务，经双方协商达成如下协议：</w:t>
      </w:r>
    </w:p>
    <w:p>
      <w:pPr>
        <w:spacing w:line="500" w:lineRule="exact"/>
        <w:jc w:val="left"/>
        <w:rPr>
          <w:rFonts w:ascii="宋体" w:hAnsi="宋体" w:eastAsia="宋体" w:cs="宋体"/>
          <w:b/>
          <w:bCs/>
          <w:highlight w:val="none"/>
        </w:rPr>
      </w:pPr>
      <w:r>
        <w:rPr>
          <w:rFonts w:hint="eastAsia" w:ascii="宋体" w:hAnsi="宋体" w:eastAsia="宋体" w:cs="宋体"/>
          <w:b/>
          <w:bCs/>
          <w:highlight w:val="none"/>
        </w:rPr>
        <w:t>一、项目内容</w:t>
      </w:r>
    </w:p>
    <w:p>
      <w:pPr>
        <w:numPr>
          <w:ilvl w:val="0"/>
          <w:numId w:val="5"/>
        </w:numPr>
        <w:spacing w:line="500" w:lineRule="exact"/>
        <w:ind w:left="0" w:firstLine="420"/>
        <w:jc w:val="left"/>
        <w:rPr>
          <w:rFonts w:ascii="宋体" w:hAnsi="宋体" w:eastAsia="宋体" w:cs="宋体"/>
          <w:highlight w:val="none"/>
        </w:rPr>
      </w:pPr>
      <w:r>
        <w:rPr>
          <w:rFonts w:hint="eastAsia" w:ascii="宋体" w:hAnsi="宋体" w:eastAsia="宋体" w:cs="宋体"/>
          <w:highlight w:val="none"/>
        </w:rPr>
        <w:t>乙方为甲方机关干部职工、退休人员的早餐、中餐（半自助餐形式）及少量的客餐提供服务保障服务。服务时间一般为工作日，双休日及节假日需用餐，以甲方通知为准。</w:t>
      </w:r>
    </w:p>
    <w:p>
      <w:pPr>
        <w:numPr>
          <w:ilvl w:val="0"/>
          <w:numId w:val="5"/>
        </w:numPr>
        <w:spacing w:line="500" w:lineRule="exact"/>
        <w:ind w:left="0" w:firstLine="420"/>
        <w:jc w:val="left"/>
        <w:rPr>
          <w:rFonts w:ascii="宋体" w:hAnsi="宋体" w:eastAsia="宋体" w:cs="宋体"/>
          <w:highlight w:val="none"/>
        </w:rPr>
      </w:pPr>
      <w:r>
        <w:rPr>
          <w:rFonts w:hint="eastAsia" w:ascii="宋体" w:hAnsi="宋体" w:eastAsia="宋体" w:cs="宋体"/>
          <w:highlight w:val="none"/>
        </w:rPr>
        <w:t>乙方应根据季节变化向甲方推荐时令菜品，定期（每季度）推出特色菜和新菜，同时，按甲方经济目标、核算成本、均衡营养等制定周食谱。</w:t>
      </w:r>
    </w:p>
    <w:p>
      <w:pPr>
        <w:numPr>
          <w:ilvl w:val="0"/>
          <w:numId w:val="5"/>
        </w:numPr>
        <w:spacing w:line="500" w:lineRule="exact"/>
        <w:ind w:left="0" w:firstLine="420"/>
        <w:jc w:val="left"/>
        <w:rPr>
          <w:rFonts w:ascii="宋体" w:hAnsi="宋体" w:eastAsia="宋体" w:cs="宋体"/>
          <w:highlight w:val="none"/>
        </w:rPr>
      </w:pPr>
      <w:r>
        <w:rPr>
          <w:rFonts w:hint="eastAsia" w:ascii="宋体" w:hAnsi="宋体" w:eastAsia="宋体" w:cs="宋体"/>
          <w:highlight w:val="none"/>
        </w:rPr>
        <w:t>早餐不少于8个品种，中餐两荤两素一汤及主食等食品。</w:t>
      </w:r>
    </w:p>
    <w:p>
      <w:pPr>
        <w:numPr>
          <w:ilvl w:val="0"/>
          <w:numId w:val="5"/>
        </w:numPr>
        <w:spacing w:line="500" w:lineRule="exact"/>
        <w:ind w:left="0" w:firstLine="420"/>
        <w:jc w:val="left"/>
        <w:rPr>
          <w:rFonts w:ascii="宋体" w:hAnsi="宋体" w:eastAsia="宋体" w:cs="宋体"/>
          <w:highlight w:val="none"/>
        </w:rPr>
      </w:pPr>
      <w:r>
        <w:rPr>
          <w:rFonts w:hint="eastAsia" w:ascii="宋体" w:hAnsi="宋体" w:eastAsia="宋体" w:cs="宋体"/>
          <w:highlight w:val="none"/>
        </w:rPr>
        <w:t>由乙方提供食材购买清单，甲方自行采购并送至食堂，乙方验收。</w:t>
      </w:r>
    </w:p>
    <w:p>
      <w:pPr>
        <w:numPr>
          <w:ilvl w:val="0"/>
          <w:numId w:val="5"/>
        </w:numPr>
        <w:spacing w:line="500" w:lineRule="exact"/>
        <w:ind w:left="0" w:firstLine="420"/>
        <w:jc w:val="left"/>
        <w:rPr>
          <w:rFonts w:ascii="宋体" w:hAnsi="宋体" w:eastAsia="宋体" w:cs="宋体"/>
          <w:highlight w:val="none"/>
        </w:rPr>
      </w:pPr>
      <w:r>
        <w:rPr>
          <w:rFonts w:hint="eastAsia" w:ascii="宋体" w:hAnsi="宋体" w:eastAsia="宋体" w:cs="宋体"/>
          <w:highlight w:val="none"/>
        </w:rPr>
        <w:t>甲方提供厨房、餐厅等用具和用餐场所。由乙方提出厨房用品需求，甲方采购，乙方在服务期内妥善保管使用，如有遗失、损坏，乙方应负责赔偿（自然损耗、非乙方人员损坏的物品应如实向甲方报损更新），负责清洁餐具，做好卫生间、走廊及厨房、餐厅等用餐环境的卫生保洁。</w:t>
      </w:r>
    </w:p>
    <w:p>
      <w:pPr>
        <w:spacing w:line="500" w:lineRule="exact"/>
        <w:jc w:val="left"/>
        <w:rPr>
          <w:rFonts w:ascii="宋体" w:hAnsi="宋体" w:eastAsia="宋体" w:cs="宋体"/>
          <w:b/>
          <w:bCs/>
          <w:highlight w:val="none"/>
        </w:rPr>
      </w:pPr>
      <w:r>
        <w:rPr>
          <w:rFonts w:hint="eastAsia" w:ascii="宋体" w:hAnsi="宋体" w:eastAsia="宋体" w:cs="宋体"/>
          <w:b/>
          <w:bCs/>
          <w:highlight w:val="none"/>
        </w:rPr>
        <w:t>二、服务人员</w:t>
      </w:r>
    </w:p>
    <w:p>
      <w:pPr>
        <w:numPr>
          <w:ilvl w:val="0"/>
          <w:numId w:val="6"/>
        </w:numPr>
        <w:spacing w:line="500" w:lineRule="exact"/>
        <w:ind w:left="0" w:firstLine="420"/>
        <w:jc w:val="left"/>
        <w:rPr>
          <w:rFonts w:ascii="宋体" w:hAnsi="宋体" w:eastAsia="宋体" w:cs="宋体"/>
          <w:highlight w:val="none"/>
        </w:rPr>
      </w:pPr>
      <w:r>
        <w:rPr>
          <w:rFonts w:hint="eastAsia" w:ascii="宋体" w:hAnsi="宋体" w:eastAsia="宋体" w:cs="宋体"/>
          <w:highlight w:val="none"/>
        </w:rPr>
        <w:t>乙方聘用的厨师、服务人员需通过正规培训，且从业时间不低于3年，要求技术水平高、经验丰富、有责任心；所有服务人员必须身体健康，品行端正，无不良嗜好，无违法犯罪记录，均持有饮食行业健康证及医院体检报告等健康证明。服务期间必须统一着装，保持穿戴整齐，保持个人卫生，不得出现影响食品的卫生行为。</w:t>
      </w:r>
    </w:p>
    <w:p>
      <w:pPr>
        <w:numPr>
          <w:ilvl w:val="0"/>
          <w:numId w:val="6"/>
        </w:numPr>
        <w:spacing w:line="500" w:lineRule="exact"/>
        <w:ind w:left="0" w:firstLine="420"/>
        <w:jc w:val="left"/>
        <w:rPr>
          <w:rFonts w:ascii="宋体" w:hAnsi="宋体" w:eastAsia="宋体" w:cs="宋体"/>
          <w:highlight w:val="none"/>
        </w:rPr>
      </w:pPr>
      <w:r>
        <w:rPr>
          <w:rFonts w:hint="eastAsia" w:ascii="宋体" w:hAnsi="宋体" w:eastAsia="宋体" w:cs="宋体"/>
          <w:highlight w:val="none"/>
        </w:rPr>
        <w:t>乙方要合理配置人员，做好人员管理、质量监控，配合甲方管理、调度。</w:t>
      </w:r>
    </w:p>
    <w:p>
      <w:pPr>
        <w:numPr>
          <w:ilvl w:val="0"/>
          <w:numId w:val="6"/>
        </w:numPr>
        <w:spacing w:line="500" w:lineRule="exact"/>
        <w:ind w:left="0" w:firstLine="420"/>
        <w:jc w:val="left"/>
        <w:rPr>
          <w:rFonts w:ascii="宋体" w:hAnsi="宋体" w:eastAsia="宋体" w:cs="宋体"/>
          <w:highlight w:val="none"/>
        </w:rPr>
      </w:pPr>
      <w:r>
        <w:rPr>
          <w:rFonts w:hint="eastAsia" w:ascii="宋体" w:hAnsi="宋体" w:eastAsia="宋体" w:cs="宋体"/>
          <w:highlight w:val="none"/>
        </w:rPr>
        <w:t>乙方必须按照相关法律规定合法规范用工，并承担所有服务人员涉及劳动关系的所有事宜（如工伤赔偿、劳务赔偿、经济赔偿金、违法赔偿金等）。</w:t>
      </w:r>
    </w:p>
    <w:p>
      <w:pPr>
        <w:numPr>
          <w:ilvl w:val="0"/>
          <w:numId w:val="6"/>
        </w:numPr>
        <w:spacing w:line="500" w:lineRule="exact"/>
        <w:ind w:left="0" w:firstLine="420"/>
        <w:jc w:val="left"/>
        <w:rPr>
          <w:rFonts w:ascii="宋体" w:hAnsi="宋体" w:eastAsia="宋体" w:cs="宋体"/>
          <w:highlight w:val="none"/>
        </w:rPr>
      </w:pPr>
      <w:r>
        <w:rPr>
          <w:rFonts w:hint="eastAsia" w:ascii="宋体" w:hAnsi="宋体" w:eastAsia="宋体" w:cs="宋体"/>
          <w:highlight w:val="none"/>
        </w:rPr>
        <w:t>乙方要按照甲方的要求做好服务安排、人员分工、并对服务人员的服务情况进行实时监督、检查和考核管理。</w:t>
      </w:r>
    </w:p>
    <w:p>
      <w:pPr>
        <w:numPr>
          <w:ilvl w:val="0"/>
          <w:numId w:val="6"/>
        </w:numPr>
        <w:spacing w:line="500" w:lineRule="exact"/>
        <w:ind w:left="0" w:firstLine="420"/>
        <w:jc w:val="left"/>
        <w:rPr>
          <w:rFonts w:ascii="宋体" w:hAnsi="宋体" w:eastAsia="宋体" w:cs="宋体"/>
          <w:highlight w:val="none"/>
        </w:rPr>
      </w:pPr>
      <w:r>
        <w:rPr>
          <w:rFonts w:hint="eastAsia" w:ascii="宋体" w:hAnsi="宋体" w:eastAsia="宋体" w:cs="宋体"/>
          <w:highlight w:val="none"/>
        </w:rPr>
        <w:t>乙方的服务人员应遵守甲方的规章制度，同时，应建立健全各项内部管理等相关制度及各项台账。</w:t>
      </w:r>
    </w:p>
    <w:p>
      <w:pPr>
        <w:numPr>
          <w:ilvl w:val="0"/>
          <w:numId w:val="6"/>
        </w:numPr>
        <w:spacing w:line="500" w:lineRule="exact"/>
        <w:ind w:left="0" w:firstLine="420"/>
        <w:jc w:val="left"/>
        <w:rPr>
          <w:rFonts w:ascii="宋体" w:hAnsi="宋体" w:eastAsia="宋体" w:cs="宋体"/>
          <w:highlight w:val="none"/>
        </w:rPr>
      </w:pPr>
      <w:r>
        <w:rPr>
          <w:rFonts w:hint="eastAsia" w:ascii="宋体" w:hAnsi="宋体" w:eastAsia="宋体" w:cs="宋体"/>
          <w:highlight w:val="none"/>
        </w:rPr>
        <w:t>服务人员在甲方服务期间，由甲方提供工作餐、生活事宜。</w:t>
      </w:r>
    </w:p>
    <w:p>
      <w:pPr>
        <w:numPr>
          <w:ilvl w:val="0"/>
          <w:numId w:val="6"/>
        </w:numPr>
        <w:spacing w:line="500" w:lineRule="exact"/>
        <w:ind w:left="0" w:firstLine="420"/>
        <w:jc w:val="left"/>
        <w:rPr>
          <w:rFonts w:ascii="宋体" w:hAnsi="宋体" w:eastAsia="宋体" w:cs="宋体"/>
          <w:highlight w:val="none"/>
        </w:rPr>
      </w:pPr>
      <w:r>
        <w:rPr>
          <w:rFonts w:hint="eastAsia" w:ascii="宋体" w:hAnsi="宋体" w:eastAsia="宋体" w:cs="宋体"/>
          <w:highlight w:val="none"/>
        </w:rPr>
        <w:t>甲方有权了解乙方人员的基本情况，乙方应将人员身份复印件提供甲方备查。</w:t>
      </w:r>
    </w:p>
    <w:p>
      <w:pPr>
        <w:spacing w:line="500" w:lineRule="exact"/>
        <w:jc w:val="left"/>
        <w:rPr>
          <w:rFonts w:ascii="宋体" w:hAnsi="宋体" w:eastAsia="宋体" w:cs="宋体"/>
          <w:b/>
          <w:bCs/>
          <w:highlight w:val="none"/>
        </w:rPr>
      </w:pPr>
      <w:r>
        <w:rPr>
          <w:rFonts w:hint="eastAsia" w:ascii="宋体" w:hAnsi="宋体" w:eastAsia="宋体" w:cs="宋体"/>
          <w:b/>
          <w:bCs/>
          <w:highlight w:val="none"/>
        </w:rPr>
        <w:t>三、服务要求</w:t>
      </w:r>
    </w:p>
    <w:p>
      <w:pPr>
        <w:numPr>
          <w:ilvl w:val="0"/>
          <w:numId w:val="7"/>
        </w:numPr>
        <w:spacing w:line="500" w:lineRule="exact"/>
        <w:ind w:left="0" w:firstLine="420"/>
        <w:jc w:val="left"/>
        <w:rPr>
          <w:rFonts w:ascii="宋体" w:hAnsi="宋体" w:eastAsia="宋体" w:cs="宋体"/>
          <w:highlight w:val="none"/>
        </w:rPr>
      </w:pPr>
      <w:r>
        <w:rPr>
          <w:rFonts w:hint="eastAsia" w:ascii="宋体" w:hAnsi="宋体" w:eastAsia="宋体" w:cs="宋体"/>
          <w:highlight w:val="none"/>
        </w:rPr>
        <w:t>必须保证服务内容，从时间、数量和质量上达到实际要求，满足部分突发情况下的用餐要求，不得无故误饭或推迟开饭。</w:t>
      </w:r>
    </w:p>
    <w:p>
      <w:pPr>
        <w:numPr>
          <w:ilvl w:val="0"/>
          <w:numId w:val="7"/>
        </w:numPr>
        <w:spacing w:line="500" w:lineRule="exact"/>
        <w:ind w:left="0" w:firstLine="420"/>
        <w:jc w:val="left"/>
        <w:rPr>
          <w:rFonts w:ascii="宋体" w:hAnsi="宋体" w:eastAsia="宋体" w:cs="宋体"/>
          <w:highlight w:val="none"/>
        </w:rPr>
      </w:pPr>
      <w:r>
        <w:rPr>
          <w:rFonts w:hint="eastAsia" w:ascii="宋体" w:hAnsi="宋体" w:eastAsia="宋体" w:cs="宋体"/>
          <w:highlight w:val="none"/>
        </w:rPr>
        <w:t>必须保证食品安全、严格按照《中华人民共和国食品安全法》验收、清洗、加工制作食品，厨具、餐具严格实行一洗二过三消毒的规程，对食品安全中存在的隐患要及时排除并告知。</w:t>
      </w:r>
    </w:p>
    <w:p>
      <w:pPr>
        <w:numPr>
          <w:ilvl w:val="0"/>
          <w:numId w:val="7"/>
        </w:numPr>
        <w:spacing w:line="500" w:lineRule="exact"/>
        <w:ind w:left="0" w:firstLine="420"/>
        <w:jc w:val="left"/>
        <w:rPr>
          <w:rFonts w:ascii="宋体" w:hAnsi="宋体" w:eastAsia="宋体" w:cs="宋体"/>
          <w:highlight w:val="none"/>
        </w:rPr>
      </w:pPr>
      <w:r>
        <w:rPr>
          <w:rFonts w:hint="eastAsia" w:ascii="宋体" w:hAnsi="宋体" w:eastAsia="宋体" w:cs="宋体"/>
          <w:highlight w:val="none"/>
        </w:rPr>
        <w:t>有客餐时，要提前对包厢进行再次保洁，做好用餐准备。</w:t>
      </w:r>
    </w:p>
    <w:p>
      <w:pPr>
        <w:numPr>
          <w:ilvl w:val="0"/>
          <w:numId w:val="7"/>
        </w:numPr>
        <w:spacing w:line="500" w:lineRule="exact"/>
        <w:ind w:left="0" w:firstLine="420"/>
        <w:jc w:val="left"/>
        <w:rPr>
          <w:rFonts w:ascii="宋体" w:hAnsi="宋体" w:eastAsia="宋体" w:cs="宋体"/>
          <w:highlight w:val="none"/>
        </w:rPr>
      </w:pPr>
      <w:r>
        <w:rPr>
          <w:rFonts w:hint="eastAsia" w:ascii="宋体" w:hAnsi="宋体" w:eastAsia="宋体" w:cs="宋体"/>
          <w:highlight w:val="none"/>
        </w:rPr>
        <w:t>自觉接受卫生管理部门及甲方管理人员对服务的检查和监督。</w:t>
      </w:r>
    </w:p>
    <w:p>
      <w:pPr>
        <w:numPr>
          <w:ilvl w:val="0"/>
          <w:numId w:val="7"/>
        </w:numPr>
        <w:spacing w:line="500" w:lineRule="exact"/>
        <w:ind w:left="0" w:firstLine="420"/>
        <w:jc w:val="left"/>
        <w:rPr>
          <w:rFonts w:ascii="宋体" w:hAnsi="宋体" w:eastAsia="宋体" w:cs="宋体"/>
          <w:highlight w:val="none"/>
        </w:rPr>
      </w:pPr>
      <w:r>
        <w:rPr>
          <w:rFonts w:hint="eastAsia" w:ascii="宋体" w:hAnsi="宋体" w:eastAsia="宋体" w:cs="宋体"/>
          <w:highlight w:val="none"/>
        </w:rPr>
        <w:t>对甲方提出在服务中存在的问题要及时改正，提出的建议要及时采纳，认真做好食堂内部的管理。</w:t>
      </w:r>
    </w:p>
    <w:p>
      <w:pPr>
        <w:numPr>
          <w:ilvl w:val="0"/>
          <w:numId w:val="7"/>
        </w:numPr>
        <w:spacing w:line="500" w:lineRule="exact"/>
        <w:ind w:left="0" w:firstLine="420"/>
        <w:jc w:val="left"/>
        <w:rPr>
          <w:rFonts w:ascii="宋体" w:hAnsi="宋体" w:eastAsia="宋体" w:cs="宋体"/>
          <w:highlight w:val="none"/>
        </w:rPr>
      </w:pPr>
      <w:r>
        <w:rPr>
          <w:rFonts w:hint="eastAsia" w:ascii="宋体" w:hAnsi="宋体" w:eastAsia="宋体" w:cs="宋体"/>
          <w:highlight w:val="none"/>
        </w:rPr>
        <w:t>甲方不定期对乙方的服务情况进行问卷调查，满意度须达到80%以上，低于70%时乙方必须按照甲方要求进行整改。</w:t>
      </w:r>
    </w:p>
    <w:p>
      <w:pPr>
        <w:spacing w:line="500" w:lineRule="exact"/>
        <w:jc w:val="left"/>
        <w:rPr>
          <w:rFonts w:ascii="宋体" w:hAnsi="宋体" w:eastAsia="宋体" w:cs="宋体"/>
          <w:b/>
          <w:bCs/>
          <w:highlight w:val="none"/>
        </w:rPr>
      </w:pPr>
      <w:r>
        <w:rPr>
          <w:rFonts w:hint="eastAsia" w:ascii="宋体" w:hAnsi="宋体" w:eastAsia="宋体" w:cs="宋体"/>
          <w:b/>
          <w:bCs/>
          <w:highlight w:val="none"/>
        </w:rPr>
        <w:t>四、管理要求</w:t>
      </w:r>
    </w:p>
    <w:p>
      <w:pPr>
        <w:numPr>
          <w:ilvl w:val="0"/>
          <w:numId w:val="8"/>
        </w:numPr>
        <w:spacing w:line="500" w:lineRule="exact"/>
        <w:ind w:left="0" w:firstLine="420"/>
        <w:jc w:val="left"/>
        <w:rPr>
          <w:rFonts w:ascii="宋体" w:hAnsi="宋体" w:eastAsia="宋体" w:cs="宋体"/>
          <w:highlight w:val="none"/>
        </w:rPr>
      </w:pPr>
      <w:r>
        <w:rPr>
          <w:rFonts w:hint="eastAsia" w:ascii="宋体" w:hAnsi="宋体" w:eastAsia="宋体" w:cs="宋体"/>
          <w:highlight w:val="none"/>
        </w:rPr>
        <w:t>乙方应遵守餐饮行业职业规范，做好食品安全、人员、厨具等方面的管理。</w:t>
      </w:r>
    </w:p>
    <w:p>
      <w:pPr>
        <w:numPr>
          <w:ilvl w:val="0"/>
          <w:numId w:val="8"/>
        </w:numPr>
        <w:spacing w:line="500" w:lineRule="exact"/>
        <w:ind w:left="0" w:firstLine="420"/>
        <w:jc w:val="left"/>
        <w:rPr>
          <w:rFonts w:ascii="宋体" w:hAnsi="宋体" w:eastAsia="宋体" w:cs="宋体"/>
          <w:highlight w:val="none"/>
        </w:rPr>
      </w:pPr>
      <w:r>
        <w:rPr>
          <w:rFonts w:hint="eastAsia" w:ascii="宋体" w:hAnsi="宋体" w:eastAsia="宋体" w:cs="宋体"/>
          <w:highlight w:val="none"/>
        </w:rPr>
        <w:t>严禁使用食品添加剂。</w:t>
      </w:r>
    </w:p>
    <w:p>
      <w:pPr>
        <w:numPr>
          <w:ilvl w:val="0"/>
          <w:numId w:val="8"/>
        </w:numPr>
        <w:spacing w:line="500" w:lineRule="exact"/>
        <w:ind w:left="0" w:firstLine="420"/>
        <w:jc w:val="left"/>
        <w:rPr>
          <w:rFonts w:ascii="宋体" w:hAnsi="宋体" w:eastAsia="宋体" w:cs="宋体"/>
          <w:highlight w:val="none"/>
        </w:rPr>
      </w:pPr>
      <w:r>
        <w:rPr>
          <w:rFonts w:hint="eastAsia" w:ascii="宋体" w:hAnsi="宋体" w:eastAsia="宋体" w:cs="宋体"/>
          <w:highlight w:val="none"/>
        </w:rPr>
        <w:t>保证餐厅、包厢及厨房整洁、卫生，做好卫生清洁和消毒。</w:t>
      </w:r>
    </w:p>
    <w:p>
      <w:pPr>
        <w:numPr>
          <w:ilvl w:val="0"/>
          <w:numId w:val="8"/>
        </w:numPr>
        <w:spacing w:line="500" w:lineRule="exact"/>
        <w:ind w:left="0" w:firstLine="420"/>
        <w:jc w:val="left"/>
        <w:rPr>
          <w:rFonts w:ascii="宋体" w:hAnsi="宋体" w:eastAsia="宋体" w:cs="宋体"/>
          <w:highlight w:val="none"/>
        </w:rPr>
      </w:pPr>
      <w:r>
        <w:rPr>
          <w:rFonts w:hint="eastAsia" w:ascii="宋体" w:hAnsi="宋体" w:eastAsia="宋体" w:cs="宋体"/>
          <w:highlight w:val="none"/>
        </w:rPr>
        <w:t>乙方严格执行甲方制定的节能制度。</w:t>
      </w:r>
    </w:p>
    <w:p>
      <w:pPr>
        <w:numPr>
          <w:ilvl w:val="0"/>
          <w:numId w:val="8"/>
        </w:numPr>
        <w:spacing w:line="500" w:lineRule="exact"/>
        <w:ind w:left="0" w:firstLine="420"/>
        <w:jc w:val="left"/>
        <w:rPr>
          <w:rFonts w:ascii="宋体" w:hAnsi="宋体" w:eastAsia="宋体" w:cs="宋体"/>
          <w:highlight w:val="none"/>
        </w:rPr>
      </w:pPr>
      <w:r>
        <w:rPr>
          <w:rFonts w:hint="eastAsia" w:ascii="宋体" w:hAnsi="宋体" w:eastAsia="宋体" w:cs="宋体"/>
          <w:highlight w:val="none"/>
        </w:rPr>
        <w:t>下班后或设备使用完后落实关气、关水、关电、关门制度，预防意外事件发生。</w:t>
      </w:r>
    </w:p>
    <w:p>
      <w:pPr>
        <w:numPr>
          <w:ilvl w:val="0"/>
          <w:numId w:val="8"/>
        </w:numPr>
        <w:spacing w:line="500" w:lineRule="exact"/>
        <w:ind w:left="0" w:firstLine="420"/>
        <w:jc w:val="left"/>
        <w:rPr>
          <w:rFonts w:ascii="宋体" w:hAnsi="宋体" w:eastAsia="宋体" w:cs="宋体"/>
          <w:highlight w:val="none"/>
        </w:rPr>
      </w:pPr>
      <w:r>
        <w:rPr>
          <w:rFonts w:hint="eastAsia" w:ascii="宋体" w:hAnsi="宋体" w:eastAsia="宋体" w:cs="宋体"/>
          <w:highlight w:val="none"/>
        </w:rPr>
        <w:t>需要甲方协调的事项，乙方应及时通报甲方。</w:t>
      </w:r>
    </w:p>
    <w:p>
      <w:pPr>
        <w:spacing w:line="500" w:lineRule="exact"/>
        <w:jc w:val="left"/>
        <w:rPr>
          <w:rFonts w:ascii="宋体" w:hAnsi="宋体" w:eastAsia="宋体" w:cs="宋体"/>
          <w:b/>
          <w:bCs/>
          <w:highlight w:val="none"/>
        </w:rPr>
      </w:pPr>
      <w:r>
        <w:rPr>
          <w:rFonts w:hint="eastAsia" w:ascii="宋体" w:hAnsi="宋体" w:eastAsia="宋体" w:cs="宋体"/>
          <w:b/>
          <w:bCs/>
          <w:highlight w:val="none"/>
        </w:rPr>
        <w:t>五、权利和义务</w:t>
      </w:r>
    </w:p>
    <w:p>
      <w:pPr>
        <w:numPr>
          <w:ilvl w:val="0"/>
          <w:numId w:val="9"/>
        </w:numPr>
        <w:spacing w:line="500" w:lineRule="exact"/>
        <w:ind w:left="0" w:firstLine="420"/>
        <w:jc w:val="left"/>
        <w:rPr>
          <w:rFonts w:ascii="宋体" w:hAnsi="宋体" w:eastAsia="宋体" w:cs="宋体"/>
          <w:highlight w:val="none"/>
        </w:rPr>
      </w:pPr>
      <w:r>
        <w:rPr>
          <w:rFonts w:hint="eastAsia" w:ascii="宋体" w:hAnsi="宋体" w:eastAsia="宋体" w:cs="宋体"/>
          <w:highlight w:val="none"/>
        </w:rPr>
        <w:t>甲方的权利和义务</w:t>
      </w:r>
    </w:p>
    <w:p>
      <w:pPr>
        <w:numPr>
          <w:ilvl w:val="0"/>
          <w:numId w:val="10"/>
        </w:numPr>
        <w:spacing w:line="500" w:lineRule="exact"/>
        <w:ind w:firstLine="480" w:firstLineChars="200"/>
        <w:jc w:val="left"/>
        <w:rPr>
          <w:rFonts w:ascii="宋体" w:hAnsi="宋体" w:eastAsia="宋体" w:cs="宋体"/>
          <w:highlight w:val="none"/>
        </w:rPr>
      </w:pPr>
      <w:r>
        <w:rPr>
          <w:rFonts w:hint="eastAsia" w:ascii="宋体" w:hAnsi="宋体" w:eastAsia="宋体" w:cs="宋体"/>
          <w:highlight w:val="none"/>
        </w:rPr>
        <w:t>甲方负责维修供热、供水、供电、排水等公用设施，支付水、电、燃气费用。</w:t>
      </w:r>
    </w:p>
    <w:p>
      <w:pPr>
        <w:numPr>
          <w:ilvl w:val="0"/>
          <w:numId w:val="10"/>
        </w:numPr>
        <w:spacing w:line="500" w:lineRule="exact"/>
        <w:ind w:firstLine="480" w:firstLineChars="200"/>
        <w:jc w:val="left"/>
        <w:rPr>
          <w:rFonts w:ascii="宋体" w:hAnsi="宋体" w:eastAsia="宋体" w:cs="宋体"/>
          <w:highlight w:val="none"/>
        </w:rPr>
      </w:pPr>
      <w:r>
        <w:rPr>
          <w:rFonts w:hint="eastAsia" w:ascii="宋体" w:hAnsi="宋体" w:eastAsia="宋体" w:cs="宋体"/>
          <w:highlight w:val="none"/>
        </w:rPr>
        <w:t>甲方有权检查、监督乙方的经营管理，特别是卫生、安全、环境建设。</w:t>
      </w:r>
    </w:p>
    <w:p>
      <w:pPr>
        <w:numPr>
          <w:ilvl w:val="0"/>
          <w:numId w:val="10"/>
        </w:numPr>
        <w:spacing w:line="500" w:lineRule="exact"/>
        <w:ind w:firstLine="480" w:firstLineChars="200"/>
        <w:jc w:val="left"/>
        <w:rPr>
          <w:rFonts w:ascii="宋体" w:hAnsi="宋体" w:eastAsia="宋体" w:cs="宋体"/>
          <w:highlight w:val="none"/>
        </w:rPr>
      </w:pPr>
      <w:r>
        <w:rPr>
          <w:rFonts w:hint="eastAsia" w:ascii="宋体" w:hAnsi="宋体" w:eastAsia="宋体" w:cs="宋体"/>
          <w:highlight w:val="none"/>
        </w:rPr>
        <w:t>如有关部门要求办理相关证照，甲方协助办理。</w:t>
      </w:r>
    </w:p>
    <w:p>
      <w:pPr>
        <w:numPr>
          <w:ilvl w:val="0"/>
          <w:numId w:val="9"/>
        </w:numPr>
        <w:spacing w:line="500" w:lineRule="exact"/>
        <w:ind w:left="0" w:firstLine="420"/>
        <w:jc w:val="left"/>
        <w:rPr>
          <w:rFonts w:ascii="宋体" w:hAnsi="宋体" w:eastAsia="宋体" w:cs="宋体"/>
          <w:highlight w:val="none"/>
        </w:rPr>
      </w:pPr>
      <w:r>
        <w:rPr>
          <w:rFonts w:hint="eastAsia" w:ascii="宋体" w:hAnsi="宋体" w:eastAsia="宋体" w:cs="宋体"/>
          <w:highlight w:val="none"/>
        </w:rPr>
        <w:t>乙方的权利和义务</w:t>
      </w:r>
    </w:p>
    <w:p>
      <w:pPr>
        <w:numPr>
          <w:ilvl w:val="0"/>
          <w:numId w:val="11"/>
        </w:numPr>
        <w:spacing w:line="500" w:lineRule="exact"/>
        <w:ind w:firstLine="480" w:firstLineChars="200"/>
        <w:jc w:val="left"/>
        <w:rPr>
          <w:rFonts w:ascii="宋体" w:hAnsi="宋体" w:eastAsia="宋体" w:cs="宋体"/>
          <w:highlight w:val="none"/>
        </w:rPr>
      </w:pPr>
      <w:r>
        <w:rPr>
          <w:rFonts w:hint="eastAsia" w:ascii="宋体" w:hAnsi="宋体" w:eastAsia="宋体" w:cs="宋体"/>
          <w:highlight w:val="none"/>
        </w:rPr>
        <w:t>乙方保证给所有在甲方食堂服务的服务人员购买社保（不含住房公积金），方可上岗。乙方应当按照法律规定为乙方委派的服务人员购买社保，按时发放工资，不得侵害乙方委派服务人员的正当权益。如出现乙方服务人员因与乙方劳动争议纠纷影响甲方食堂正常服务的，乙方应当立即委派其他符合条件的服务人员以维持乙方食堂正常运行。</w:t>
      </w:r>
    </w:p>
    <w:p>
      <w:pPr>
        <w:numPr>
          <w:ilvl w:val="0"/>
          <w:numId w:val="11"/>
        </w:numPr>
        <w:spacing w:line="500" w:lineRule="exact"/>
        <w:ind w:firstLine="480" w:firstLineChars="200"/>
        <w:jc w:val="left"/>
        <w:rPr>
          <w:rFonts w:ascii="宋体" w:hAnsi="宋体" w:eastAsia="宋体" w:cs="宋体"/>
          <w:highlight w:val="none"/>
        </w:rPr>
      </w:pPr>
      <w:r>
        <w:rPr>
          <w:rFonts w:hint="eastAsia" w:ascii="宋体" w:hAnsi="宋体" w:eastAsia="宋体" w:cs="宋体"/>
          <w:highlight w:val="none"/>
        </w:rPr>
        <w:t>保证就餐时间，满足甲方加班干部的随时用餐。</w:t>
      </w:r>
    </w:p>
    <w:p>
      <w:pPr>
        <w:numPr>
          <w:ilvl w:val="0"/>
          <w:numId w:val="11"/>
        </w:numPr>
        <w:spacing w:line="500" w:lineRule="exact"/>
        <w:ind w:firstLine="480" w:firstLineChars="200"/>
        <w:jc w:val="left"/>
        <w:rPr>
          <w:rFonts w:ascii="宋体" w:hAnsi="宋体" w:eastAsia="宋体" w:cs="宋体"/>
          <w:highlight w:val="none"/>
        </w:rPr>
      </w:pPr>
      <w:r>
        <w:rPr>
          <w:rFonts w:hint="eastAsia" w:ascii="宋体" w:hAnsi="宋体" w:eastAsia="宋体" w:cs="宋体"/>
          <w:highlight w:val="none"/>
        </w:rPr>
        <w:t>合同期内，食堂消防、安全、卫生、环境建设由乙方负责。如因乙方责任发生火灾、食物中毒、环境污染、安全等事故，如有损失由乙方承担，并依照相关法律追究责任。</w:t>
      </w:r>
    </w:p>
    <w:p>
      <w:pPr>
        <w:numPr>
          <w:ilvl w:val="0"/>
          <w:numId w:val="11"/>
        </w:numPr>
        <w:spacing w:line="500" w:lineRule="exact"/>
        <w:ind w:firstLine="480" w:firstLineChars="200"/>
        <w:jc w:val="left"/>
        <w:rPr>
          <w:rFonts w:ascii="宋体" w:hAnsi="宋体" w:eastAsia="宋体" w:cs="宋体"/>
          <w:highlight w:val="none"/>
        </w:rPr>
      </w:pPr>
      <w:r>
        <w:rPr>
          <w:rFonts w:hint="eastAsia" w:ascii="宋体" w:hAnsi="宋体" w:eastAsia="宋体" w:cs="宋体"/>
          <w:highlight w:val="none"/>
        </w:rPr>
        <w:t>乙方不准改变食堂用途，不准转包及分包。</w:t>
      </w:r>
    </w:p>
    <w:p>
      <w:pPr>
        <w:numPr>
          <w:ilvl w:val="0"/>
          <w:numId w:val="11"/>
        </w:numPr>
        <w:spacing w:line="500" w:lineRule="exact"/>
        <w:ind w:firstLine="480" w:firstLineChars="200"/>
        <w:jc w:val="left"/>
        <w:rPr>
          <w:rFonts w:ascii="宋体" w:hAnsi="宋体" w:eastAsia="宋体" w:cs="宋体"/>
          <w:highlight w:val="none"/>
        </w:rPr>
      </w:pPr>
      <w:r>
        <w:rPr>
          <w:rFonts w:hint="eastAsia" w:ascii="宋体" w:hAnsi="宋体" w:eastAsia="宋体" w:cs="宋体"/>
          <w:highlight w:val="none"/>
        </w:rPr>
        <w:t>合同期满乙方应将食堂内的物品完好无损的交付给甲方，如有损坏由乙方负责修复，不能修复的按折旧价赔偿。</w:t>
      </w:r>
    </w:p>
    <w:p>
      <w:pPr>
        <w:numPr>
          <w:ilvl w:val="0"/>
          <w:numId w:val="11"/>
        </w:numPr>
        <w:spacing w:line="500" w:lineRule="exact"/>
        <w:ind w:firstLine="480" w:firstLineChars="200"/>
        <w:jc w:val="left"/>
        <w:rPr>
          <w:rFonts w:ascii="宋体" w:hAnsi="宋体" w:eastAsia="宋体" w:cs="宋体"/>
          <w:highlight w:val="none"/>
        </w:rPr>
      </w:pPr>
      <w:r>
        <w:rPr>
          <w:rFonts w:hint="eastAsia" w:ascii="宋体" w:hAnsi="宋体" w:eastAsia="宋体" w:cs="宋体"/>
          <w:highlight w:val="none"/>
        </w:rPr>
        <w:t>根据甲方要求，结账时提供上月人员的社保依据，且出具正规发票，方可结账。</w:t>
      </w:r>
    </w:p>
    <w:p>
      <w:pPr>
        <w:spacing w:line="500" w:lineRule="exact"/>
        <w:jc w:val="left"/>
        <w:rPr>
          <w:rFonts w:ascii="宋体" w:hAnsi="宋体" w:eastAsia="宋体" w:cs="宋体"/>
          <w:b/>
          <w:bCs/>
          <w:highlight w:val="none"/>
        </w:rPr>
      </w:pPr>
      <w:r>
        <w:rPr>
          <w:rFonts w:hint="eastAsia" w:ascii="宋体" w:hAnsi="宋体" w:eastAsia="宋体" w:cs="宋体"/>
          <w:b/>
          <w:bCs/>
          <w:highlight w:val="none"/>
        </w:rPr>
        <w:t>六、违约责任</w:t>
      </w:r>
    </w:p>
    <w:p>
      <w:pPr>
        <w:spacing w:line="500" w:lineRule="exact"/>
        <w:jc w:val="left"/>
        <w:rPr>
          <w:rFonts w:ascii="宋体" w:hAnsi="宋体" w:eastAsia="宋体" w:cs="宋体"/>
          <w:highlight w:val="none"/>
        </w:rPr>
      </w:pPr>
      <w:r>
        <w:rPr>
          <w:rFonts w:hint="eastAsia" w:ascii="宋体" w:hAnsi="宋体" w:eastAsia="宋体" w:cs="宋体"/>
          <w:highlight w:val="none"/>
        </w:rPr>
        <w:t xml:space="preserve"> 本合同签订后甲乙双方不得无故单方终止合同，如一方违约，赔偿给对方造成的实际损失。合同履行期间，甲乙双方要做好交流沟通，乙方服务达不到甲方要求，经两次调整仍未达到要求的，视为乙方违约，甲方有权终止合同，造成的损失由乙方承担。</w:t>
      </w:r>
    </w:p>
    <w:p>
      <w:pPr>
        <w:numPr>
          <w:ilvl w:val="0"/>
          <w:numId w:val="12"/>
        </w:numPr>
        <w:spacing w:line="500" w:lineRule="exact"/>
        <w:ind w:left="0" w:firstLine="420"/>
        <w:jc w:val="left"/>
        <w:rPr>
          <w:rFonts w:ascii="宋体" w:hAnsi="宋体" w:eastAsia="宋体" w:cs="宋体"/>
          <w:highlight w:val="none"/>
        </w:rPr>
      </w:pPr>
      <w:r>
        <w:rPr>
          <w:rFonts w:hint="eastAsia" w:ascii="宋体" w:hAnsi="宋体" w:eastAsia="宋体" w:cs="宋体"/>
          <w:highlight w:val="none"/>
        </w:rPr>
        <w:t>乙方人员违规操作给甲方造成的经济损失，由乙方承担。</w:t>
      </w:r>
    </w:p>
    <w:p>
      <w:pPr>
        <w:numPr>
          <w:ilvl w:val="0"/>
          <w:numId w:val="12"/>
        </w:numPr>
        <w:spacing w:line="500" w:lineRule="exact"/>
        <w:ind w:left="0" w:firstLine="420"/>
        <w:jc w:val="left"/>
        <w:rPr>
          <w:rFonts w:ascii="宋体" w:hAnsi="宋体" w:eastAsia="宋体" w:cs="宋体"/>
          <w:highlight w:val="none"/>
        </w:rPr>
      </w:pPr>
      <w:r>
        <w:rPr>
          <w:rFonts w:hint="eastAsia" w:ascii="宋体" w:hAnsi="宋体" w:eastAsia="宋体" w:cs="宋体"/>
          <w:highlight w:val="none"/>
        </w:rPr>
        <w:t>乙方人员出现违规情形或者达不到甲方要求的，甲方有权要求更换人员。</w:t>
      </w:r>
    </w:p>
    <w:p>
      <w:pPr>
        <w:numPr>
          <w:ilvl w:val="0"/>
          <w:numId w:val="12"/>
        </w:numPr>
        <w:spacing w:line="500" w:lineRule="exact"/>
        <w:ind w:left="0" w:firstLine="420"/>
        <w:jc w:val="left"/>
        <w:rPr>
          <w:rFonts w:ascii="宋体" w:hAnsi="宋体" w:eastAsia="宋体" w:cs="宋体"/>
          <w:highlight w:val="none"/>
        </w:rPr>
      </w:pPr>
      <w:r>
        <w:rPr>
          <w:rFonts w:hint="eastAsia" w:ascii="宋体" w:hAnsi="宋体" w:eastAsia="宋体" w:cs="宋体"/>
          <w:highlight w:val="none"/>
        </w:rPr>
        <w:t>因甲方原因给乙方造成的损失，由甲方承担补偿。</w:t>
      </w:r>
    </w:p>
    <w:p>
      <w:pPr>
        <w:spacing w:line="500" w:lineRule="exact"/>
        <w:jc w:val="left"/>
        <w:rPr>
          <w:rFonts w:ascii="宋体" w:hAnsi="宋体" w:eastAsia="宋体" w:cs="宋体"/>
          <w:b/>
          <w:bCs/>
          <w:highlight w:val="none"/>
        </w:rPr>
      </w:pPr>
      <w:r>
        <w:rPr>
          <w:rFonts w:hint="eastAsia" w:ascii="宋体" w:hAnsi="宋体" w:eastAsia="宋体" w:cs="宋体"/>
          <w:b/>
          <w:bCs/>
          <w:highlight w:val="none"/>
        </w:rPr>
        <w:t>七、项目费用</w:t>
      </w:r>
    </w:p>
    <w:p>
      <w:pPr>
        <w:numPr>
          <w:ilvl w:val="0"/>
          <w:numId w:val="13"/>
        </w:numPr>
        <w:spacing w:line="500" w:lineRule="exact"/>
        <w:ind w:left="0" w:firstLine="420"/>
        <w:jc w:val="left"/>
        <w:rPr>
          <w:rFonts w:ascii="宋体" w:hAnsi="宋体" w:eastAsia="宋体" w:cs="宋体"/>
          <w:highlight w:val="none"/>
        </w:rPr>
      </w:pPr>
      <w:r>
        <w:rPr>
          <w:rFonts w:hint="eastAsia" w:ascii="宋体" w:hAnsi="宋体" w:eastAsia="宋体" w:cs="宋体"/>
          <w:highlight w:val="none"/>
        </w:rPr>
        <w:t>本合同签订之后，在运行期间，若个别食堂因就餐服务量增加需增补服务人员，甲乙双方再另行协商,费用根据投标价格据实核算。</w:t>
      </w:r>
    </w:p>
    <w:p>
      <w:pPr>
        <w:numPr>
          <w:ilvl w:val="0"/>
          <w:numId w:val="13"/>
        </w:numPr>
        <w:spacing w:line="500" w:lineRule="exact"/>
        <w:ind w:left="0" w:firstLine="420"/>
        <w:jc w:val="left"/>
        <w:rPr>
          <w:rFonts w:ascii="宋体" w:hAnsi="宋体" w:eastAsia="宋体" w:cs="宋体"/>
          <w:highlight w:val="none"/>
        </w:rPr>
      </w:pPr>
      <w:r>
        <w:rPr>
          <w:rFonts w:hint="eastAsia" w:ascii="宋体" w:hAnsi="宋体" w:eastAsia="宋体" w:cs="宋体"/>
          <w:highlight w:val="none"/>
        </w:rPr>
        <w:t>合同履行，合同签订后，乙方按规定的时间进场开始履行义务，甲方开始支付服务费。</w:t>
      </w:r>
    </w:p>
    <w:p>
      <w:pPr>
        <w:numPr>
          <w:ilvl w:val="0"/>
          <w:numId w:val="13"/>
        </w:numPr>
        <w:spacing w:line="500" w:lineRule="exact"/>
        <w:ind w:left="0" w:firstLine="420"/>
        <w:jc w:val="left"/>
        <w:rPr>
          <w:rFonts w:ascii="宋体" w:hAnsi="宋体" w:eastAsia="宋体" w:cs="宋体"/>
          <w:highlight w:val="none"/>
        </w:rPr>
      </w:pPr>
      <w:r>
        <w:rPr>
          <w:rFonts w:hint="eastAsia" w:ascii="宋体" w:hAnsi="宋体" w:eastAsia="宋体" w:cs="宋体"/>
          <w:highlight w:val="none"/>
        </w:rPr>
        <w:t>合同约定费用。每年费用为：万元   大写：（含服务人员工资、社保五险、培训、服装、企业利润等费用）。每月为：元大写：，合同期限为：年， ，从年月日至年月日止。</w:t>
      </w:r>
    </w:p>
    <w:p>
      <w:pPr>
        <w:numPr>
          <w:ilvl w:val="0"/>
          <w:numId w:val="13"/>
        </w:numPr>
        <w:spacing w:line="500" w:lineRule="exact"/>
        <w:ind w:left="0" w:firstLine="420"/>
        <w:jc w:val="left"/>
        <w:rPr>
          <w:rFonts w:ascii="宋体" w:hAnsi="宋体" w:eastAsia="宋体" w:cs="宋体"/>
          <w:highlight w:val="none"/>
        </w:rPr>
      </w:pPr>
      <w:r>
        <w:rPr>
          <w:rFonts w:hint="eastAsia" w:ascii="宋体" w:hAnsi="宋体" w:eastAsia="宋体" w:cs="宋体"/>
          <w:highlight w:val="none"/>
        </w:rPr>
        <w:t>付款方式。按月支付费用，当月初支付上月费用。</w:t>
      </w:r>
    </w:p>
    <w:p>
      <w:pPr>
        <w:spacing w:line="500" w:lineRule="exact"/>
        <w:jc w:val="left"/>
        <w:rPr>
          <w:rFonts w:ascii="宋体" w:hAnsi="宋体" w:eastAsia="宋体" w:cs="宋体"/>
          <w:b/>
          <w:bCs/>
          <w:highlight w:val="none"/>
        </w:rPr>
      </w:pPr>
      <w:r>
        <w:rPr>
          <w:rFonts w:hint="eastAsia" w:ascii="宋体" w:hAnsi="宋体" w:eastAsia="宋体" w:cs="宋体"/>
          <w:b/>
          <w:bCs/>
          <w:highlight w:val="none"/>
        </w:rPr>
        <w:t>八、协议续签约定</w:t>
      </w:r>
    </w:p>
    <w:p>
      <w:pPr>
        <w:spacing w:line="500" w:lineRule="exact"/>
        <w:ind w:firstLine="480" w:firstLineChars="200"/>
        <w:jc w:val="left"/>
        <w:rPr>
          <w:rFonts w:ascii="宋体" w:hAnsi="宋体" w:eastAsia="宋体" w:cs="宋体"/>
          <w:highlight w:val="none"/>
        </w:rPr>
      </w:pPr>
      <w:r>
        <w:rPr>
          <w:rFonts w:hint="eastAsia" w:ascii="宋体" w:hAnsi="宋体" w:eastAsia="宋体" w:cs="宋体"/>
          <w:highlight w:val="none"/>
        </w:rPr>
        <w:t>合同到期后，乙方在经营期间无重大责任事故且税务干部职工满意度较高（80%以上）的情况下，经甲方研究决定同意乙方可顺延合同。</w:t>
      </w:r>
    </w:p>
    <w:p>
      <w:pPr>
        <w:spacing w:line="500" w:lineRule="exact"/>
        <w:jc w:val="left"/>
        <w:rPr>
          <w:rFonts w:ascii="宋体" w:hAnsi="宋体" w:eastAsia="宋体" w:cs="宋体"/>
          <w:b/>
          <w:bCs/>
          <w:highlight w:val="none"/>
        </w:rPr>
      </w:pPr>
      <w:r>
        <w:rPr>
          <w:rFonts w:hint="eastAsia" w:ascii="宋体" w:hAnsi="宋体" w:eastAsia="宋体" w:cs="宋体"/>
          <w:b/>
          <w:bCs/>
          <w:highlight w:val="none"/>
        </w:rPr>
        <w:t>九、协议解除约定</w:t>
      </w:r>
    </w:p>
    <w:p>
      <w:pPr>
        <w:numPr>
          <w:ilvl w:val="0"/>
          <w:numId w:val="14"/>
        </w:numPr>
        <w:spacing w:line="500" w:lineRule="exact"/>
        <w:ind w:left="0" w:firstLine="420"/>
        <w:jc w:val="left"/>
        <w:rPr>
          <w:rFonts w:ascii="宋体" w:hAnsi="宋体" w:eastAsia="宋体" w:cs="宋体"/>
          <w:highlight w:val="none"/>
        </w:rPr>
      </w:pPr>
      <w:r>
        <w:rPr>
          <w:rFonts w:hint="eastAsia" w:ascii="宋体" w:hAnsi="宋体" w:eastAsia="宋体" w:cs="宋体"/>
          <w:highlight w:val="none"/>
        </w:rPr>
        <w:t>乙方违规操作，出现重大事故的。</w:t>
      </w:r>
    </w:p>
    <w:p>
      <w:pPr>
        <w:numPr>
          <w:ilvl w:val="0"/>
          <w:numId w:val="14"/>
        </w:numPr>
        <w:spacing w:line="500" w:lineRule="exact"/>
        <w:ind w:left="0" w:firstLine="420"/>
        <w:jc w:val="left"/>
        <w:rPr>
          <w:rFonts w:ascii="宋体" w:hAnsi="宋体" w:eastAsia="宋体" w:cs="宋体"/>
          <w:highlight w:val="none"/>
        </w:rPr>
      </w:pPr>
      <w:r>
        <w:rPr>
          <w:rFonts w:hint="eastAsia" w:ascii="宋体" w:hAnsi="宋体" w:eastAsia="宋体" w:cs="宋体"/>
          <w:highlight w:val="none"/>
        </w:rPr>
        <w:t>乙方不及时或者不充足供应职工膳食达到3次以上的。</w:t>
      </w:r>
    </w:p>
    <w:p>
      <w:pPr>
        <w:numPr>
          <w:ilvl w:val="0"/>
          <w:numId w:val="14"/>
        </w:numPr>
        <w:spacing w:line="500" w:lineRule="exact"/>
        <w:ind w:left="0" w:firstLine="420"/>
        <w:jc w:val="left"/>
        <w:rPr>
          <w:rFonts w:ascii="宋体" w:hAnsi="宋体" w:eastAsia="宋体" w:cs="宋体"/>
          <w:highlight w:val="none"/>
        </w:rPr>
      </w:pPr>
      <w:r>
        <w:rPr>
          <w:rFonts w:hint="eastAsia" w:ascii="宋体" w:hAnsi="宋体" w:eastAsia="宋体" w:cs="宋体"/>
          <w:highlight w:val="none"/>
        </w:rPr>
        <w:t>不服从甲方管理的。</w:t>
      </w:r>
    </w:p>
    <w:p>
      <w:pPr>
        <w:numPr>
          <w:ilvl w:val="0"/>
          <w:numId w:val="14"/>
        </w:numPr>
        <w:spacing w:line="500" w:lineRule="exact"/>
        <w:ind w:left="0" w:firstLine="420"/>
        <w:jc w:val="left"/>
        <w:rPr>
          <w:rFonts w:ascii="宋体" w:hAnsi="宋体" w:eastAsia="宋体" w:cs="宋体"/>
          <w:highlight w:val="none"/>
        </w:rPr>
      </w:pPr>
      <w:r>
        <w:rPr>
          <w:rFonts w:hint="eastAsia" w:ascii="宋体" w:hAnsi="宋体" w:eastAsia="宋体" w:cs="宋体"/>
          <w:highlight w:val="none"/>
        </w:rPr>
        <w:t>乙方自身原因不能继续提供服务的。</w:t>
      </w:r>
    </w:p>
    <w:p>
      <w:pPr>
        <w:spacing w:line="500" w:lineRule="exact"/>
        <w:jc w:val="left"/>
        <w:rPr>
          <w:rFonts w:ascii="宋体" w:hAnsi="宋体" w:eastAsia="宋体" w:cs="宋体"/>
          <w:b/>
          <w:bCs/>
          <w:highlight w:val="none"/>
        </w:rPr>
      </w:pPr>
      <w:r>
        <w:rPr>
          <w:rFonts w:hint="eastAsia" w:ascii="宋体" w:hAnsi="宋体" w:eastAsia="宋体" w:cs="宋体"/>
          <w:b/>
          <w:bCs/>
          <w:highlight w:val="none"/>
        </w:rPr>
        <w:t>十、其他条款</w:t>
      </w:r>
    </w:p>
    <w:p>
      <w:pPr>
        <w:numPr>
          <w:ilvl w:val="0"/>
          <w:numId w:val="15"/>
        </w:numPr>
        <w:spacing w:line="500" w:lineRule="exact"/>
        <w:ind w:left="0" w:firstLine="420"/>
        <w:jc w:val="left"/>
        <w:rPr>
          <w:rFonts w:ascii="宋体" w:hAnsi="宋体" w:eastAsia="宋体" w:cs="宋体"/>
          <w:highlight w:val="none"/>
        </w:rPr>
      </w:pPr>
      <w:r>
        <w:rPr>
          <w:rFonts w:hint="eastAsia" w:ascii="宋体" w:hAnsi="宋体" w:eastAsia="宋体" w:cs="宋体"/>
          <w:highlight w:val="none"/>
        </w:rPr>
        <w:t>因本合同发生分歧，双方协商解决，协商不成的，通过诉讼程序解决。</w:t>
      </w:r>
    </w:p>
    <w:p>
      <w:pPr>
        <w:numPr>
          <w:ilvl w:val="0"/>
          <w:numId w:val="15"/>
        </w:numPr>
        <w:spacing w:line="500" w:lineRule="exact"/>
        <w:ind w:left="0" w:firstLine="420"/>
        <w:jc w:val="left"/>
        <w:rPr>
          <w:rFonts w:ascii="宋体" w:hAnsi="宋体" w:eastAsia="宋体" w:cs="宋体"/>
          <w:highlight w:val="none"/>
        </w:rPr>
      </w:pPr>
      <w:r>
        <w:rPr>
          <w:rFonts w:hint="eastAsia" w:ascii="宋体" w:hAnsi="宋体" w:eastAsia="宋体" w:cs="宋体"/>
          <w:highlight w:val="none"/>
        </w:rPr>
        <w:t>服务人员与就餐人员发生冲突时，乙方应与甲方管理部门协商解决。</w:t>
      </w:r>
    </w:p>
    <w:p>
      <w:pPr>
        <w:numPr>
          <w:ilvl w:val="0"/>
          <w:numId w:val="15"/>
        </w:numPr>
        <w:spacing w:line="500" w:lineRule="exact"/>
        <w:ind w:left="0" w:firstLine="420"/>
        <w:jc w:val="left"/>
        <w:rPr>
          <w:rFonts w:ascii="宋体" w:hAnsi="宋体" w:eastAsia="宋体" w:cs="宋体"/>
          <w:highlight w:val="none"/>
        </w:rPr>
      </w:pPr>
      <w:r>
        <w:rPr>
          <w:rFonts w:hint="eastAsia" w:ascii="宋体" w:hAnsi="宋体" w:eastAsia="宋体" w:cs="宋体"/>
          <w:highlight w:val="none"/>
        </w:rPr>
        <w:t>本合同一式三份，甲方执贰份，乙方执壹份。本合同经甲、乙方双方签字盖章之日起生效。</w:t>
      </w:r>
    </w:p>
    <w:p>
      <w:pPr>
        <w:numPr>
          <w:ilvl w:val="0"/>
          <w:numId w:val="15"/>
        </w:numPr>
        <w:spacing w:line="500" w:lineRule="exact"/>
        <w:ind w:left="0" w:firstLine="420"/>
        <w:jc w:val="left"/>
        <w:rPr>
          <w:rFonts w:ascii="宋体" w:hAnsi="宋体" w:eastAsia="宋体" w:cs="宋体"/>
          <w:highlight w:val="none"/>
        </w:rPr>
      </w:pPr>
      <w:r>
        <w:rPr>
          <w:rFonts w:hint="eastAsia" w:ascii="宋体" w:hAnsi="宋体" w:eastAsia="宋体" w:cs="宋体"/>
          <w:highlight w:val="none"/>
        </w:rPr>
        <w:t>合同未尽事宜，以招投标文件为准，甲、乙双方可协商解决。</w:t>
      </w:r>
    </w:p>
    <w:p>
      <w:pPr>
        <w:spacing w:line="480" w:lineRule="exact"/>
        <w:jc w:val="left"/>
        <w:rPr>
          <w:rFonts w:ascii="宋体" w:hAnsi="宋体" w:eastAsia="宋体" w:cs="宋体"/>
          <w:highlight w:val="none"/>
        </w:rPr>
      </w:pPr>
    </w:p>
    <w:p>
      <w:pPr>
        <w:spacing w:line="600" w:lineRule="auto"/>
        <w:ind w:left="420" w:firstLine="480" w:firstLineChars="200"/>
        <w:jc w:val="left"/>
        <w:rPr>
          <w:rFonts w:ascii="宋体" w:hAnsi="宋体" w:eastAsia="宋体" w:cs="宋体"/>
          <w:highlight w:val="none"/>
        </w:rPr>
      </w:pPr>
      <w:r>
        <w:rPr>
          <w:rFonts w:hint="eastAsia" w:ascii="宋体" w:hAnsi="宋体" w:eastAsia="宋体" w:cs="宋体"/>
          <w:highlight w:val="none"/>
        </w:rPr>
        <w:t>甲方（盖章）：                    乙方（盖章）：</w:t>
      </w:r>
    </w:p>
    <w:p>
      <w:pPr>
        <w:spacing w:line="600" w:lineRule="auto"/>
        <w:ind w:left="420" w:firstLine="480" w:firstLineChars="200"/>
        <w:jc w:val="left"/>
        <w:rPr>
          <w:rFonts w:ascii="宋体" w:hAnsi="宋体" w:eastAsia="宋体" w:cs="宋体"/>
          <w:highlight w:val="none"/>
        </w:rPr>
      </w:pPr>
      <w:r>
        <w:rPr>
          <w:rFonts w:hint="eastAsia" w:ascii="宋体" w:hAnsi="宋体" w:eastAsia="宋体" w:cs="宋体"/>
          <w:highlight w:val="none"/>
        </w:rPr>
        <w:t>甲方代表：                       乙方代表：</w:t>
      </w:r>
    </w:p>
    <w:p>
      <w:pPr>
        <w:spacing w:line="480" w:lineRule="exact"/>
        <w:ind w:firstLine="3600" w:firstLineChars="1500"/>
        <w:rPr>
          <w:rFonts w:ascii="宋体" w:hAnsi="宋体" w:eastAsia="宋体" w:cs="宋体"/>
          <w:highlight w:val="none"/>
        </w:rPr>
      </w:pPr>
      <w:r>
        <w:rPr>
          <w:rFonts w:hint="eastAsia" w:ascii="宋体" w:hAnsi="宋体" w:eastAsia="宋体" w:cs="宋体"/>
          <w:highlight w:val="none"/>
        </w:rPr>
        <w:t>协议签订时间：   年    月    日</w:t>
      </w:r>
    </w:p>
    <w:p>
      <w:pPr>
        <w:tabs>
          <w:tab w:val="left" w:pos="700"/>
        </w:tabs>
        <w:topLinePunct/>
        <w:autoSpaceDE w:val="0"/>
        <w:autoSpaceDN w:val="0"/>
        <w:spacing w:line="360" w:lineRule="auto"/>
        <w:ind w:left="360"/>
        <w:rPr>
          <w:rFonts w:cs="宋体"/>
          <w:sz w:val="21"/>
          <w:szCs w:val="21"/>
          <w:highlight w:val="none"/>
        </w:rPr>
      </w:pPr>
      <w:r>
        <w:rPr>
          <w:rFonts w:hint="eastAsia" w:cs="宋体"/>
          <w:sz w:val="21"/>
          <w:szCs w:val="21"/>
          <w:highlight w:val="none"/>
        </w:rPr>
        <w:br w:type="page"/>
      </w:r>
    </w:p>
    <w:p>
      <w:pPr>
        <w:pStyle w:val="4"/>
        <w:rPr>
          <w:rFonts w:ascii="宋体" w:hAnsi="宋体" w:eastAsia="宋体" w:cs="宋体"/>
          <w:sz w:val="21"/>
          <w:szCs w:val="21"/>
          <w:highlight w:val="none"/>
        </w:rPr>
        <w:sectPr>
          <w:pgSz w:w="11906" w:h="16838"/>
          <w:pgMar w:top="1440" w:right="1800" w:bottom="1440" w:left="1800" w:header="851" w:footer="624" w:gutter="0"/>
          <w:cols w:space="720" w:num="1"/>
          <w:docGrid w:type="lines" w:linePitch="312" w:charSpace="0"/>
        </w:sectPr>
      </w:pPr>
    </w:p>
    <w:p>
      <w:pPr>
        <w:pStyle w:val="3"/>
        <w:autoSpaceDE/>
        <w:autoSpaceDN/>
        <w:spacing w:line="720" w:lineRule="auto"/>
        <w:jc w:val="center"/>
        <w:rPr>
          <w:rFonts w:ascii="宋体" w:hAnsi="宋体" w:eastAsia="宋体" w:cs="宋体"/>
          <w:bCs/>
          <w:snapToGrid/>
          <w:kern w:val="2"/>
          <w:sz w:val="32"/>
          <w:highlight w:val="none"/>
        </w:rPr>
      </w:pPr>
      <w:bookmarkStart w:id="85" w:name="_Toc10531"/>
      <w:bookmarkStart w:id="86" w:name="_Toc28992"/>
      <w:bookmarkStart w:id="87" w:name="_Toc26733"/>
      <w:bookmarkStart w:id="88" w:name="_Toc18894"/>
      <w:r>
        <w:rPr>
          <w:rFonts w:hint="eastAsia" w:ascii="宋体" w:hAnsi="宋体" w:eastAsia="宋体" w:cs="宋体"/>
          <w:bCs/>
          <w:snapToGrid/>
          <w:kern w:val="2"/>
          <w:sz w:val="32"/>
          <w:highlight w:val="none"/>
        </w:rPr>
        <w:t>第五章投标文件格式</w:t>
      </w:r>
      <w:bookmarkEnd w:id="85"/>
      <w:bookmarkEnd w:id="86"/>
      <w:bookmarkEnd w:id="87"/>
      <w:bookmarkEnd w:id="88"/>
    </w:p>
    <w:p>
      <w:pPr>
        <w:topLinePunct/>
        <w:autoSpaceDE w:val="0"/>
        <w:autoSpaceDN w:val="0"/>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投标人必须按下列文本格式，如实提供具有法律效力的资格证明文件和真实有效的其他文件资料，任何不按下列文本格式提供或有实质性变更将由投标人承担风险。</w:t>
      </w:r>
    </w:p>
    <w:p>
      <w:pPr>
        <w:topLinePunct/>
        <w:autoSpaceDE w:val="0"/>
        <w:autoSpaceDN w:val="0"/>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1.投标人应严格按照本章规定填写和提交全部格式文件以及其他有关资料，混乱的编排导致投标文件被误读或查找不到，后果由投标人承担。</w:t>
      </w:r>
    </w:p>
    <w:p>
      <w:pPr>
        <w:topLinePunct/>
        <w:autoSpaceDE w:val="0"/>
        <w:autoSpaceDN w:val="0"/>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2.所附表格中要求回答的全部问题和信息都必须正面回答。</w:t>
      </w:r>
    </w:p>
    <w:p>
      <w:pPr>
        <w:topLinePunct/>
        <w:autoSpaceDE w:val="0"/>
        <w:autoSpaceDN w:val="0"/>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3.资格声明文件的签字人应保证全部声明和问题的回答是真实的和准确的。</w:t>
      </w:r>
    </w:p>
    <w:p>
      <w:pPr>
        <w:topLinePunct/>
        <w:autoSpaceDE w:val="0"/>
        <w:autoSpaceDN w:val="0"/>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4.评标委员会将应用投标人提交的资料并根据自己的判断，决定投标人履行合同的合格性及能力。</w:t>
      </w:r>
    </w:p>
    <w:p>
      <w:pPr>
        <w:topLinePunct/>
        <w:autoSpaceDE w:val="0"/>
        <w:autoSpaceDN w:val="0"/>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5.全部文件应按投标人须知中规定的语言提交。</w:t>
      </w:r>
    </w:p>
    <w:p>
      <w:pPr>
        <w:topLinePunct/>
        <w:autoSpaceDE w:val="0"/>
        <w:autoSpaceDN w:val="0"/>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6.以下格式文件为要求填写内容的固定格式，投标人不得擅自修改格式，其他未提供格式的文件和资料由投标人自行设计编制格式填写。</w:t>
      </w:r>
    </w:p>
    <w:p>
      <w:pPr>
        <w:adjustRightInd w:val="0"/>
        <w:snapToGrid w:val="0"/>
        <w:spacing w:line="360" w:lineRule="auto"/>
        <w:jc w:val="center"/>
        <w:rPr>
          <w:rFonts w:cs="宋体"/>
          <w:bCs/>
          <w:kern w:val="0"/>
          <w:sz w:val="32"/>
          <w:szCs w:val="32"/>
          <w:highlight w:val="none"/>
        </w:rPr>
      </w:pPr>
      <w:r>
        <w:rPr>
          <w:rFonts w:hint="eastAsia" w:cs="宋体"/>
          <w:b/>
          <w:bCs/>
          <w:highlight w:val="none"/>
        </w:rPr>
        <w:br w:type="page"/>
      </w:r>
    </w:p>
    <w:p>
      <w:pPr>
        <w:spacing w:line="360" w:lineRule="auto"/>
        <w:rPr>
          <w:rFonts w:cs="宋体"/>
          <w:b/>
          <w:bCs/>
          <w:spacing w:val="30"/>
          <w:sz w:val="36"/>
          <w:highlight w:val="none"/>
        </w:rPr>
      </w:pPr>
      <w:r>
        <w:rPr>
          <w:rFonts w:hint="eastAsia" w:cs="宋体"/>
          <w:b/>
          <w:highlight w:val="none"/>
        </w:rPr>
        <w:t>封面格式如下</w:t>
      </w:r>
    </w:p>
    <w:p>
      <w:pPr>
        <w:spacing w:line="360" w:lineRule="auto"/>
        <w:rPr>
          <w:rFonts w:cs="宋体"/>
          <w:b/>
          <w:bCs/>
          <w:spacing w:val="30"/>
          <w:sz w:val="52"/>
          <w:highlight w:val="none"/>
        </w:rPr>
      </w:pPr>
    </w:p>
    <w:p>
      <w:pPr>
        <w:spacing w:line="360" w:lineRule="auto"/>
        <w:rPr>
          <w:rFonts w:cs="宋体"/>
          <w:highlight w:val="none"/>
        </w:rPr>
      </w:pPr>
    </w:p>
    <w:p>
      <w:pPr>
        <w:spacing w:line="360" w:lineRule="auto"/>
        <w:rPr>
          <w:rFonts w:cs="宋体"/>
          <w:highlight w:val="none"/>
        </w:rPr>
      </w:pPr>
    </w:p>
    <w:p>
      <w:pPr>
        <w:spacing w:line="360" w:lineRule="auto"/>
        <w:jc w:val="center"/>
        <w:rPr>
          <w:rFonts w:cs="宋体"/>
          <w:b/>
          <w:bCs/>
          <w:sz w:val="56"/>
          <w:szCs w:val="56"/>
          <w:highlight w:val="none"/>
        </w:rPr>
      </w:pPr>
      <w:bookmarkStart w:id="89" w:name="_Toc13406"/>
      <w:bookmarkStart w:id="90" w:name="_Toc26710"/>
      <w:bookmarkStart w:id="91" w:name="_Toc19520"/>
      <w:bookmarkStart w:id="92" w:name="_Toc20055_WPSOffice_Level1"/>
      <w:bookmarkStart w:id="93" w:name="_Toc23303_WPSOffice_Level1"/>
      <w:bookmarkStart w:id="94" w:name="_Toc16819"/>
      <w:bookmarkStart w:id="95" w:name="_Toc27763_WPSOffice_Level1"/>
      <w:bookmarkStart w:id="96" w:name="_Toc7953_WPSOffice_Level1"/>
      <w:r>
        <w:rPr>
          <w:rFonts w:hint="eastAsia" w:cs="宋体"/>
          <w:b/>
          <w:bCs/>
          <w:sz w:val="56"/>
          <w:szCs w:val="56"/>
          <w:highlight w:val="none"/>
        </w:rPr>
        <w:t>国家税务总局十堰市税务局</w:t>
      </w:r>
    </w:p>
    <w:p>
      <w:pPr>
        <w:spacing w:line="360" w:lineRule="auto"/>
        <w:jc w:val="center"/>
        <w:rPr>
          <w:rFonts w:cs="宋体"/>
          <w:b/>
          <w:bCs/>
          <w:sz w:val="56"/>
          <w:szCs w:val="56"/>
          <w:highlight w:val="none"/>
        </w:rPr>
      </w:pPr>
      <w:r>
        <w:rPr>
          <w:rFonts w:hint="eastAsia" w:cs="宋体"/>
          <w:b/>
          <w:bCs/>
          <w:sz w:val="56"/>
          <w:szCs w:val="56"/>
          <w:highlight w:val="none"/>
        </w:rPr>
        <w:t>2025年度食堂餐饮服务项目</w:t>
      </w:r>
    </w:p>
    <w:p>
      <w:pPr>
        <w:spacing w:line="360" w:lineRule="auto"/>
        <w:rPr>
          <w:rFonts w:cs="宋体"/>
          <w:highlight w:val="none"/>
        </w:rPr>
      </w:pPr>
      <w:bookmarkStart w:id="97" w:name="_Toc2735"/>
    </w:p>
    <w:p>
      <w:pPr>
        <w:spacing w:line="360" w:lineRule="auto"/>
        <w:rPr>
          <w:rFonts w:cs="宋体"/>
          <w:highlight w:val="none"/>
        </w:rPr>
      </w:pPr>
    </w:p>
    <w:p>
      <w:pPr>
        <w:spacing w:line="360" w:lineRule="auto"/>
        <w:rPr>
          <w:rFonts w:cs="宋体"/>
          <w:highlight w:val="none"/>
        </w:rPr>
      </w:pPr>
    </w:p>
    <w:p>
      <w:pPr>
        <w:spacing w:line="360" w:lineRule="auto"/>
        <w:rPr>
          <w:rFonts w:cs="宋体"/>
          <w:highlight w:val="none"/>
        </w:rPr>
      </w:pPr>
    </w:p>
    <w:p>
      <w:pPr>
        <w:spacing w:line="360" w:lineRule="auto"/>
        <w:jc w:val="center"/>
        <w:rPr>
          <w:rFonts w:cs="宋体"/>
          <w:b/>
          <w:sz w:val="48"/>
          <w:szCs w:val="48"/>
          <w:highlight w:val="none"/>
        </w:rPr>
      </w:pPr>
      <w:bookmarkStart w:id="98" w:name="_Toc17095"/>
      <w:bookmarkStart w:id="99" w:name="_Toc19582"/>
      <w:bookmarkStart w:id="100" w:name="_Toc16787"/>
      <w:r>
        <w:rPr>
          <w:rFonts w:hint="eastAsia" w:cs="宋体"/>
          <w:b/>
          <w:sz w:val="48"/>
          <w:szCs w:val="48"/>
          <w:highlight w:val="none"/>
        </w:rPr>
        <w:t>（投标文件）</w:t>
      </w:r>
      <w:bookmarkEnd w:id="89"/>
      <w:bookmarkEnd w:id="90"/>
      <w:bookmarkEnd w:id="91"/>
      <w:bookmarkEnd w:id="92"/>
      <w:bookmarkEnd w:id="93"/>
      <w:bookmarkEnd w:id="94"/>
      <w:bookmarkEnd w:id="95"/>
      <w:bookmarkEnd w:id="96"/>
      <w:bookmarkEnd w:id="97"/>
      <w:bookmarkEnd w:id="98"/>
      <w:bookmarkEnd w:id="99"/>
      <w:bookmarkEnd w:id="100"/>
    </w:p>
    <w:p>
      <w:pPr>
        <w:spacing w:line="360" w:lineRule="auto"/>
        <w:rPr>
          <w:rFonts w:cs="宋体"/>
          <w:highlight w:val="none"/>
        </w:rPr>
      </w:pPr>
    </w:p>
    <w:p>
      <w:pPr>
        <w:spacing w:line="360" w:lineRule="auto"/>
        <w:rPr>
          <w:rFonts w:cs="宋体"/>
          <w:highlight w:val="none"/>
        </w:rPr>
      </w:pPr>
    </w:p>
    <w:p>
      <w:pPr>
        <w:spacing w:line="360" w:lineRule="auto"/>
        <w:rPr>
          <w:rFonts w:cs="宋体"/>
          <w:highlight w:val="none"/>
        </w:rPr>
      </w:pPr>
    </w:p>
    <w:p>
      <w:pPr>
        <w:spacing w:line="360" w:lineRule="auto"/>
        <w:rPr>
          <w:rFonts w:cs="宋体"/>
          <w:highlight w:val="none"/>
        </w:rPr>
      </w:pPr>
    </w:p>
    <w:p>
      <w:pPr>
        <w:spacing w:line="360" w:lineRule="auto"/>
        <w:rPr>
          <w:rFonts w:cs="宋体"/>
          <w:highlight w:val="none"/>
        </w:rPr>
      </w:pPr>
      <w:bookmarkStart w:id="101" w:name="_Toc14915_WPSOffice_Level1"/>
      <w:bookmarkStart w:id="102" w:name="_Toc29247"/>
      <w:bookmarkStart w:id="103" w:name="_Toc22194"/>
      <w:bookmarkStart w:id="104" w:name="_Toc23060"/>
      <w:bookmarkStart w:id="105" w:name="_Toc2680_WPSOffice_Level1"/>
      <w:bookmarkStart w:id="106" w:name="_Toc16197"/>
      <w:bookmarkStart w:id="107" w:name="_Toc17853"/>
      <w:bookmarkStart w:id="108" w:name="_Toc30154_WPSOffice_Level1"/>
      <w:bookmarkStart w:id="109" w:name="_Toc27475_WPSOffice_Level1"/>
    </w:p>
    <w:p>
      <w:pPr>
        <w:spacing w:line="360" w:lineRule="auto"/>
        <w:ind w:firstLine="643" w:firstLineChars="200"/>
        <w:rPr>
          <w:rFonts w:cs="宋体"/>
          <w:b/>
          <w:sz w:val="32"/>
          <w:szCs w:val="32"/>
          <w:highlight w:val="none"/>
        </w:rPr>
      </w:pPr>
      <w:bookmarkStart w:id="110" w:name="_Toc4156"/>
      <w:bookmarkStart w:id="111" w:name="_Toc26249"/>
      <w:bookmarkStart w:id="112" w:name="_Toc30890"/>
      <w:r>
        <w:rPr>
          <w:rFonts w:hint="eastAsia" w:cs="宋体"/>
          <w:b/>
          <w:sz w:val="32"/>
          <w:szCs w:val="32"/>
          <w:highlight w:val="none"/>
        </w:rPr>
        <w:t>采 购 人：</w:t>
      </w:r>
      <w:bookmarkEnd w:id="101"/>
      <w:bookmarkEnd w:id="102"/>
      <w:bookmarkEnd w:id="103"/>
      <w:bookmarkEnd w:id="104"/>
      <w:bookmarkEnd w:id="105"/>
      <w:bookmarkEnd w:id="106"/>
      <w:bookmarkEnd w:id="107"/>
      <w:bookmarkEnd w:id="108"/>
      <w:bookmarkEnd w:id="109"/>
      <w:bookmarkStart w:id="113" w:name="_Toc8279_WPSOffice_Level1"/>
      <w:bookmarkStart w:id="114" w:name="_Toc7259"/>
      <w:bookmarkStart w:id="115" w:name="_Toc12196_WPSOffice_Level1"/>
      <w:bookmarkStart w:id="116" w:name="_Toc8466"/>
      <w:bookmarkStart w:id="117" w:name="_Toc7956"/>
      <w:bookmarkStart w:id="118" w:name="_Toc12733_WPSOffice_Level1"/>
      <w:bookmarkStart w:id="119" w:name="_Toc31243"/>
      <w:bookmarkStart w:id="120" w:name="_Toc24407_WPSOffice_Level1"/>
      <w:r>
        <w:rPr>
          <w:rFonts w:hint="eastAsia" w:cs="宋体"/>
          <w:b/>
          <w:sz w:val="32"/>
          <w:szCs w:val="32"/>
          <w:highlight w:val="none"/>
        </w:rPr>
        <w:t>国家税务总局十堰市税务局</w:t>
      </w:r>
      <w:bookmarkEnd w:id="110"/>
      <w:bookmarkEnd w:id="111"/>
      <w:bookmarkEnd w:id="112"/>
    </w:p>
    <w:p>
      <w:pPr>
        <w:spacing w:line="360" w:lineRule="auto"/>
        <w:rPr>
          <w:rFonts w:cs="宋体"/>
          <w:b/>
          <w:sz w:val="32"/>
          <w:szCs w:val="32"/>
          <w:highlight w:val="none"/>
        </w:rPr>
      </w:pPr>
    </w:p>
    <w:p>
      <w:pPr>
        <w:spacing w:line="360" w:lineRule="auto"/>
        <w:ind w:firstLine="643" w:firstLineChars="200"/>
        <w:rPr>
          <w:rFonts w:cs="宋体"/>
          <w:b/>
          <w:sz w:val="32"/>
          <w:szCs w:val="32"/>
          <w:highlight w:val="none"/>
        </w:rPr>
      </w:pPr>
      <w:bookmarkStart w:id="121" w:name="_Toc26352"/>
      <w:bookmarkStart w:id="122" w:name="_Toc12640"/>
      <w:bookmarkStart w:id="123" w:name="_Toc11498"/>
      <w:bookmarkStart w:id="124" w:name="_Toc11423"/>
      <w:r>
        <w:rPr>
          <w:rFonts w:hint="eastAsia" w:cs="宋体"/>
          <w:b/>
          <w:sz w:val="32"/>
          <w:szCs w:val="32"/>
          <w:highlight w:val="none"/>
        </w:rPr>
        <w:t>投 标 人：（盖章）</w:t>
      </w:r>
      <w:bookmarkEnd w:id="113"/>
      <w:bookmarkEnd w:id="114"/>
      <w:bookmarkEnd w:id="115"/>
      <w:bookmarkEnd w:id="116"/>
      <w:bookmarkEnd w:id="117"/>
      <w:bookmarkEnd w:id="118"/>
      <w:bookmarkEnd w:id="119"/>
      <w:bookmarkEnd w:id="120"/>
      <w:bookmarkEnd w:id="121"/>
      <w:bookmarkEnd w:id="122"/>
      <w:bookmarkEnd w:id="123"/>
      <w:bookmarkEnd w:id="124"/>
      <w:bookmarkStart w:id="125" w:name="_Toc23151_WPSOffice_Level1"/>
      <w:bookmarkStart w:id="126" w:name="_Toc26912_WPSOffice_Level1"/>
      <w:bookmarkStart w:id="127" w:name="_Toc8351"/>
      <w:bookmarkStart w:id="128" w:name="_Toc28698"/>
      <w:bookmarkStart w:id="129" w:name="_Toc27172"/>
      <w:bookmarkStart w:id="130" w:name="_Toc22488_WPSOffice_Level1"/>
      <w:bookmarkStart w:id="131" w:name="_Toc16648_WPSOffice_Level1"/>
      <w:bookmarkStart w:id="132" w:name="_Toc13863"/>
    </w:p>
    <w:p>
      <w:pPr>
        <w:spacing w:line="360" w:lineRule="auto"/>
        <w:rPr>
          <w:rFonts w:cs="宋体"/>
          <w:b/>
          <w:bCs/>
          <w:sz w:val="32"/>
          <w:szCs w:val="32"/>
          <w:highlight w:val="none"/>
        </w:rPr>
      </w:pPr>
    </w:p>
    <w:p>
      <w:pPr>
        <w:ind w:firstLine="643" w:firstLineChars="200"/>
        <w:rPr>
          <w:rFonts w:cs="宋体"/>
          <w:b/>
          <w:highlight w:val="none"/>
        </w:rPr>
        <w:sectPr>
          <w:pgSz w:w="11906" w:h="16838"/>
          <w:pgMar w:top="1440" w:right="1080" w:bottom="1440" w:left="1080" w:header="850" w:footer="567" w:gutter="0"/>
          <w:cols w:space="720" w:num="1"/>
          <w:titlePg/>
          <w:docGrid w:linePitch="312" w:charSpace="0"/>
        </w:sectPr>
      </w:pPr>
      <w:bookmarkStart w:id="133" w:name="_Toc18129"/>
      <w:bookmarkStart w:id="134" w:name="_Toc19666"/>
      <w:bookmarkStart w:id="135" w:name="_Toc6471"/>
      <w:bookmarkStart w:id="136" w:name="_Toc26778"/>
      <w:r>
        <w:rPr>
          <w:rFonts w:hint="eastAsia" w:cs="宋体"/>
          <w:b/>
          <w:bCs/>
          <w:sz w:val="32"/>
          <w:szCs w:val="32"/>
          <w:highlight w:val="none"/>
        </w:rPr>
        <w:t>编制日期</w:t>
      </w:r>
      <w:bookmarkEnd w:id="125"/>
      <w:bookmarkEnd w:id="126"/>
      <w:bookmarkEnd w:id="127"/>
      <w:bookmarkEnd w:id="128"/>
      <w:bookmarkEnd w:id="129"/>
      <w:bookmarkEnd w:id="130"/>
      <w:bookmarkEnd w:id="131"/>
      <w:bookmarkEnd w:id="132"/>
      <w:bookmarkEnd w:id="133"/>
      <w:bookmarkEnd w:id="134"/>
      <w:bookmarkEnd w:id="135"/>
      <w:bookmarkEnd w:id="136"/>
      <w:r>
        <w:rPr>
          <w:rFonts w:hint="eastAsia" w:cs="宋体"/>
          <w:b/>
          <w:bCs/>
          <w:sz w:val="32"/>
          <w:szCs w:val="32"/>
          <w:highlight w:val="none"/>
        </w:rPr>
        <w:t>：</w:t>
      </w:r>
    </w:p>
    <w:p>
      <w:pPr>
        <w:autoSpaceDE w:val="0"/>
        <w:autoSpaceDN w:val="0"/>
        <w:adjustRightInd w:val="0"/>
        <w:snapToGrid w:val="0"/>
        <w:spacing w:line="360" w:lineRule="auto"/>
        <w:jc w:val="center"/>
        <w:rPr>
          <w:rFonts w:cs="宋体"/>
          <w:b/>
          <w:sz w:val="36"/>
          <w:szCs w:val="36"/>
          <w:highlight w:val="none"/>
        </w:rPr>
      </w:pPr>
      <w:bookmarkStart w:id="137" w:name="_Toc29275"/>
      <w:bookmarkStart w:id="138" w:name="_Toc3440"/>
      <w:bookmarkStart w:id="139" w:name="_Toc1817"/>
      <w:bookmarkStart w:id="140" w:name="_Toc30248_WPSOffice_Level1"/>
      <w:r>
        <w:rPr>
          <w:rFonts w:hint="eastAsia" w:cs="宋体"/>
          <w:b/>
          <w:sz w:val="36"/>
          <w:szCs w:val="36"/>
          <w:highlight w:val="none"/>
        </w:rPr>
        <w:t>目  录</w:t>
      </w:r>
      <w:bookmarkEnd w:id="137"/>
      <w:bookmarkEnd w:id="138"/>
      <w:bookmarkEnd w:id="139"/>
      <w:r>
        <w:rPr>
          <w:rFonts w:hint="eastAsia" w:cs="宋体"/>
          <w:b/>
          <w:sz w:val="36"/>
          <w:szCs w:val="36"/>
          <w:highlight w:val="none"/>
        </w:rPr>
        <w:t>（自拟）</w:t>
      </w:r>
    </w:p>
    <w:p>
      <w:pPr>
        <w:snapToGrid w:val="0"/>
        <w:spacing w:line="360" w:lineRule="auto"/>
        <w:ind w:firstLine="480" w:firstLineChars="200"/>
        <w:jc w:val="center"/>
        <w:rPr>
          <w:rFonts w:cs="宋体"/>
          <w:b/>
          <w:sz w:val="28"/>
          <w:szCs w:val="28"/>
          <w:highlight w:val="none"/>
        </w:rPr>
      </w:pPr>
      <w:r>
        <w:rPr>
          <w:rFonts w:hint="eastAsia" w:cs="宋体"/>
          <w:highlight w:val="none"/>
        </w:rPr>
        <w:br w:type="page"/>
      </w:r>
      <w:bookmarkStart w:id="141" w:name="_Toc4152"/>
      <w:bookmarkStart w:id="142" w:name="_Toc9714"/>
      <w:bookmarkStart w:id="143" w:name="_Toc13447"/>
      <w:r>
        <w:rPr>
          <w:rFonts w:hint="eastAsia" w:cs="宋体"/>
          <w:b/>
          <w:sz w:val="28"/>
          <w:szCs w:val="28"/>
          <w:highlight w:val="none"/>
        </w:rPr>
        <w:t>一、投标函</w:t>
      </w:r>
      <w:bookmarkEnd w:id="141"/>
      <w:bookmarkEnd w:id="142"/>
      <w:bookmarkEnd w:id="143"/>
    </w:p>
    <w:p>
      <w:pPr>
        <w:tabs>
          <w:tab w:val="left" w:pos="540"/>
        </w:tabs>
        <w:spacing w:line="360" w:lineRule="auto"/>
        <w:ind w:left="480" w:leftChars="200"/>
        <w:rPr>
          <w:rFonts w:cs="宋体"/>
          <w:b/>
          <w:highlight w:val="none"/>
        </w:rPr>
      </w:pPr>
    </w:p>
    <w:p>
      <w:pPr>
        <w:adjustRightInd w:val="0"/>
        <w:snapToGrid w:val="0"/>
        <w:spacing w:line="396" w:lineRule="auto"/>
        <w:rPr>
          <w:rFonts w:cs="宋体"/>
          <w:highlight w:val="none"/>
        </w:rPr>
      </w:pPr>
      <w:r>
        <w:rPr>
          <w:rFonts w:hint="eastAsia" w:cs="宋体"/>
          <w:highlight w:val="none"/>
        </w:rPr>
        <w:t>致： （采购人名称）：</w:t>
      </w:r>
    </w:p>
    <w:p>
      <w:pPr>
        <w:adjustRightInd w:val="0"/>
        <w:snapToGrid w:val="0"/>
        <w:spacing w:line="396" w:lineRule="auto"/>
        <w:ind w:firstLine="480" w:firstLineChars="200"/>
        <w:rPr>
          <w:rFonts w:cs="宋体"/>
          <w:highlight w:val="none"/>
        </w:rPr>
      </w:pPr>
      <w:r>
        <w:rPr>
          <w:rFonts w:hint="eastAsia" w:cs="宋体"/>
          <w:kern w:val="0"/>
          <w:highlight w:val="none"/>
        </w:rPr>
        <w:t>（一）我</w:t>
      </w:r>
      <w:r>
        <w:rPr>
          <w:rFonts w:hint="eastAsia" w:cs="宋体"/>
          <w:spacing w:val="-2"/>
          <w:kern w:val="0"/>
          <w:highlight w:val="none"/>
        </w:rPr>
        <w:t>方</w:t>
      </w:r>
      <w:r>
        <w:rPr>
          <w:rFonts w:hint="eastAsia" w:cs="宋体"/>
          <w:kern w:val="0"/>
          <w:highlight w:val="none"/>
        </w:rPr>
        <w:t>已</w:t>
      </w:r>
      <w:r>
        <w:rPr>
          <w:rFonts w:hint="eastAsia" w:cs="宋体"/>
          <w:spacing w:val="-2"/>
          <w:kern w:val="0"/>
          <w:highlight w:val="none"/>
        </w:rPr>
        <w:t>仔</w:t>
      </w:r>
      <w:r>
        <w:rPr>
          <w:rFonts w:hint="eastAsia" w:cs="宋体"/>
          <w:kern w:val="0"/>
          <w:highlight w:val="none"/>
        </w:rPr>
        <w:t>细</w:t>
      </w:r>
      <w:r>
        <w:rPr>
          <w:rFonts w:hint="eastAsia" w:cs="宋体"/>
          <w:spacing w:val="-2"/>
          <w:kern w:val="0"/>
          <w:highlight w:val="none"/>
        </w:rPr>
        <w:t>研</w:t>
      </w:r>
      <w:r>
        <w:rPr>
          <w:rFonts w:hint="eastAsia" w:cs="宋体"/>
          <w:kern w:val="0"/>
          <w:highlight w:val="none"/>
        </w:rPr>
        <w:t>究了</w:t>
      </w:r>
      <w:r>
        <w:rPr>
          <w:rFonts w:hint="eastAsia" w:cs="宋体"/>
          <w:highlight w:val="none"/>
        </w:rPr>
        <w:t>（项目名称）招标文件的全部内容，愿意以人民币（大写）</w:t>
      </w:r>
      <w:r>
        <w:rPr>
          <w:rFonts w:hint="eastAsia" w:cs="宋体"/>
          <w:highlight w:val="none"/>
          <w:u w:val="single"/>
        </w:rPr>
        <w:t xml:space="preserve">             /年</w:t>
      </w:r>
      <w:r>
        <w:rPr>
          <w:rFonts w:hint="eastAsia" w:cs="宋体"/>
          <w:highlight w:val="none"/>
        </w:rPr>
        <w:t>（¥：</w:t>
      </w:r>
      <w:r>
        <w:rPr>
          <w:rFonts w:hint="eastAsia" w:cs="宋体"/>
          <w:highlight w:val="none"/>
          <w:u w:val="single"/>
        </w:rPr>
        <w:t xml:space="preserve">         /年</w:t>
      </w:r>
      <w:r>
        <w:rPr>
          <w:rFonts w:hint="eastAsia" w:cs="宋体"/>
          <w:highlight w:val="none"/>
        </w:rPr>
        <w:t>）的投标总报价，服务期限：，项目负责人： ，按合同约定完成服务。</w:t>
      </w:r>
    </w:p>
    <w:p>
      <w:pPr>
        <w:adjustRightInd w:val="0"/>
        <w:snapToGrid w:val="0"/>
        <w:spacing w:line="396" w:lineRule="auto"/>
        <w:ind w:firstLine="480" w:firstLineChars="200"/>
        <w:rPr>
          <w:rFonts w:cs="宋体"/>
          <w:kern w:val="0"/>
          <w:highlight w:val="none"/>
        </w:rPr>
      </w:pPr>
      <w:r>
        <w:rPr>
          <w:rFonts w:hint="eastAsia" w:cs="宋体"/>
          <w:kern w:val="0"/>
          <w:highlight w:val="none"/>
        </w:rPr>
        <w:t>（二）如果我方中标，我方保证严格按照国家相关法规、规范、标准、规程及我方制定的服务方案开展服务，确保服务质量达到，且确保在规定期限内通过你方组织的考核。</w:t>
      </w:r>
    </w:p>
    <w:p>
      <w:pPr>
        <w:adjustRightInd w:val="0"/>
        <w:snapToGrid w:val="0"/>
        <w:spacing w:line="396" w:lineRule="auto"/>
        <w:ind w:firstLine="480" w:firstLineChars="200"/>
        <w:rPr>
          <w:rFonts w:cs="宋体"/>
          <w:kern w:val="0"/>
          <w:highlight w:val="none"/>
        </w:rPr>
      </w:pPr>
      <w:r>
        <w:rPr>
          <w:rFonts w:hint="eastAsia" w:cs="宋体"/>
          <w:kern w:val="0"/>
          <w:highlight w:val="none"/>
        </w:rPr>
        <w:t>我方同意本投标函在招标文件规定的提交投标文件截止时间后，在招标文件规定的投标有效期期满前对我方具有约束力，且随时准备接受你方发出的中标通知书。</w:t>
      </w:r>
    </w:p>
    <w:p>
      <w:pPr>
        <w:adjustRightInd w:val="0"/>
        <w:snapToGrid w:val="0"/>
        <w:spacing w:line="396" w:lineRule="auto"/>
        <w:ind w:firstLine="480" w:firstLineChars="200"/>
        <w:rPr>
          <w:rFonts w:cs="宋体"/>
          <w:kern w:val="0"/>
          <w:highlight w:val="none"/>
        </w:rPr>
      </w:pPr>
      <w:r>
        <w:rPr>
          <w:rFonts w:hint="eastAsia" w:cs="宋体"/>
          <w:kern w:val="0"/>
          <w:highlight w:val="none"/>
        </w:rPr>
        <w:t xml:space="preserve">（三）投标内容（服务内容）为。   </w:t>
      </w:r>
    </w:p>
    <w:p>
      <w:pPr>
        <w:adjustRightInd w:val="0"/>
        <w:snapToGrid w:val="0"/>
        <w:spacing w:line="396" w:lineRule="auto"/>
        <w:ind w:firstLine="480" w:firstLineChars="200"/>
        <w:rPr>
          <w:rFonts w:cs="宋体"/>
          <w:kern w:val="0"/>
          <w:highlight w:val="none"/>
        </w:rPr>
      </w:pPr>
      <w:r>
        <w:rPr>
          <w:rFonts w:hint="eastAsia" w:cs="宋体"/>
          <w:kern w:val="0"/>
          <w:highlight w:val="none"/>
        </w:rPr>
        <w:t xml:space="preserve">（四）投标有效期为 </w:t>
      </w:r>
      <w:r>
        <w:rPr>
          <w:rFonts w:hint="eastAsia" w:cs="宋体"/>
          <w:kern w:val="0"/>
          <w:highlight w:val="none"/>
          <w:u w:val="single"/>
        </w:rPr>
        <w:t xml:space="preserve">  90  </w:t>
      </w:r>
      <w:r>
        <w:rPr>
          <w:rFonts w:hint="eastAsia" w:cs="宋体"/>
          <w:kern w:val="0"/>
          <w:highlight w:val="none"/>
        </w:rPr>
        <w:t>日历天。</w:t>
      </w:r>
    </w:p>
    <w:p>
      <w:pPr>
        <w:adjustRightInd w:val="0"/>
        <w:snapToGrid w:val="0"/>
        <w:spacing w:line="396" w:lineRule="auto"/>
        <w:ind w:firstLine="480" w:firstLineChars="200"/>
        <w:rPr>
          <w:rFonts w:cs="宋体"/>
          <w:kern w:val="0"/>
          <w:highlight w:val="none"/>
        </w:rPr>
      </w:pPr>
      <w:r>
        <w:rPr>
          <w:rFonts w:hint="eastAsia" w:cs="宋体"/>
          <w:kern w:val="0"/>
          <w:highlight w:val="none"/>
        </w:rPr>
        <w:t>在签署委托合同之前，你方的中标通知书连同本投标函，对双方具有约束力。</w:t>
      </w:r>
    </w:p>
    <w:p>
      <w:pPr>
        <w:tabs>
          <w:tab w:val="left" w:pos="540"/>
        </w:tabs>
        <w:adjustRightInd w:val="0"/>
        <w:snapToGrid w:val="0"/>
        <w:spacing w:line="396" w:lineRule="auto"/>
        <w:ind w:left="-2" w:leftChars="-1" w:firstLine="480"/>
        <w:rPr>
          <w:rFonts w:cs="宋体"/>
          <w:b/>
          <w:highlight w:val="none"/>
        </w:rPr>
      </w:pPr>
    </w:p>
    <w:p>
      <w:pPr>
        <w:tabs>
          <w:tab w:val="left" w:pos="540"/>
        </w:tabs>
        <w:adjustRightInd w:val="0"/>
        <w:snapToGrid w:val="0"/>
        <w:spacing w:line="396" w:lineRule="auto"/>
        <w:ind w:left="-2" w:leftChars="-1" w:firstLine="480"/>
        <w:rPr>
          <w:rFonts w:cs="宋体"/>
          <w:b/>
          <w:highlight w:val="none"/>
        </w:rPr>
      </w:pPr>
    </w:p>
    <w:p>
      <w:pPr>
        <w:adjustRightInd w:val="0"/>
        <w:snapToGrid w:val="0"/>
        <w:spacing w:line="396" w:lineRule="auto"/>
        <w:ind w:firstLine="480" w:firstLineChars="200"/>
        <w:rPr>
          <w:rFonts w:cs="宋体"/>
          <w:highlight w:val="none"/>
        </w:rPr>
      </w:pPr>
    </w:p>
    <w:p>
      <w:pPr>
        <w:adjustRightInd w:val="0"/>
        <w:snapToGrid w:val="0"/>
        <w:spacing w:line="396" w:lineRule="auto"/>
        <w:ind w:firstLine="480" w:firstLineChars="200"/>
        <w:rPr>
          <w:rFonts w:cs="宋体"/>
          <w:highlight w:val="none"/>
        </w:rPr>
      </w:pPr>
    </w:p>
    <w:p>
      <w:pPr>
        <w:adjustRightInd w:val="0"/>
        <w:snapToGrid w:val="0"/>
        <w:spacing w:line="396" w:lineRule="auto"/>
        <w:rPr>
          <w:rFonts w:cs="宋体"/>
          <w:kern w:val="0"/>
          <w:highlight w:val="none"/>
        </w:rPr>
      </w:pPr>
      <w:r>
        <w:rPr>
          <w:rFonts w:hint="eastAsia" w:cs="宋体"/>
          <w:kern w:val="0"/>
          <w:highlight w:val="none"/>
        </w:rPr>
        <w:t>供应商名称（公章）：</w:t>
      </w:r>
    </w:p>
    <w:p>
      <w:pPr>
        <w:adjustRightInd w:val="0"/>
        <w:snapToGrid w:val="0"/>
        <w:spacing w:line="396" w:lineRule="auto"/>
        <w:rPr>
          <w:rFonts w:cs="宋体"/>
          <w:kern w:val="0"/>
          <w:highlight w:val="none"/>
          <w:u w:val="single"/>
        </w:rPr>
      </w:pPr>
      <w:r>
        <w:rPr>
          <w:rFonts w:hint="eastAsia" w:cs="宋体"/>
          <w:kern w:val="0"/>
          <w:highlight w:val="none"/>
        </w:rPr>
        <w:t>法定代表人（签字或盖章）或</w:t>
      </w:r>
      <w:r>
        <w:rPr>
          <w:rFonts w:hint="eastAsia" w:cs="宋体"/>
          <w:highlight w:val="none"/>
        </w:rPr>
        <w:t>授权委托人</w:t>
      </w:r>
      <w:r>
        <w:rPr>
          <w:rFonts w:hint="eastAsia" w:cs="宋体"/>
          <w:kern w:val="0"/>
          <w:highlight w:val="none"/>
        </w:rPr>
        <w:t>（签字）：</w:t>
      </w:r>
    </w:p>
    <w:p>
      <w:pPr>
        <w:snapToGrid w:val="0"/>
        <w:spacing w:line="396" w:lineRule="auto"/>
        <w:rPr>
          <w:rFonts w:cs="宋体"/>
          <w:b/>
          <w:bCs/>
          <w:highlight w:val="none"/>
        </w:rPr>
      </w:pPr>
      <w:r>
        <w:rPr>
          <w:rFonts w:hint="eastAsia" w:cs="宋体"/>
          <w:highlight w:val="none"/>
        </w:rPr>
        <w:t>日期：年月</w:t>
      </w:r>
      <w:r>
        <w:rPr>
          <w:rFonts w:hint="eastAsia" w:cs="宋体"/>
          <w:kern w:val="0"/>
          <w:highlight w:val="none"/>
        </w:rPr>
        <w:t>日</w:t>
      </w:r>
    </w:p>
    <w:p>
      <w:pPr>
        <w:snapToGrid w:val="0"/>
        <w:spacing w:line="360" w:lineRule="auto"/>
        <w:ind w:firstLine="562" w:firstLineChars="200"/>
        <w:jc w:val="center"/>
        <w:rPr>
          <w:rFonts w:cs="宋体"/>
          <w:b/>
          <w:sz w:val="28"/>
          <w:szCs w:val="28"/>
          <w:highlight w:val="none"/>
        </w:rPr>
      </w:pPr>
      <w:r>
        <w:rPr>
          <w:rFonts w:hint="eastAsia" w:cs="宋体"/>
          <w:b/>
          <w:sz w:val="28"/>
          <w:szCs w:val="28"/>
          <w:highlight w:val="none"/>
        </w:rPr>
        <w:br w:type="page"/>
      </w:r>
      <w:bookmarkStart w:id="144" w:name="_Toc28433"/>
      <w:bookmarkStart w:id="145" w:name="_Toc20945"/>
      <w:bookmarkStart w:id="146" w:name="_Toc13953"/>
      <w:r>
        <w:rPr>
          <w:rFonts w:hint="eastAsia" w:cs="宋体"/>
          <w:b/>
          <w:sz w:val="28"/>
          <w:szCs w:val="28"/>
          <w:highlight w:val="none"/>
        </w:rPr>
        <w:t>二、开标一览表</w:t>
      </w:r>
      <w:bookmarkEnd w:id="144"/>
      <w:bookmarkEnd w:id="145"/>
      <w:bookmarkEnd w:id="146"/>
    </w:p>
    <w:p>
      <w:pPr>
        <w:spacing w:line="360" w:lineRule="auto"/>
        <w:rPr>
          <w:rFonts w:cs="宋体"/>
          <w:highlight w:val="none"/>
        </w:rPr>
      </w:pPr>
    </w:p>
    <w:p>
      <w:pPr>
        <w:spacing w:line="360" w:lineRule="auto"/>
        <w:ind w:right="-235" w:rightChars="-98"/>
        <w:rPr>
          <w:rFonts w:cs="宋体"/>
          <w:highlight w:val="none"/>
        </w:rPr>
      </w:pPr>
      <w:r>
        <w:rPr>
          <w:rFonts w:hint="eastAsia" w:cs="宋体"/>
          <w:highlight w:val="none"/>
        </w:rPr>
        <w:t>项目编号：</w:t>
      </w:r>
    </w:p>
    <w:p>
      <w:pPr>
        <w:spacing w:line="360" w:lineRule="auto"/>
        <w:ind w:right="-235" w:rightChars="-98"/>
        <w:rPr>
          <w:rFonts w:cs="宋体"/>
          <w:highlight w:val="none"/>
        </w:rPr>
      </w:pPr>
      <w:r>
        <w:rPr>
          <w:rFonts w:hint="eastAsia" w:cs="宋体"/>
          <w:highlight w:val="none"/>
        </w:rPr>
        <w:t>项目名称：</w:t>
      </w:r>
    </w:p>
    <w:tbl>
      <w:tblPr>
        <w:tblStyle w:val="20"/>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29"/>
        <w:gridCol w:w="6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1626" w:type="pct"/>
            <w:shd w:val="clear" w:color="auto" w:fill="auto"/>
            <w:noWrap/>
            <w:vAlign w:val="center"/>
          </w:tcPr>
          <w:p>
            <w:pPr>
              <w:adjustRightInd w:val="0"/>
              <w:snapToGrid w:val="0"/>
              <w:spacing w:line="360" w:lineRule="auto"/>
              <w:jc w:val="center"/>
              <w:rPr>
                <w:rFonts w:cs="宋体"/>
                <w:highlight w:val="none"/>
              </w:rPr>
            </w:pPr>
            <w:r>
              <w:rPr>
                <w:rFonts w:hint="eastAsia" w:cs="宋体"/>
                <w:highlight w:val="none"/>
              </w:rPr>
              <w:t>供应商名称</w:t>
            </w:r>
          </w:p>
        </w:tc>
        <w:tc>
          <w:tcPr>
            <w:tcW w:w="3373" w:type="pct"/>
            <w:shd w:val="clear" w:color="auto" w:fill="FFFFFF"/>
            <w:noWrap/>
            <w:vAlign w:val="center"/>
          </w:tcPr>
          <w:p>
            <w:pPr>
              <w:adjustRightInd w:val="0"/>
              <w:snapToGrid w:val="0"/>
              <w:spacing w:line="360" w:lineRule="auto"/>
              <w:jc w:val="center"/>
              <w:rPr>
                <w:rFonts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626" w:type="pct"/>
            <w:noWrap/>
            <w:vAlign w:val="center"/>
          </w:tcPr>
          <w:p>
            <w:pPr>
              <w:adjustRightInd w:val="0"/>
              <w:snapToGrid w:val="0"/>
              <w:spacing w:line="360" w:lineRule="auto"/>
              <w:jc w:val="center"/>
              <w:rPr>
                <w:rFonts w:cs="宋体"/>
                <w:highlight w:val="none"/>
              </w:rPr>
            </w:pPr>
            <w:r>
              <w:rPr>
                <w:rFonts w:hint="eastAsia" w:cs="宋体"/>
                <w:bCs/>
                <w:highlight w:val="none"/>
              </w:rPr>
              <w:t>拟派团队人员数量（人）</w:t>
            </w:r>
          </w:p>
        </w:tc>
        <w:tc>
          <w:tcPr>
            <w:tcW w:w="3373" w:type="pct"/>
            <w:noWrap/>
            <w:vAlign w:val="center"/>
          </w:tcPr>
          <w:p>
            <w:pPr>
              <w:adjustRightInd w:val="0"/>
              <w:snapToGrid w:val="0"/>
              <w:spacing w:line="360" w:lineRule="auto"/>
              <w:jc w:val="left"/>
              <w:rPr>
                <w:rFonts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1626" w:type="pct"/>
            <w:noWrap/>
            <w:vAlign w:val="center"/>
          </w:tcPr>
          <w:p>
            <w:pPr>
              <w:adjustRightInd w:val="0"/>
              <w:snapToGrid w:val="0"/>
              <w:spacing w:line="360" w:lineRule="auto"/>
              <w:jc w:val="center"/>
              <w:rPr>
                <w:rFonts w:cs="宋体"/>
                <w:highlight w:val="none"/>
              </w:rPr>
            </w:pPr>
            <w:r>
              <w:rPr>
                <w:rFonts w:hint="eastAsia" w:cs="宋体"/>
                <w:highlight w:val="none"/>
              </w:rPr>
              <w:t>服务质量</w:t>
            </w:r>
          </w:p>
        </w:tc>
        <w:tc>
          <w:tcPr>
            <w:tcW w:w="3373" w:type="pct"/>
            <w:noWrap/>
            <w:vAlign w:val="center"/>
          </w:tcPr>
          <w:p>
            <w:pPr>
              <w:adjustRightInd w:val="0"/>
              <w:snapToGrid w:val="0"/>
              <w:spacing w:line="360" w:lineRule="auto"/>
              <w:jc w:val="left"/>
              <w:rPr>
                <w:rFonts w:cs="宋体"/>
                <w:highlight w:val="none"/>
              </w:rPr>
            </w:pPr>
            <w:r>
              <w:rPr>
                <w:rFonts w:hint="eastAsia" w:cs="宋体"/>
                <w:highlight w:val="none"/>
              </w:rPr>
              <w:t>合格，符合采购人要求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1626" w:type="pct"/>
            <w:noWrap/>
            <w:vAlign w:val="center"/>
          </w:tcPr>
          <w:p>
            <w:pPr>
              <w:adjustRightInd w:val="0"/>
              <w:snapToGrid w:val="0"/>
              <w:spacing w:line="360" w:lineRule="auto"/>
              <w:jc w:val="center"/>
              <w:rPr>
                <w:rFonts w:cs="宋体"/>
                <w:highlight w:val="none"/>
              </w:rPr>
            </w:pPr>
            <w:r>
              <w:rPr>
                <w:rFonts w:hint="eastAsia" w:cs="宋体"/>
                <w:highlight w:val="none"/>
              </w:rPr>
              <w:t>服务期限</w:t>
            </w:r>
          </w:p>
        </w:tc>
        <w:tc>
          <w:tcPr>
            <w:tcW w:w="3373" w:type="pct"/>
            <w:noWrap/>
            <w:vAlign w:val="center"/>
          </w:tcPr>
          <w:p>
            <w:pPr>
              <w:adjustRightInd w:val="0"/>
              <w:snapToGrid w:val="0"/>
              <w:spacing w:line="360" w:lineRule="auto"/>
              <w:jc w:val="left"/>
              <w:rPr>
                <w:rFonts w:cs="宋体"/>
                <w:highlight w:val="none"/>
              </w:rPr>
            </w:pPr>
            <w:r>
              <w:rPr>
                <w:rFonts w:hint="eastAsia" w:cs="宋体"/>
                <w:highlight w:val="none"/>
              </w:rPr>
              <w:t>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1626" w:type="pct"/>
            <w:vMerge w:val="restart"/>
            <w:noWrap/>
            <w:vAlign w:val="center"/>
          </w:tcPr>
          <w:p>
            <w:pPr>
              <w:adjustRightInd w:val="0"/>
              <w:snapToGrid w:val="0"/>
              <w:spacing w:line="360" w:lineRule="auto"/>
              <w:jc w:val="center"/>
              <w:rPr>
                <w:rFonts w:cs="宋体"/>
                <w:highlight w:val="none"/>
              </w:rPr>
            </w:pPr>
            <w:r>
              <w:rPr>
                <w:rFonts w:hint="eastAsia" w:cs="宋体"/>
                <w:highlight w:val="none"/>
              </w:rPr>
              <w:t>投标报价</w:t>
            </w:r>
          </w:p>
        </w:tc>
        <w:tc>
          <w:tcPr>
            <w:tcW w:w="3373" w:type="pct"/>
            <w:noWrap/>
            <w:vAlign w:val="center"/>
          </w:tcPr>
          <w:p>
            <w:pPr>
              <w:adjustRightInd w:val="0"/>
              <w:snapToGrid w:val="0"/>
              <w:spacing w:line="360" w:lineRule="auto"/>
              <w:jc w:val="left"/>
              <w:rPr>
                <w:rFonts w:cs="宋体"/>
                <w:highlight w:val="none"/>
              </w:rPr>
            </w:pPr>
            <w:r>
              <w:rPr>
                <w:rFonts w:hint="eastAsia" w:cs="宋体"/>
                <w:highlight w:val="none"/>
              </w:rPr>
              <w:t>小写（元/年）：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jc w:val="center"/>
        </w:trPr>
        <w:tc>
          <w:tcPr>
            <w:tcW w:w="1626" w:type="pct"/>
            <w:vMerge w:val="continue"/>
            <w:noWrap/>
            <w:vAlign w:val="center"/>
          </w:tcPr>
          <w:p>
            <w:pPr>
              <w:adjustRightInd w:val="0"/>
              <w:snapToGrid w:val="0"/>
              <w:spacing w:line="360" w:lineRule="auto"/>
              <w:jc w:val="center"/>
              <w:rPr>
                <w:rFonts w:cs="宋体"/>
                <w:highlight w:val="none"/>
              </w:rPr>
            </w:pPr>
          </w:p>
        </w:tc>
        <w:tc>
          <w:tcPr>
            <w:tcW w:w="3373" w:type="pct"/>
            <w:noWrap/>
            <w:vAlign w:val="center"/>
          </w:tcPr>
          <w:p>
            <w:pPr>
              <w:adjustRightInd w:val="0"/>
              <w:snapToGrid w:val="0"/>
              <w:spacing w:line="360" w:lineRule="auto"/>
              <w:jc w:val="left"/>
              <w:rPr>
                <w:rFonts w:cs="宋体"/>
                <w:highlight w:val="none"/>
              </w:rPr>
            </w:pPr>
            <w:r>
              <w:rPr>
                <w:rFonts w:hint="eastAsia" w:cs="宋体"/>
                <w:highlight w:val="none"/>
              </w:rPr>
              <w:t>大写（元/年）：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jc w:val="center"/>
        </w:trPr>
        <w:tc>
          <w:tcPr>
            <w:tcW w:w="1626" w:type="pct"/>
            <w:noWrap/>
            <w:vAlign w:val="center"/>
          </w:tcPr>
          <w:p>
            <w:pPr>
              <w:adjustRightInd w:val="0"/>
              <w:snapToGrid w:val="0"/>
              <w:spacing w:line="360" w:lineRule="auto"/>
              <w:jc w:val="center"/>
              <w:rPr>
                <w:rFonts w:cs="宋体"/>
                <w:highlight w:val="none"/>
              </w:rPr>
            </w:pPr>
            <w:r>
              <w:rPr>
                <w:rFonts w:hint="eastAsia" w:cs="宋体"/>
                <w:highlight w:val="none"/>
              </w:rPr>
              <w:t>项目负责人</w:t>
            </w:r>
          </w:p>
        </w:tc>
        <w:tc>
          <w:tcPr>
            <w:tcW w:w="3373" w:type="pct"/>
            <w:noWrap/>
            <w:vAlign w:val="center"/>
          </w:tcPr>
          <w:p>
            <w:pPr>
              <w:adjustRightInd w:val="0"/>
              <w:snapToGrid w:val="0"/>
              <w:spacing w:line="360" w:lineRule="auto"/>
              <w:jc w:val="left"/>
              <w:rPr>
                <w:rFonts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1626" w:type="pct"/>
            <w:noWrap/>
            <w:vAlign w:val="center"/>
          </w:tcPr>
          <w:p>
            <w:pPr>
              <w:autoSpaceDE w:val="0"/>
              <w:autoSpaceDN w:val="0"/>
              <w:adjustRightInd w:val="0"/>
              <w:spacing w:line="360" w:lineRule="auto"/>
              <w:jc w:val="center"/>
              <w:rPr>
                <w:rFonts w:cs="宋体"/>
                <w:szCs w:val="22"/>
                <w:highlight w:val="none"/>
              </w:rPr>
            </w:pPr>
            <w:r>
              <w:rPr>
                <w:rFonts w:hint="eastAsia" w:cs="宋体"/>
                <w:b/>
                <w:bCs/>
                <w:color w:val="0000FF"/>
                <w:highlight w:val="none"/>
              </w:rPr>
              <w:t>小微企业声明</w:t>
            </w:r>
          </w:p>
        </w:tc>
        <w:tc>
          <w:tcPr>
            <w:tcW w:w="3373" w:type="pct"/>
            <w:noWrap/>
            <w:vAlign w:val="center"/>
          </w:tcPr>
          <w:p>
            <w:pPr>
              <w:spacing w:line="360" w:lineRule="auto"/>
              <w:jc w:val="center"/>
              <w:rPr>
                <w:rFonts w:cs="宋体"/>
                <w:szCs w:val="22"/>
                <w:highlight w:val="none"/>
              </w:rPr>
            </w:pPr>
            <w:r>
              <w:rPr>
                <w:rFonts w:hint="eastAsia" w:cs="宋体"/>
                <w:color w:val="0000FF"/>
                <w:highlight w:val="none"/>
              </w:rPr>
              <w:t>本公司为______（请填写：小型、微型）企业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1626" w:type="pct"/>
            <w:noWrap/>
            <w:vAlign w:val="center"/>
          </w:tcPr>
          <w:p>
            <w:pPr>
              <w:adjustRightInd w:val="0"/>
              <w:snapToGrid w:val="0"/>
              <w:spacing w:line="360" w:lineRule="auto"/>
              <w:jc w:val="center"/>
              <w:rPr>
                <w:rFonts w:cs="宋体"/>
                <w:highlight w:val="none"/>
              </w:rPr>
            </w:pPr>
            <w:r>
              <w:rPr>
                <w:rFonts w:hint="eastAsia" w:cs="宋体"/>
                <w:highlight w:val="none"/>
              </w:rPr>
              <w:t>备注</w:t>
            </w:r>
          </w:p>
        </w:tc>
        <w:tc>
          <w:tcPr>
            <w:tcW w:w="3373" w:type="pct"/>
            <w:noWrap/>
            <w:vAlign w:val="center"/>
          </w:tcPr>
          <w:p>
            <w:pPr>
              <w:adjustRightInd w:val="0"/>
              <w:snapToGrid w:val="0"/>
              <w:spacing w:line="360" w:lineRule="auto"/>
              <w:jc w:val="left"/>
              <w:rPr>
                <w:rFonts w:cs="宋体"/>
                <w:highlight w:val="none"/>
              </w:rPr>
            </w:pPr>
          </w:p>
        </w:tc>
      </w:tr>
    </w:tbl>
    <w:p>
      <w:pPr>
        <w:adjustRightInd w:val="0"/>
        <w:snapToGrid w:val="0"/>
        <w:spacing w:line="540" w:lineRule="exact"/>
        <w:rPr>
          <w:rFonts w:cs="宋体"/>
          <w:highlight w:val="none"/>
        </w:rPr>
      </w:pPr>
      <w:r>
        <w:rPr>
          <w:rFonts w:hint="eastAsia" w:cs="宋体"/>
          <w:highlight w:val="none"/>
        </w:rPr>
        <w:t>说明：</w:t>
      </w:r>
    </w:p>
    <w:p>
      <w:pPr>
        <w:adjustRightInd w:val="0"/>
        <w:snapToGrid w:val="0"/>
        <w:spacing w:line="360" w:lineRule="auto"/>
        <w:jc w:val="left"/>
        <w:rPr>
          <w:rFonts w:cs="宋体"/>
          <w:highlight w:val="none"/>
        </w:rPr>
      </w:pPr>
      <w:r>
        <w:rPr>
          <w:rFonts w:hint="eastAsia" w:cs="宋体"/>
          <w:highlight w:val="none"/>
        </w:rPr>
        <w:t>（1）此表除保留在投标文件中外，另附</w:t>
      </w:r>
      <w:r>
        <w:rPr>
          <w:rFonts w:hint="eastAsia" w:cs="宋体"/>
          <w:b/>
          <w:highlight w:val="none"/>
        </w:rPr>
        <w:t>两份</w:t>
      </w:r>
      <w:r>
        <w:rPr>
          <w:rFonts w:hint="eastAsia" w:cs="宋体"/>
          <w:highlight w:val="none"/>
        </w:rPr>
        <w:t>与</w:t>
      </w:r>
      <w:r>
        <w:rPr>
          <w:rFonts w:hint="eastAsia" w:cs="宋体"/>
          <w:color w:val="FF0000"/>
          <w:highlight w:val="none"/>
        </w:rPr>
        <w:t>优惠声明（如果有）</w:t>
      </w:r>
      <w:r>
        <w:rPr>
          <w:rFonts w:hint="eastAsia" w:cs="宋体"/>
          <w:highlight w:val="none"/>
        </w:rPr>
        <w:t>一起封装在一个小信封中，作为开标之用。信封上应作如下标记 “（项目名称）开标一览表、采购人名称、供应商名称、在年月日时分前不得开启”。信封骑缝处加盖单位公章，法定代表人或授权委托人印鉴。</w:t>
      </w:r>
    </w:p>
    <w:p>
      <w:pPr>
        <w:adjustRightInd w:val="0"/>
        <w:snapToGrid w:val="0"/>
        <w:spacing w:line="360" w:lineRule="auto"/>
        <w:jc w:val="left"/>
        <w:rPr>
          <w:rFonts w:cs="宋体"/>
          <w:highlight w:val="none"/>
        </w:rPr>
      </w:pPr>
      <w:r>
        <w:rPr>
          <w:rFonts w:hint="eastAsia" w:cs="宋体"/>
          <w:highlight w:val="none"/>
        </w:rPr>
        <w:t>（2）如果以文字表示的数值与以数字表示的数值不一致，以文字为准修正数字。</w:t>
      </w:r>
    </w:p>
    <w:p>
      <w:pPr>
        <w:adjustRightInd w:val="0"/>
        <w:snapToGrid w:val="0"/>
        <w:spacing w:line="360" w:lineRule="auto"/>
        <w:jc w:val="left"/>
        <w:rPr>
          <w:rFonts w:cs="宋体"/>
          <w:highlight w:val="none"/>
        </w:rPr>
      </w:pPr>
      <w:r>
        <w:rPr>
          <w:rFonts w:hint="eastAsia" w:cs="宋体"/>
          <w:highlight w:val="none"/>
        </w:rPr>
        <w:t>（3）投标总报价用</w:t>
      </w:r>
      <w:r>
        <w:rPr>
          <w:rFonts w:hint="eastAsia" w:cs="宋体"/>
          <w:b/>
          <w:bCs/>
          <w:highlight w:val="none"/>
        </w:rPr>
        <w:t>人民币表示</w:t>
      </w:r>
      <w:r>
        <w:rPr>
          <w:rFonts w:hint="eastAsia" w:cs="宋体"/>
          <w:highlight w:val="none"/>
        </w:rPr>
        <w:t>，单位为“元”。</w:t>
      </w:r>
    </w:p>
    <w:p>
      <w:pPr>
        <w:spacing w:line="360" w:lineRule="auto"/>
        <w:rPr>
          <w:rFonts w:cs="宋体"/>
          <w:spacing w:val="-8"/>
          <w:highlight w:val="none"/>
        </w:rPr>
      </w:pPr>
      <w:r>
        <w:rPr>
          <w:rFonts w:hint="eastAsia" w:cs="宋体"/>
          <w:spacing w:val="-8"/>
          <w:highlight w:val="none"/>
        </w:rPr>
        <w:t>（4）如符合政府采购相关政策，请按照投标文件的格式提供相关证明材料；</w:t>
      </w:r>
    </w:p>
    <w:p>
      <w:pPr>
        <w:adjustRightInd w:val="0"/>
        <w:snapToGrid w:val="0"/>
        <w:spacing w:line="360" w:lineRule="auto"/>
        <w:rPr>
          <w:rFonts w:cs="宋体"/>
          <w:kern w:val="0"/>
          <w:highlight w:val="none"/>
        </w:rPr>
      </w:pPr>
    </w:p>
    <w:p>
      <w:pPr>
        <w:adjustRightInd w:val="0"/>
        <w:snapToGrid w:val="0"/>
        <w:spacing w:line="360" w:lineRule="auto"/>
        <w:rPr>
          <w:rFonts w:cs="宋体"/>
          <w:kern w:val="0"/>
          <w:highlight w:val="none"/>
        </w:rPr>
      </w:pPr>
      <w:r>
        <w:rPr>
          <w:rFonts w:hint="eastAsia" w:cs="宋体"/>
          <w:kern w:val="0"/>
          <w:highlight w:val="none"/>
        </w:rPr>
        <w:t>供应商名称（公章）：</w:t>
      </w:r>
    </w:p>
    <w:p>
      <w:pPr>
        <w:adjustRightInd w:val="0"/>
        <w:snapToGrid w:val="0"/>
        <w:spacing w:line="360" w:lineRule="auto"/>
        <w:rPr>
          <w:rFonts w:cs="宋体"/>
          <w:kern w:val="0"/>
          <w:highlight w:val="none"/>
          <w:u w:val="single"/>
        </w:rPr>
      </w:pPr>
      <w:r>
        <w:rPr>
          <w:rFonts w:hint="eastAsia" w:cs="宋体"/>
          <w:kern w:val="0"/>
          <w:highlight w:val="none"/>
        </w:rPr>
        <w:t>法定代表人（签字或盖章）或</w:t>
      </w:r>
      <w:r>
        <w:rPr>
          <w:rFonts w:hint="eastAsia" w:cs="宋体"/>
          <w:highlight w:val="none"/>
        </w:rPr>
        <w:t>授权委托人</w:t>
      </w:r>
      <w:r>
        <w:rPr>
          <w:rFonts w:hint="eastAsia" w:cs="宋体"/>
          <w:kern w:val="0"/>
          <w:highlight w:val="none"/>
        </w:rPr>
        <w:t>（签字）：</w:t>
      </w:r>
    </w:p>
    <w:p>
      <w:pPr>
        <w:spacing w:line="360" w:lineRule="auto"/>
        <w:rPr>
          <w:rFonts w:cs="宋体"/>
          <w:b/>
          <w:bCs/>
          <w:highlight w:val="none"/>
        </w:rPr>
      </w:pPr>
      <w:r>
        <w:rPr>
          <w:rFonts w:hint="eastAsia" w:cs="宋体"/>
          <w:highlight w:val="none"/>
        </w:rPr>
        <w:t>日期：年月</w:t>
      </w:r>
      <w:r>
        <w:rPr>
          <w:rFonts w:hint="eastAsia" w:cs="宋体"/>
          <w:kern w:val="0"/>
          <w:highlight w:val="none"/>
        </w:rPr>
        <w:t>日</w:t>
      </w:r>
    </w:p>
    <w:p>
      <w:pPr>
        <w:adjustRightInd w:val="0"/>
        <w:snapToGrid w:val="0"/>
        <w:ind w:firstLine="562" w:firstLineChars="200"/>
        <w:jc w:val="center"/>
        <w:outlineLvl w:val="0"/>
        <w:rPr>
          <w:rFonts w:cs="宋体"/>
          <w:b/>
          <w:sz w:val="28"/>
          <w:szCs w:val="28"/>
          <w:highlight w:val="none"/>
        </w:rPr>
        <w:sectPr>
          <w:headerReference r:id="rId12" w:type="default"/>
          <w:footerReference r:id="rId13" w:type="default"/>
          <w:pgSz w:w="11906" w:h="16838"/>
          <w:pgMar w:top="1247" w:right="1247" w:bottom="1247" w:left="1247" w:header="850" w:footer="850" w:gutter="0"/>
          <w:cols w:space="425" w:num="1"/>
          <w:docGrid w:type="lines" w:linePitch="312" w:charSpace="0"/>
        </w:sectPr>
      </w:pPr>
      <w:bookmarkStart w:id="147" w:name="_Toc6799"/>
      <w:bookmarkStart w:id="148" w:name="_Toc438"/>
      <w:bookmarkStart w:id="149" w:name="_Toc8370"/>
      <w:bookmarkStart w:id="150" w:name="_Toc21828"/>
      <w:bookmarkStart w:id="151" w:name="_Toc25853"/>
    </w:p>
    <w:p>
      <w:pPr>
        <w:snapToGrid w:val="0"/>
        <w:spacing w:line="360" w:lineRule="auto"/>
        <w:ind w:firstLine="562" w:firstLineChars="200"/>
        <w:jc w:val="center"/>
        <w:rPr>
          <w:rFonts w:cs="宋体"/>
          <w:b/>
          <w:sz w:val="28"/>
          <w:szCs w:val="28"/>
          <w:highlight w:val="none"/>
        </w:rPr>
      </w:pPr>
      <w:r>
        <w:rPr>
          <w:rFonts w:hint="eastAsia" w:cs="宋体"/>
          <w:b/>
          <w:sz w:val="28"/>
          <w:szCs w:val="28"/>
          <w:highlight w:val="none"/>
        </w:rPr>
        <w:t>三、投标分项报价明细表</w:t>
      </w:r>
      <w:bookmarkEnd w:id="147"/>
      <w:bookmarkEnd w:id="148"/>
      <w:bookmarkEnd w:id="149"/>
      <w:bookmarkEnd w:id="150"/>
      <w:bookmarkEnd w:id="151"/>
    </w:p>
    <w:tbl>
      <w:tblPr>
        <w:tblStyle w:val="35"/>
        <w:tblW w:w="95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9"/>
        <w:gridCol w:w="1729"/>
        <w:gridCol w:w="1630"/>
        <w:gridCol w:w="1665"/>
        <w:gridCol w:w="1618"/>
        <w:gridCol w:w="1485"/>
        <w:gridCol w:w="8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5" w:hRule="atLeast"/>
        </w:trPr>
        <w:tc>
          <w:tcPr>
            <w:tcW w:w="64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b/>
                <w:bCs/>
                <w:highlight w:val="none"/>
              </w:rPr>
            </w:pPr>
            <w:r>
              <w:rPr>
                <w:rFonts w:hint="eastAsia" w:cs="宋体"/>
                <w:b/>
                <w:bCs/>
                <w:highlight w:val="none"/>
              </w:rPr>
              <w:t>序号</w:t>
            </w:r>
          </w:p>
        </w:tc>
        <w:tc>
          <w:tcPr>
            <w:tcW w:w="1729" w:type="dxa"/>
            <w:tcBorders>
              <w:top w:val="single" w:color="auto" w:sz="4" w:space="0"/>
              <w:left w:val="single" w:color="auto" w:sz="4" w:space="0"/>
              <w:right w:val="single" w:color="auto" w:sz="4" w:space="0"/>
            </w:tcBorders>
            <w:vAlign w:val="center"/>
          </w:tcPr>
          <w:p>
            <w:pPr>
              <w:spacing w:line="360" w:lineRule="auto"/>
              <w:jc w:val="center"/>
              <w:rPr>
                <w:rFonts w:cs="宋体"/>
                <w:b/>
                <w:bCs/>
                <w:highlight w:val="none"/>
              </w:rPr>
            </w:pPr>
            <w:r>
              <w:rPr>
                <w:rFonts w:hint="eastAsia" w:cs="宋体"/>
                <w:b/>
                <w:bCs/>
                <w:highlight w:val="none"/>
              </w:rPr>
              <w:t>项目名称</w:t>
            </w:r>
          </w:p>
        </w:tc>
        <w:tc>
          <w:tcPr>
            <w:tcW w:w="1630" w:type="dxa"/>
            <w:tcBorders>
              <w:left w:val="single" w:color="auto" w:sz="4" w:space="0"/>
            </w:tcBorders>
            <w:vAlign w:val="center"/>
          </w:tcPr>
          <w:p>
            <w:pPr>
              <w:spacing w:line="360" w:lineRule="auto"/>
              <w:jc w:val="center"/>
              <w:rPr>
                <w:rFonts w:cs="宋体"/>
                <w:b/>
                <w:bCs/>
                <w:highlight w:val="none"/>
              </w:rPr>
            </w:pPr>
            <w:r>
              <w:rPr>
                <w:rFonts w:hint="eastAsia" w:cs="宋体"/>
                <w:b/>
                <w:bCs/>
                <w:highlight w:val="none"/>
              </w:rPr>
              <w:t>服务内容描述</w:t>
            </w:r>
          </w:p>
        </w:tc>
        <w:tc>
          <w:tcPr>
            <w:tcW w:w="1665" w:type="dxa"/>
            <w:vAlign w:val="center"/>
          </w:tcPr>
          <w:p>
            <w:pPr>
              <w:spacing w:before="76" w:line="295" w:lineRule="auto"/>
              <w:ind w:right="262" w:firstLine="249" w:firstLineChars="100"/>
              <w:jc w:val="center"/>
              <w:rPr>
                <w:rFonts w:cs="宋体"/>
                <w:b/>
                <w:bCs/>
                <w:spacing w:val="4"/>
                <w:highlight w:val="none"/>
              </w:rPr>
            </w:pPr>
            <w:r>
              <w:rPr>
                <w:rFonts w:hint="eastAsia" w:cs="宋体"/>
                <w:b/>
                <w:bCs/>
                <w:spacing w:val="4"/>
                <w:highlight w:val="none"/>
              </w:rPr>
              <w:t>工作量</w:t>
            </w:r>
          </w:p>
          <w:p>
            <w:pPr>
              <w:spacing w:line="360" w:lineRule="auto"/>
              <w:jc w:val="center"/>
              <w:rPr>
                <w:rFonts w:cs="宋体"/>
                <w:b/>
                <w:bCs/>
                <w:highlight w:val="none"/>
              </w:rPr>
            </w:pPr>
            <w:r>
              <w:rPr>
                <w:rFonts w:hint="eastAsia" w:cs="宋体"/>
                <w:b/>
                <w:bCs/>
                <w:highlight w:val="none"/>
              </w:rPr>
              <w:t>（人/月）</w:t>
            </w:r>
          </w:p>
        </w:tc>
        <w:tc>
          <w:tcPr>
            <w:tcW w:w="1618" w:type="dxa"/>
            <w:vAlign w:val="center"/>
          </w:tcPr>
          <w:p>
            <w:pPr>
              <w:spacing w:before="77" w:line="226" w:lineRule="auto"/>
              <w:jc w:val="center"/>
              <w:rPr>
                <w:rFonts w:cs="宋体"/>
                <w:b/>
                <w:bCs/>
                <w:highlight w:val="none"/>
                <w:lang w:eastAsia="en-US"/>
              </w:rPr>
            </w:pPr>
            <w:r>
              <w:rPr>
                <w:rFonts w:hint="eastAsia" w:cs="宋体"/>
                <w:b/>
                <w:bCs/>
                <w:spacing w:val="3"/>
                <w:highlight w:val="none"/>
                <w:lang w:eastAsia="en-US"/>
              </w:rPr>
              <w:t>单价</w:t>
            </w:r>
          </w:p>
          <w:p>
            <w:pPr>
              <w:spacing w:line="360" w:lineRule="auto"/>
              <w:jc w:val="center"/>
              <w:rPr>
                <w:rFonts w:cs="宋体"/>
                <w:b/>
                <w:bCs/>
                <w:highlight w:val="none"/>
              </w:rPr>
            </w:pPr>
            <w:r>
              <w:rPr>
                <w:rFonts w:hint="eastAsia" w:cs="宋体"/>
                <w:b/>
                <w:bCs/>
                <w:spacing w:val="2"/>
                <w:highlight w:val="none"/>
              </w:rPr>
              <w:t>（元/人/月）</w:t>
            </w:r>
          </w:p>
        </w:tc>
        <w:tc>
          <w:tcPr>
            <w:tcW w:w="1485" w:type="dxa"/>
            <w:vAlign w:val="center"/>
          </w:tcPr>
          <w:p>
            <w:pPr>
              <w:spacing w:before="76" w:line="295" w:lineRule="auto"/>
              <w:ind w:left="196" w:right="194" w:firstLine="101"/>
              <w:jc w:val="center"/>
              <w:rPr>
                <w:rFonts w:cs="宋体"/>
                <w:b/>
                <w:bCs/>
                <w:spacing w:val="3"/>
                <w:highlight w:val="none"/>
              </w:rPr>
            </w:pPr>
            <w:r>
              <w:rPr>
                <w:rFonts w:hint="eastAsia" w:cs="宋体"/>
                <w:b/>
                <w:bCs/>
                <w:spacing w:val="3"/>
                <w:highlight w:val="none"/>
              </w:rPr>
              <w:t>小计</w:t>
            </w:r>
          </w:p>
          <w:p>
            <w:pPr>
              <w:spacing w:line="360" w:lineRule="auto"/>
              <w:jc w:val="center"/>
              <w:rPr>
                <w:rFonts w:cs="宋体"/>
                <w:b/>
                <w:bCs/>
                <w:sz w:val="21"/>
                <w:highlight w:val="none"/>
              </w:rPr>
            </w:pPr>
            <w:r>
              <w:rPr>
                <w:rFonts w:hint="eastAsia" w:cs="宋体"/>
                <w:b/>
                <w:bCs/>
                <w:spacing w:val="3"/>
                <w:highlight w:val="none"/>
              </w:rPr>
              <w:t>（元）</w:t>
            </w:r>
          </w:p>
        </w:tc>
        <w:tc>
          <w:tcPr>
            <w:tcW w:w="800" w:type="dxa"/>
            <w:vAlign w:val="center"/>
          </w:tcPr>
          <w:p>
            <w:pPr>
              <w:spacing w:line="360" w:lineRule="auto"/>
              <w:jc w:val="center"/>
              <w:rPr>
                <w:rFonts w:cs="宋体"/>
                <w:b/>
                <w:bCs/>
                <w:sz w:val="21"/>
                <w:highlight w:val="none"/>
              </w:rPr>
            </w:pPr>
            <w:r>
              <w:rPr>
                <w:rFonts w:hint="eastAsia" w:cs="宋体"/>
                <w:b/>
                <w:bCs/>
                <w:spacing w:val="2"/>
                <w:highlight w:val="no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64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highlight w:val="none"/>
              </w:rPr>
            </w:pPr>
            <w:r>
              <w:rPr>
                <w:rFonts w:hint="eastAsia" w:cs="宋体"/>
                <w:highlight w:val="none"/>
              </w:rPr>
              <w:t>1</w:t>
            </w:r>
          </w:p>
        </w:tc>
        <w:tc>
          <w:tcPr>
            <w:tcW w:w="1729" w:type="dxa"/>
            <w:vMerge w:val="restart"/>
            <w:tcBorders>
              <w:top w:val="single" w:color="auto" w:sz="4" w:space="0"/>
              <w:left w:val="single" w:color="auto" w:sz="4" w:space="0"/>
              <w:right w:val="single" w:color="auto" w:sz="4" w:space="0"/>
            </w:tcBorders>
            <w:vAlign w:val="center"/>
          </w:tcPr>
          <w:p>
            <w:pPr>
              <w:spacing w:line="360" w:lineRule="auto"/>
              <w:jc w:val="center"/>
              <w:rPr>
                <w:rFonts w:cs="宋体"/>
                <w:highlight w:val="none"/>
              </w:rPr>
            </w:pPr>
            <w:r>
              <w:rPr>
                <w:rFonts w:hint="eastAsia" w:cs="宋体"/>
                <w:highlight w:val="none"/>
              </w:rPr>
              <w:t>国家税务总局十堰市税务局2025年度食堂餐饮服务项目</w:t>
            </w:r>
          </w:p>
        </w:tc>
        <w:tc>
          <w:tcPr>
            <w:tcW w:w="1630" w:type="dxa"/>
            <w:tcBorders>
              <w:left w:val="single" w:color="auto" w:sz="4" w:space="0"/>
            </w:tcBorders>
            <w:vAlign w:val="center"/>
          </w:tcPr>
          <w:p>
            <w:pPr>
              <w:spacing w:line="360" w:lineRule="auto"/>
              <w:jc w:val="center"/>
              <w:rPr>
                <w:rFonts w:cs="宋体"/>
                <w:highlight w:val="none"/>
              </w:rPr>
            </w:pPr>
            <w:r>
              <w:rPr>
                <w:rFonts w:hint="eastAsia" w:cs="宋体"/>
                <w:highlight w:val="none"/>
              </w:rPr>
              <w:t>红案一级</w:t>
            </w:r>
          </w:p>
        </w:tc>
        <w:tc>
          <w:tcPr>
            <w:tcW w:w="1665" w:type="dxa"/>
            <w:vAlign w:val="center"/>
          </w:tcPr>
          <w:p>
            <w:pPr>
              <w:spacing w:line="360" w:lineRule="auto"/>
              <w:jc w:val="center"/>
              <w:rPr>
                <w:rFonts w:cs="宋体"/>
                <w:highlight w:val="none"/>
              </w:rPr>
            </w:pPr>
            <w:r>
              <w:rPr>
                <w:rFonts w:hint="eastAsia" w:cs="宋体"/>
                <w:highlight w:val="none"/>
              </w:rPr>
              <w:t>6</w:t>
            </w:r>
          </w:p>
        </w:tc>
        <w:tc>
          <w:tcPr>
            <w:tcW w:w="1618" w:type="dxa"/>
            <w:vAlign w:val="center"/>
          </w:tcPr>
          <w:p>
            <w:pPr>
              <w:spacing w:line="360" w:lineRule="auto"/>
              <w:jc w:val="center"/>
              <w:rPr>
                <w:rFonts w:cs="宋体"/>
                <w:highlight w:val="none"/>
              </w:rPr>
            </w:pPr>
          </w:p>
        </w:tc>
        <w:tc>
          <w:tcPr>
            <w:tcW w:w="1485" w:type="dxa"/>
            <w:vAlign w:val="center"/>
          </w:tcPr>
          <w:p>
            <w:pPr>
              <w:spacing w:line="360" w:lineRule="auto"/>
              <w:jc w:val="center"/>
              <w:rPr>
                <w:rFonts w:cs="宋体"/>
                <w:sz w:val="21"/>
                <w:highlight w:val="none"/>
              </w:rPr>
            </w:pPr>
          </w:p>
        </w:tc>
        <w:tc>
          <w:tcPr>
            <w:tcW w:w="800" w:type="dxa"/>
            <w:vAlign w:val="center"/>
          </w:tcPr>
          <w:p>
            <w:pPr>
              <w:spacing w:line="360" w:lineRule="auto"/>
              <w:jc w:val="center"/>
              <w:rPr>
                <w:rFonts w:cs="宋体"/>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64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highlight w:val="none"/>
              </w:rPr>
            </w:pPr>
            <w:r>
              <w:rPr>
                <w:rFonts w:hint="eastAsia" w:cs="宋体"/>
                <w:highlight w:val="none"/>
              </w:rPr>
              <w:t>2</w:t>
            </w:r>
          </w:p>
        </w:tc>
        <w:tc>
          <w:tcPr>
            <w:tcW w:w="1729" w:type="dxa"/>
            <w:vMerge w:val="continue"/>
            <w:tcBorders>
              <w:left w:val="single" w:color="auto" w:sz="4" w:space="0"/>
              <w:right w:val="single" w:color="auto" w:sz="4" w:space="0"/>
            </w:tcBorders>
            <w:vAlign w:val="center"/>
          </w:tcPr>
          <w:p>
            <w:pPr>
              <w:spacing w:line="360" w:lineRule="auto"/>
              <w:jc w:val="center"/>
              <w:rPr>
                <w:rFonts w:cs="宋体"/>
                <w:highlight w:val="none"/>
              </w:rPr>
            </w:pPr>
          </w:p>
        </w:tc>
        <w:tc>
          <w:tcPr>
            <w:tcW w:w="1630" w:type="dxa"/>
            <w:tcBorders>
              <w:left w:val="single" w:color="auto" w:sz="4" w:space="0"/>
            </w:tcBorders>
            <w:vAlign w:val="center"/>
          </w:tcPr>
          <w:p>
            <w:pPr>
              <w:spacing w:line="360" w:lineRule="auto"/>
              <w:jc w:val="center"/>
              <w:rPr>
                <w:rFonts w:cs="宋体"/>
                <w:highlight w:val="none"/>
              </w:rPr>
            </w:pPr>
            <w:r>
              <w:rPr>
                <w:rFonts w:hint="eastAsia" w:cs="宋体"/>
                <w:highlight w:val="none"/>
              </w:rPr>
              <w:t>红案二级</w:t>
            </w:r>
          </w:p>
        </w:tc>
        <w:tc>
          <w:tcPr>
            <w:tcW w:w="1665" w:type="dxa"/>
            <w:vAlign w:val="center"/>
          </w:tcPr>
          <w:p>
            <w:pPr>
              <w:spacing w:line="360" w:lineRule="auto"/>
              <w:jc w:val="center"/>
              <w:rPr>
                <w:rFonts w:cs="宋体"/>
                <w:highlight w:val="none"/>
              </w:rPr>
            </w:pPr>
            <w:r>
              <w:rPr>
                <w:rFonts w:hint="eastAsia" w:cs="宋体"/>
                <w:highlight w:val="none"/>
              </w:rPr>
              <w:t>2</w:t>
            </w:r>
          </w:p>
        </w:tc>
        <w:tc>
          <w:tcPr>
            <w:tcW w:w="1618" w:type="dxa"/>
            <w:vAlign w:val="center"/>
          </w:tcPr>
          <w:p>
            <w:pPr>
              <w:spacing w:line="360" w:lineRule="auto"/>
              <w:jc w:val="center"/>
              <w:rPr>
                <w:rFonts w:cs="宋体"/>
                <w:highlight w:val="none"/>
              </w:rPr>
            </w:pPr>
          </w:p>
        </w:tc>
        <w:tc>
          <w:tcPr>
            <w:tcW w:w="1485" w:type="dxa"/>
            <w:vAlign w:val="center"/>
          </w:tcPr>
          <w:p>
            <w:pPr>
              <w:spacing w:line="360" w:lineRule="auto"/>
              <w:jc w:val="center"/>
              <w:rPr>
                <w:rFonts w:cs="宋体"/>
                <w:sz w:val="21"/>
                <w:highlight w:val="none"/>
              </w:rPr>
            </w:pPr>
          </w:p>
        </w:tc>
        <w:tc>
          <w:tcPr>
            <w:tcW w:w="800" w:type="dxa"/>
            <w:vAlign w:val="center"/>
          </w:tcPr>
          <w:p>
            <w:pPr>
              <w:spacing w:line="360" w:lineRule="auto"/>
              <w:jc w:val="center"/>
              <w:rPr>
                <w:rFonts w:cs="宋体"/>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trPr>
        <w:tc>
          <w:tcPr>
            <w:tcW w:w="64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highlight w:val="none"/>
              </w:rPr>
            </w:pPr>
            <w:r>
              <w:rPr>
                <w:rFonts w:hint="eastAsia" w:cs="宋体"/>
                <w:highlight w:val="none"/>
              </w:rPr>
              <w:t>3</w:t>
            </w:r>
          </w:p>
        </w:tc>
        <w:tc>
          <w:tcPr>
            <w:tcW w:w="1729" w:type="dxa"/>
            <w:vMerge w:val="continue"/>
            <w:tcBorders>
              <w:left w:val="single" w:color="auto" w:sz="4" w:space="0"/>
              <w:right w:val="single" w:color="auto" w:sz="4" w:space="0"/>
            </w:tcBorders>
            <w:vAlign w:val="center"/>
          </w:tcPr>
          <w:p>
            <w:pPr>
              <w:spacing w:line="360" w:lineRule="auto"/>
              <w:jc w:val="center"/>
              <w:rPr>
                <w:rFonts w:cs="宋体"/>
                <w:highlight w:val="none"/>
              </w:rPr>
            </w:pPr>
          </w:p>
        </w:tc>
        <w:tc>
          <w:tcPr>
            <w:tcW w:w="1630" w:type="dxa"/>
            <w:tcBorders>
              <w:left w:val="single" w:color="auto" w:sz="4" w:space="0"/>
            </w:tcBorders>
            <w:vAlign w:val="center"/>
          </w:tcPr>
          <w:p>
            <w:pPr>
              <w:spacing w:line="360" w:lineRule="auto"/>
              <w:jc w:val="center"/>
              <w:rPr>
                <w:rFonts w:cs="宋体"/>
                <w:highlight w:val="none"/>
              </w:rPr>
            </w:pPr>
            <w:r>
              <w:rPr>
                <w:rFonts w:hint="eastAsia" w:cs="宋体"/>
                <w:highlight w:val="none"/>
              </w:rPr>
              <w:t>白案一级</w:t>
            </w:r>
          </w:p>
        </w:tc>
        <w:tc>
          <w:tcPr>
            <w:tcW w:w="1665" w:type="dxa"/>
            <w:vAlign w:val="center"/>
          </w:tcPr>
          <w:p>
            <w:pPr>
              <w:spacing w:line="360" w:lineRule="auto"/>
              <w:jc w:val="center"/>
              <w:rPr>
                <w:rFonts w:cs="宋体"/>
                <w:highlight w:val="none"/>
              </w:rPr>
            </w:pPr>
            <w:r>
              <w:rPr>
                <w:rFonts w:hint="eastAsia" w:cs="宋体"/>
                <w:highlight w:val="none"/>
              </w:rPr>
              <w:t>6</w:t>
            </w:r>
          </w:p>
        </w:tc>
        <w:tc>
          <w:tcPr>
            <w:tcW w:w="1618" w:type="dxa"/>
            <w:vAlign w:val="center"/>
          </w:tcPr>
          <w:p>
            <w:pPr>
              <w:spacing w:line="360" w:lineRule="auto"/>
              <w:jc w:val="center"/>
              <w:rPr>
                <w:rFonts w:cs="宋体"/>
                <w:highlight w:val="none"/>
              </w:rPr>
            </w:pPr>
          </w:p>
        </w:tc>
        <w:tc>
          <w:tcPr>
            <w:tcW w:w="1485" w:type="dxa"/>
            <w:vAlign w:val="center"/>
          </w:tcPr>
          <w:p>
            <w:pPr>
              <w:spacing w:line="360" w:lineRule="auto"/>
              <w:jc w:val="center"/>
              <w:rPr>
                <w:rFonts w:cs="宋体"/>
                <w:sz w:val="21"/>
                <w:highlight w:val="none"/>
              </w:rPr>
            </w:pPr>
          </w:p>
        </w:tc>
        <w:tc>
          <w:tcPr>
            <w:tcW w:w="800" w:type="dxa"/>
            <w:vAlign w:val="center"/>
          </w:tcPr>
          <w:p>
            <w:pPr>
              <w:spacing w:line="360" w:lineRule="auto"/>
              <w:jc w:val="center"/>
              <w:rPr>
                <w:rFonts w:cs="宋体"/>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649" w:type="dxa"/>
            <w:tcBorders>
              <w:top w:val="single" w:color="auto" w:sz="4" w:space="0"/>
            </w:tcBorders>
            <w:vAlign w:val="center"/>
          </w:tcPr>
          <w:p>
            <w:pPr>
              <w:spacing w:line="360" w:lineRule="auto"/>
              <w:jc w:val="center"/>
              <w:rPr>
                <w:rFonts w:cs="宋体"/>
                <w:highlight w:val="none"/>
              </w:rPr>
            </w:pPr>
            <w:r>
              <w:rPr>
                <w:rFonts w:hint="eastAsia" w:cs="宋体"/>
                <w:highlight w:val="none"/>
              </w:rPr>
              <w:t>4</w:t>
            </w:r>
          </w:p>
        </w:tc>
        <w:tc>
          <w:tcPr>
            <w:tcW w:w="1729" w:type="dxa"/>
            <w:vMerge w:val="continue"/>
            <w:tcBorders>
              <w:left w:val="single" w:color="auto" w:sz="4" w:space="0"/>
              <w:right w:val="single" w:color="auto" w:sz="4" w:space="0"/>
            </w:tcBorders>
            <w:vAlign w:val="center"/>
          </w:tcPr>
          <w:p>
            <w:pPr>
              <w:spacing w:line="360" w:lineRule="auto"/>
              <w:jc w:val="center"/>
              <w:rPr>
                <w:rFonts w:cs="宋体"/>
                <w:highlight w:val="none"/>
              </w:rPr>
            </w:pPr>
          </w:p>
        </w:tc>
        <w:tc>
          <w:tcPr>
            <w:tcW w:w="1630" w:type="dxa"/>
            <w:vAlign w:val="center"/>
          </w:tcPr>
          <w:p>
            <w:pPr>
              <w:spacing w:line="360" w:lineRule="auto"/>
              <w:jc w:val="center"/>
              <w:rPr>
                <w:rFonts w:cs="宋体"/>
                <w:highlight w:val="none"/>
              </w:rPr>
            </w:pPr>
            <w:r>
              <w:rPr>
                <w:rFonts w:hint="eastAsia" w:cs="宋体"/>
                <w:highlight w:val="none"/>
              </w:rPr>
              <w:t>白案二级</w:t>
            </w:r>
          </w:p>
        </w:tc>
        <w:tc>
          <w:tcPr>
            <w:tcW w:w="1665" w:type="dxa"/>
            <w:vAlign w:val="center"/>
          </w:tcPr>
          <w:p>
            <w:pPr>
              <w:spacing w:line="360" w:lineRule="auto"/>
              <w:jc w:val="center"/>
              <w:rPr>
                <w:rFonts w:cs="宋体"/>
                <w:highlight w:val="none"/>
              </w:rPr>
            </w:pPr>
            <w:r>
              <w:rPr>
                <w:rFonts w:hint="eastAsia" w:cs="宋体"/>
                <w:highlight w:val="none"/>
              </w:rPr>
              <w:t>2</w:t>
            </w:r>
          </w:p>
        </w:tc>
        <w:tc>
          <w:tcPr>
            <w:tcW w:w="1618" w:type="dxa"/>
            <w:vAlign w:val="center"/>
          </w:tcPr>
          <w:p>
            <w:pPr>
              <w:spacing w:line="360" w:lineRule="auto"/>
              <w:jc w:val="center"/>
              <w:rPr>
                <w:rFonts w:cs="宋体"/>
                <w:highlight w:val="none"/>
              </w:rPr>
            </w:pPr>
          </w:p>
        </w:tc>
        <w:tc>
          <w:tcPr>
            <w:tcW w:w="1485" w:type="dxa"/>
            <w:vAlign w:val="center"/>
          </w:tcPr>
          <w:p>
            <w:pPr>
              <w:spacing w:line="360" w:lineRule="auto"/>
              <w:jc w:val="center"/>
              <w:rPr>
                <w:rFonts w:cs="宋体"/>
                <w:sz w:val="21"/>
                <w:highlight w:val="none"/>
              </w:rPr>
            </w:pPr>
          </w:p>
        </w:tc>
        <w:tc>
          <w:tcPr>
            <w:tcW w:w="800" w:type="dxa"/>
            <w:vAlign w:val="center"/>
          </w:tcPr>
          <w:p>
            <w:pPr>
              <w:spacing w:line="360" w:lineRule="auto"/>
              <w:jc w:val="center"/>
              <w:rPr>
                <w:rFonts w:cs="宋体"/>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649" w:type="dxa"/>
            <w:vAlign w:val="center"/>
          </w:tcPr>
          <w:p>
            <w:pPr>
              <w:spacing w:line="360" w:lineRule="auto"/>
              <w:jc w:val="center"/>
              <w:rPr>
                <w:rFonts w:cs="宋体"/>
                <w:highlight w:val="none"/>
              </w:rPr>
            </w:pPr>
            <w:r>
              <w:rPr>
                <w:rFonts w:hint="eastAsia" w:cs="宋体"/>
                <w:highlight w:val="none"/>
              </w:rPr>
              <w:t>5</w:t>
            </w:r>
          </w:p>
        </w:tc>
        <w:tc>
          <w:tcPr>
            <w:tcW w:w="1729" w:type="dxa"/>
            <w:vMerge w:val="continue"/>
            <w:tcBorders>
              <w:left w:val="single" w:color="auto" w:sz="4" w:space="0"/>
              <w:right w:val="single" w:color="auto" w:sz="4" w:space="0"/>
            </w:tcBorders>
            <w:vAlign w:val="center"/>
          </w:tcPr>
          <w:p>
            <w:pPr>
              <w:spacing w:line="360" w:lineRule="auto"/>
              <w:jc w:val="center"/>
              <w:rPr>
                <w:rFonts w:cs="宋体"/>
                <w:highlight w:val="none"/>
              </w:rPr>
            </w:pPr>
          </w:p>
        </w:tc>
        <w:tc>
          <w:tcPr>
            <w:tcW w:w="1630" w:type="dxa"/>
            <w:vAlign w:val="center"/>
          </w:tcPr>
          <w:p>
            <w:pPr>
              <w:spacing w:line="360" w:lineRule="auto"/>
              <w:jc w:val="center"/>
              <w:rPr>
                <w:rFonts w:cs="宋体"/>
                <w:highlight w:val="none"/>
              </w:rPr>
            </w:pPr>
            <w:r>
              <w:rPr>
                <w:rFonts w:hint="eastAsia" w:cs="宋体"/>
                <w:highlight w:val="none"/>
              </w:rPr>
              <w:t>服务员</w:t>
            </w:r>
          </w:p>
        </w:tc>
        <w:tc>
          <w:tcPr>
            <w:tcW w:w="1665" w:type="dxa"/>
            <w:vAlign w:val="center"/>
          </w:tcPr>
          <w:p>
            <w:pPr>
              <w:spacing w:line="360" w:lineRule="auto"/>
              <w:jc w:val="center"/>
              <w:rPr>
                <w:rFonts w:cs="宋体"/>
                <w:highlight w:val="none"/>
              </w:rPr>
            </w:pPr>
            <w:r>
              <w:rPr>
                <w:rFonts w:hint="eastAsia" w:cs="宋体"/>
                <w:highlight w:val="none"/>
              </w:rPr>
              <w:t>10</w:t>
            </w:r>
          </w:p>
        </w:tc>
        <w:tc>
          <w:tcPr>
            <w:tcW w:w="1618" w:type="dxa"/>
            <w:vAlign w:val="center"/>
          </w:tcPr>
          <w:p>
            <w:pPr>
              <w:spacing w:line="360" w:lineRule="auto"/>
              <w:jc w:val="center"/>
              <w:rPr>
                <w:rFonts w:cs="宋体"/>
                <w:highlight w:val="none"/>
              </w:rPr>
            </w:pPr>
          </w:p>
        </w:tc>
        <w:tc>
          <w:tcPr>
            <w:tcW w:w="1485" w:type="dxa"/>
            <w:vAlign w:val="center"/>
          </w:tcPr>
          <w:p>
            <w:pPr>
              <w:spacing w:line="360" w:lineRule="auto"/>
              <w:jc w:val="center"/>
              <w:rPr>
                <w:rFonts w:cs="宋体"/>
                <w:sz w:val="21"/>
                <w:highlight w:val="none"/>
              </w:rPr>
            </w:pPr>
          </w:p>
        </w:tc>
        <w:tc>
          <w:tcPr>
            <w:tcW w:w="800" w:type="dxa"/>
            <w:vAlign w:val="center"/>
          </w:tcPr>
          <w:p>
            <w:pPr>
              <w:spacing w:line="360" w:lineRule="auto"/>
              <w:jc w:val="center"/>
              <w:rPr>
                <w:rFonts w:cs="宋体"/>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649" w:type="dxa"/>
            <w:vAlign w:val="center"/>
          </w:tcPr>
          <w:p>
            <w:pPr>
              <w:spacing w:line="360" w:lineRule="auto"/>
              <w:jc w:val="center"/>
              <w:rPr>
                <w:rFonts w:cs="宋体"/>
                <w:highlight w:val="none"/>
              </w:rPr>
            </w:pPr>
            <w:r>
              <w:rPr>
                <w:rFonts w:hint="eastAsia" w:cs="宋体"/>
                <w:highlight w:val="none"/>
              </w:rPr>
              <w:t>6</w:t>
            </w:r>
          </w:p>
        </w:tc>
        <w:tc>
          <w:tcPr>
            <w:tcW w:w="1729" w:type="dxa"/>
            <w:vMerge w:val="continue"/>
            <w:tcBorders>
              <w:left w:val="single" w:color="auto" w:sz="4" w:space="0"/>
              <w:right w:val="single" w:color="auto" w:sz="4" w:space="0"/>
            </w:tcBorders>
            <w:vAlign w:val="center"/>
          </w:tcPr>
          <w:p>
            <w:pPr>
              <w:spacing w:line="360" w:lineRule="auto"/>
              <w:jc w:val="center"/>
              <w:rPr>
                <w:rFonts w:cs="宋体"/>
                <w:highlight w:val="none"/>
              </w:rPr>
            </w:pPr>
          </w:p>
        </w:tc>
        <w:tc>
          <w:tcPr>
            <w:tcW w:w="1630" w:type="dxa"/>
            <w:vAlign w:val="center"/>
          </w:tcPr>
          <w:p>
            <w:pPr>
              <w:spacing w:line="360" w:lineRule="auto"/>
              <w:jc w:val="center"/>
              <w:rPr>
                <w:rFonts w:cs="宋体"/>
                <w:highlight w:val="none"/>
              </w:rPr>
            </w:pPr>
            <w:r>
              <w:rPr>
                <w:rFonts w:hint="eastAsia" w:cs="宋体"/>
                <w:highlight w:val="none"/>
              </w:rPr>
              <w:t>择洗</w:t>
            </w:r>
          </w:p>
        </w:tc>
        <w:tc>
          <w:tcPr>
            <w:tcW w:w="1665" w:type="dxa"/>
            <w:vAlign w:val="center"/>
          </w:tcPr>
          <w:p>
            <w:pPr>
              <w:spacing w:line="360" w:lineRule="auto"/>
              <w:jc w:val="center"/>
              <w:rPr>
                <w:rFonts w:cs="宋体"/>
                <w:highlight w:val="none"/>
              </w:rPr>
            </w:pPr>
            <w:r>
              <w:rPr>
                <w:rFonts w:hint="eastAsia" w:cs="宋体"/>
                <w:highlight w:val="none"/>
              </w:rPr>
              <w:t>8</w:t>
            </w:r>
          </w:p>
        </w:tc>
        <w:tc>
          <w:tcPr>
            <w:tcW w:w="1618" w:type="dxa"/>
            <w:vAlign w:val="center"/>
          </w:tcPr>
          <w:p>
            <w:pPr>
              <w:spacing w:line="360" w:lineRule="auto"/>
              <w:jc w:val="center"/>
              <w:rPr>
                <w:rFonts w:cs="宋体"/>
                <w:highlight w:val="none"/>
              </w:rPr>
            </w:pPr>
          </w:p>
        </w:tc>
        <w:tc>
          <w:tcPr>
            <w:tcW w:w="1485" w:type="dxa"/>
            <w:vAlign w:val="center"/>
          </w:tcPr>
          <w:p>
            <w:pPr>
              <w:spacing w:line="360" w:lineRule="auto"/>
              <w:jc w:val="center"/>
              <w:rPr>
                <w:rFonts w:cs="宋体"/>
                <w:sz w:val="21"/>
                <w:highlight w:val="none"/>
              </w:rPr>
            </w:pPr>
          </w:p>
        </w:tc>
        <w:tc>
          <w:tcPr>
            <w:tcW w:w="800" w:type="dxa"/>
            <w:vAlign w:val="center"/>
          </w:tcPr>
          <w:p>
            <w:pPr>
              <w:spacing w:line="360" w:lineRule="auto"/>
              <w:jc w:val="center"/>
              <w:rPr>
                <w:rFonts w:cs="宋体"/>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rPr>
        <w:tc>
          <w:tcPr>
            <w:tcW w:w="4008" w:type="dxa"/>
            <w:gridSpan w:val="3"/>
            <w:vAlign w:val="center"/>
          </w:tcPr>
          <w:p>
            <w:pPr>
              <w:spacing w:line="360" w:lineRule="auto"/>
              <w:jc w:val="center"/>
              <w:rPr>
                <w:rFonts w:cs="宋体"/>
                <w:highlight w:val="none"/>
              </w:rPr>
            </w:pPr>
            <w:r>
              <w:rPr>
                <w:rFonts w:hint="eastAsia" w:cs="宋体"/>
                <w:spacing w:val="4"/>
                <w:highlight w:val="none"/>
              </w:rPr>
              <w:t>合计</w:t>
            </w:r>
          </w:p>
        </w:tc>
        <w:tc>
          <w:tcPr>
            <w:tcW w:w="1665" w:type="dxa"/>
            <w:vAlign w:val="center"/>
          </w:tcPr>
          <w:p>
            <w:pPr>
              <w:spacing w:line="360" w:lineRule="auto"/>
              <w:jc w:val="center"/>
              <w:rPr>
                <w:rFonts w:cs="宋体"/>
                <w:highlight w:val="none"/>
              </w:rPr>
            </w:pPr>
            <w:r>
              <w:rPr>
                <w:rFonts w:hint="eastAsia" w:cs="宋体"/>
                <w:highlight w:val="none"/>
              </w:rPr>
              <w:t>34</w:t>
            </w:r>
          </w:p>
        </w:tc>
        <w:tc>
          <w:tcPr>
            <w:tcW w:w="1618" w:type="dxa"/>
            <w:vAlign w:val="center"/>
          </w:tcPr>
          <w:p>
            <w:pPr>
              <w:spacing w:line="360" w:lineRule="auto"/>
              <w:jc w:val="center"/>
              <w:rPr>
                <w:rFonts w:cs="宋体"/>
                <w:highlight w:val="none"/>
              </w:rPr>
            </w:pPr>
          </w:p>
        </w:tc>
        <w:tc>
          <w:tcPr>
            <w:tcW w:w="1485" w:type="dxa"/>
            <w:vAlign w:val="center"/>
          </w:tcPr>
          <w:p>
            <w:pPr>
              <w:spacing w:line="360" w:lineRule="auto"/>
              <w:jc w:val="center"/>
              <w:rPr>
                <w:rFonts w:cs="宋体"/>
                <w:sz w:val="21"/>
                <w:highlight w:val="none"/>
              </w:rPr>
            </w:pPr>
          </w:p>
        </w:tc>
        <w:tc>
          <w:tcPr>
            <w:tcW w:w="800" w:type="dxa"/>
            <w:vAlign w:val="center"/>
          </w:tcPr>
          <w:p>
            <w:pPr>
              <w:spacing w:line="360" w:lineRule="auto"/>
              <w:jc w:val="center"/>
              <w:rPr>
                <w:rFonts w:cs="宋体"/>
                <w:sz w:val="21"/>
                <w:highlight w:val="none"/>
              </w:rPr>
            </w:pPr>
          </w:p>
        </w:tc>
      </w:tr>
    </w:tbl>
    <w:p>
      <w:pPr>
        <w:spacing w:line="360" w:lineRule="auto"/>
        <w:rPr>
          <w:rFonts w:cs="宋体"/>
          <w:highlight w:val="none"/>
        </w:rPr>
      </w:pPr>
    </w:p>
    <w:p>
      <w:pPr>
        <w:adjustRightInd w:val="0"/>
        <w:snapToGrid w:val="0"/>
        <w:spacing w:line="440" w:lineRule="exact"/>
        <w:rPr>
          <w:rFonts w:cs="宋体"/>
          <w:highlight w:val="none"/>
        </w:rPr>
      </w:pPr>
      <w:r>
        <w:rPr>
          <w:rFonts w:hint="eastAsia" w:cs="宋体"/>
          <w:highlight w:val="none"/>
        </w:rPr>
        <w:t>说明：</w:t>
      </w:r>
    </w:p>
    <w:p>
      <w:pPr>
        <w:spacing w:line="360" w:lineRule="auto"/>
        <w:ind w:left="1049" w:hanging="1048" w:hangingChars="437"/>
        <w:jc w:val="left"/>
        <w:rPr>
          <w:rFonts w:cs="宋体"/>
          <w:highlight w:val="none"/>
        </w:rPr>
      </w:pPr>
      <w:r>
        <w:rPr>
          <w:rFonts w:hint="eastAsia" w:cs="宋体"/>
          <w:highlight w:val="none"/>
        </w:rPr>
        <w:t>1．此表中内容可由各供应商根据岗位设置、投标方案情况自行填写、调整或扩充。</w:t>
      </w:r>
    </w:p>
    <w:p>
      <w:pPr>
        <w:spacing w:line="360" w:lineRule="auto"/>
        <w:jc w:val="left"/>
        <w:rPr>
          <w:rFonts w:cs="宋体"/>
          <w:highlight w:val="none"/>
        </w:rPr>
      </w:pPr>
      <w:r>
        <w:rPr>
          <w:rFonts w:hint="eastAsia" w:cs="宋体"/>
          <w:highlight w:val="none"/>
        </w:rPr>
        <w:t>2.所有价格均用人民币表示，单位为元。</w:t>
      </w:r>
    </w:p>
    <w:p>
      <w:pPr>
        <w:spacing w:line="360" w:lineRule="auto"/>
        <w:jc w:val="left"/>
        <w:rPr>
          <w:rFonts w:cs="宋体"/>
          <w:highlight w:val="none"/>
        </w:rPr>
      </w:pPr>
      <w:r>
        <w:rPr>
          <w:rFonts w:hint="eastAsia" w:cs="宋体"/>
          <w:highlight w:val="none"/>
        </w:rPr>
        <w:t>3.全年费用合计应与“开标一览表”中的“年度报价”一致。</w:t>
      </w:r>
    </w:p>
    <w:p>
      <w:pPr>
        <w:spacing w:line="360" w:lineRule="auto"/>
        <w:jc w:val="left"/>
        <w:rPr>
          <w:rFonts w:cs="宋体"/>
          <w:highlight w:val="none"/>
        </w:rPr>
      </w:pPr>
      <w:r>
        <w:rPr>
          <w:rFonts w:hint="eastAsia" w:cs="宋体"/>
          <w:spacing w:val="7"/>
          <w:sz w:val="20"/>
          <w:szCs w:val="20"/>
          <w:highlight w:val="none"/>
        </w:rPr>
        <w:t>★</w:t>
      </w:r>
      <w:r>
        <w:rPr>
          <w:rFonts w:hint="eastAsia" w:cs="宋体"/>
          <w:highlight w:val="none"/>
        </w:rPr>
        <w:t>4.分项报价包括：人工费（含员工工资、社保、工会基金、住房公积金等费用及各项补助、节日福利、管理佣金、税费等）。</w:t>
      </w:r>
    </w:p>
    <w:p>
      <w:pPr>
        <w:pBdr>
          <w:top w:val="none" w:color="auto" w:sz="0" w:space="1"/>
          <w:left w:val="none" w:color="auto" w:sz="0" w:space="4"/>
          <w:bottom w:val="none" w:color="auto" w:sz="0" w:space="1"/>
          <w:right w:val="none" w:color="auto" w:sz="0" w:space="4"/>
        </w:pBdr>
        <w:adjustRightInd w:val="0"/>
        <w:snapToGrid w:val="0"/>
        <w:spacing w:line="440" w:lineRule="exact"/>
        <w:rPr>
          <w:rFonts w:cs="宋体"/>
          <w:highlight w:val="none"/>
        </w:rPr>
      </w:pPr>
    </w:p>
    <w:p>
      <w:pPr>
        <w:pBdr>
          <w:top w:val="none" w:color="auto" w:sz="0" w:space="1"/>
          <w:left w:val="none" w:color="auto" w:sz="0" w:space="4"/>
          <w:bottom w:val="none" w:color="auto" w:sz="0" w:space="1"/>
          <w:right w:val="none" w:color="auto" w:sz="0" w:space="4"/>
        </w:pBdr>
        <w:spacing w:line="360" w:lineRule="auto"/>
        <w:rPr>
          <w:rFonts w:cs="宋体"/>
          <w:szCs w:val="22"/>
          <w:highlight w:val="none"/>
        </w:rPr>
      </w:pPr>
    </w:p>
    <w:p>
      <w:pPr>
        <w:adjustRightInd w:val="0"/>
        <w:snapToGrid w:val="0"/>
        <w:spacing w:line="360" w:lineRule="auto"/>
        <w:rPr>
          <w:rFonts w:cs="宋体"/>
          <w:kern w:val="0"/>
          <w:highlight w:val="none"/>
        </w:rPr>
      </w:pPr>
      <w:r>
        <w:rPr>
          <w:rFonts w:hint="eastAsia" w:cs="宋体"/>
          <w:kern w:val="0"/>
          <w:highlight w:val="none"/>
        </w:rPr>
        <w:t>供应商名称（公章）：</w:t>
      </w:r>
    </w:p>
    <w:p>
      <w:pPr>
        <w:adjustRightInd w:val="0"/>
        <w:snapToGrid w:val="0"/>
        <w:spacing w:line="360" w:lineRule="auto"/>
        <w:rPr>
          <w:rFonts w:cs="宋体"/>
          <w:kern w:val="0"/>
          <w:highlight w:val="none"/>
          <w:u w:val="single"/>
        </w:rPr>
      </w:pPr>
      <w:r>
        <w:rPr>
          <w:rFonts w:hint="eastAsia" w:cs="宋体"/>
          <w:kern w:val="0"/>
          <w:highlight w:val="none"/>
        </w:rPr>
        <w:t>法定代表人（签字或盖章）或</w:t>
      </w:r>
      <w:r>
        <w:rPr>
          <w:rFonts w:hint="eastAsia" w:cs="宋体"/>
          <w:highlight w:val="none"/>
        </w:rPr>
        <w:t>授权委托人</w:t>
      </w:r>
      <w:r>
        <w:rPr>
          <w:rFonts w:hint="eastAsia" w:cs="宋体"/>
          <w:kern w:val="0"/>
          <w:highlight w:val="none"/>
        </w:rPr>
        <w:t>（签字）：</w:t>
      </w:r>
    </w:p>
    <w:p>
      <w:pPr>
        <w:spacing w:line="360" w:lineRule="auto"/>
        <w:rPr>
          <w:rFonts w:cs="宋体"/>
          <w:b/>
          <w:bCs/>
          <w:highlight w:val="none"/>
        </w:rPr>
      </w:pPr>
      <w:r>
        <w:rPr>
          <w:rFonts w:hint="eastAsia" w:cs="宋体"/>
          <w:highlight w:val="none"/>
        </w:rPr>
        <w:t>日期：年月</w:t>
      </w:r>
      <w:r>
        <w:rPr>
          <w:rFonts w:hint="eastAsia" w:cs="宋体"/>
          <w:kern w:val="0"/>
          <w:highlight w:val="none"/>
        </w:rPr>
        <w:t>日</w:t>
      </w:r>
    </w:p>
    <w:p>
      <w:pPr>
        <w:spacing w:line="360" w:lineRule="auto"/>
        <w:rPr>
          <w:rFonts w:cs="宋体"/>
          <w:highlight w:val="none"/>
        </w:rPr>
      </w:pPr>
    </w:p>
    <w:p>
      <w:pPr>
        <w:jc w:val="center"/>
        <w:outlineLvl w:val="0"/>
        <w:rPr>
          <w:rFonts w:cs="宋体"/>
          <w:b/>
          <w:highlight w:val="none"/>
        </w:rPr>
        <w:sectPr>
          <w:pgSz w:w="11906" w:h="16838"/>
          <w:pgMar w:top="1247" w:right="1247" w:bottom="1247" w:left="1247" w:header="850" w:footer="850" w:gutter="0"/>
          <w:cols w:space="425" w:num="1"/>
          <w:docGrid w:type="lines" w:linePitch="312" w:charSpace="0"/>
        </w:sectPr>
      </w:pPr>
      <w:r>
        <w:rPr>
          <w:rFonts w:hint="eastAsia" w:cs="宋体"/>
          <w:b/>
          <w:highlight w:val="none"/>
        </w:rPr>
        <w:br w:type="page"/>
      </w:r>
      <w:bookmarkStart w:id="152" w:name="_Toc20829"/>
      <w:bookmarkStart w:id="153" w:name="_Toc8663"/>
      <w:bookmarkStart w:id="154" w:name="_Toc18561"/>
    </w:p>
    <w:p>
      <w:pPr>
        <w:snapToGrid w:val="0"/>
        <w:spacing w:line="360" w:lineRule="auto"/>
        <w:ind w:firstLine="562" w:firstLineChars="200"/>
        <w:jc w:val="center"/>
        <w:rPr>
          <w:rFonts w:cs="宋体"/>
          <w:b/>
          <w:sz w:val="28"/>
          <w:szCs w:val="28"/>
          <w:highlight w:val="none"/>
        </w:rPr>
      </w:pPr>
      <w:r>
        <w:rPr>
          <w:rFonts w:hint="eastAsia" w:cs="宋体"/>
          <w:b/>
          <w:sz w:val="28"/>
          <w:szCs w:val="28"/>
          <w:highlight w:val="none"/>
        </w:rPr>
        <w:t>四、投标承诺书</w:t>
      </w:r>
      <w:bookmarkEnd w:id="152"/>
      <w:bookmarkEnd w:id="153"/>
      <w:bookmarkEnd w:id="154"/>
    </w:p>
    <w:p>
      <w:pPr>
        <w:snapToGrid w:val="0"/>
        <w:spacing w:line="360" w:lineRule="auto"/>
        <w:ind w:firstLine="480" w:firstLineChars="200"/>
        <w:jc w:val="left"/>
        <w:rPr>
          <w:rFonts w:cs="宋体"/>
          <w:kern w:val="0"/>
          <w:highlight w:val="none"/>
        </w:rPr>
      </w:pPr>
    </w:p>
    <w:p>
      <w:pPr>
        <w:snapToGrid w:val="0"/>
        <w:spacing w:line="360" w:lineRule="auto"/>
        <w:jc w:val="left"/>
        <w:rPr>
          <w:rFonts w:cs="宋体"/>
          <w:kern w:val="0"/>
          <w:highlight w:val="none"/>
        </w:rPr>
      </w:pPr>
      <w:r>
        <w:rPr>
          <w:rFonts w:hint="eastAsia" w:cs="宋体"/>
          <w:kern w:val="0"/>
          <w:highlight w:val="none"/>
          <w:u w:val="single"/>
        </w:rPr>
        <w:t xml:space="preserve">（采购人）       </w:t>
      </w:r>
      <w:r>
        <w:rPr>
          <w:rFonts w:hint="eastAsia" w:cs="宋体"/>
          <w:kern w:val="0"/>
          <w:highlight w:val="none"/>
        </w:rPr>
        <w:t>、湖北普华工程咨询有限公司：</w:t>
      </w:r>
    </w:p>
    <w:p>
      <w:pPr>
        <w:snapToGrid w:val="0"/>
        <w:spacing w:line="360" w:lineRule="auto"/>
        <w:ind w:firstLine="480" w:firstLineChars="200"/>
        <w:jc w:val="left"/>
        <w:rPr>
          <w:rFonts w:cs="宋体"/>
          <w:kern w:val="0"/>
          <w:highlight w:val="none"/>
        </w:rPr>
      </w:pPr>
      <w:r>
        <w:rPr>
          <w:rFonts w:hint="eastAsia" w:cs="宋体"/>
          <w:kern w:val="0"/>
          <w:highlight w:val="none"/>
        </w:rPr>
        <w:t>为了充分体现公开、公平、公正、诚信原则，共同维护招投标市场秩序，本单位在参与</w:t>
      </w:r>
      <w:r>
        <w:rPr>
          <w:rFonts w:hint="eastAsia" w:cs="宋体"/>
          <w:kern w:val="0"/>
          <w:highlight w:val="none"/>
          <w:u w:val="single"/>
        </w:rPr>
        <w:t xml:space="preserve"> 项目</w:t>
      </w:r>
      <w:r>
        <w:rPr>
          <w:rFonts w:hint="eastAsia" w:cs="宋体"/>
          <w:kern w:val="0"/>
          <w:highlight w:val="none"/>
        </w:rPr>
        <w:t>过程中特作以下承诺：</w:t>
      </w:r>
    </w:p>
    <w:p>
      <w:pPr>
        <w:snapToGrid w:val="0"/>
        <w:spacing w:line="360" w:lineRule="auto"/>
        <w:ind w:firstLine="480" w:firstLineChars="200"/>
        <w:jc w:val="left"/>
        <w:rPr>
          <w:rFonts w:cs="宋体"/>
          <w:kern w:val="0"/>
          <w:highlight w:val="none"/>
        </w:rPr>
      </w:pPr>
      <w:r>
        <w:rPr>
          <w:rFonts w:hint="eastAsia" w:cs="宋体"/>
          <w:kern w:val="0"/>
          <w:highlight w:val="none"/>
        </w:rPr>
        <w:t>（一）承诺履行(招标文件或资格预审文件)要求的责任和义务，承诺遵守法律法规，承诺真实投标，承诺不围标串标，承诺不弄虚作假、造假用假。</w:t>
      </w:r>
    </w:p>
    <w:p>
      <w:pPr>
        <w:snapToGrid w:val="0"/>
        <w:spacing w:line="360" w:lineRule="auto"/>
        <w:ind w:firstLine="480" w:firstLineChars="200"/>
        <w:jc w:val="left"/>
        <w:rPr>
          <w:rFonts w:cs="宋体"/>
          <w:kern w:val="0"/>
          <w:highlight w:val="none"/>
        </w:rPr>
      </w:pPr>
      <w:r>
        <w:rPr>
          <w:rFonts w:hint="eastAsia" w:cs="宋体"/>
          <w:kern w:val="0"/>
          <w:highlight w:val="none"/>
        </w:rPr>
        <w:t>（二）我公司提交的</w:t>
      </w:r>
      <w:r>
        <w:rPr>
          <w:rFonts w:hint="eastAsia" w:cs="宋体"/>
          <w:kern w:val="0"/>
          <w:highlight w:val="none"/>
          <w:u w:val="single"/>
        </w:rPr>
        <w:t>(企业营业执照、企业资质证书、许可证等资格证明文件)</w:t>
      </w:r>
      <w:r>
        <w:rPr>
          <w:rFonts w:hint="eastAsia" w:cs="宋体"/>
          <w:kern w:val="0"/>
          <w:highlight w:val="none"/>
        </w:rPr>
        <w:t>承诺真实、有效。</w:t>
      </w:r>
    </w:p>
    <w:p>
      <w:pPr>
        <w:snapToGrid w:val="0"/>
        <w:spacing w:line="360" w:lineRule="auto"/>
        <w:ind w:firstLine="480" w:firstLineChars="200"/>
        <w:jc w:val="left"/>
        <w:rPr>
          <w:rFonts w:cs="宋体"/>
          <w:kern w:val="0"/>
          <w:highlight w:val="none"/>
        </w:rPr>
      </w:pPr>
      <w:r>
        <w:rPr>
          <w:rFonts w:hint="eastAsia" w:cs="宋体"/>
          <w:kern w:val="0"/>
          <w:highlight w:val="none"/>
        </w:rPr>
        <w:t>（三）我公司拟派团队人员的</w:t>
      </w:r>
      <w:r>
        <w:rPr>
          <w:rFonts w:hint="eastAsia" w:cs="宋体"/>
          <w:kern w:val="0"/>
          <w:highlight w:val="none"/>
          <w:u w:val="single"/>
        </w:rPr>
        <w:t>(居民身份证)</w:t>
      </w:r>
      <w:r>
        <w:rPr>
          <w:rFonts w:hint="eastAsia" w:cs="宋体"/>
          <w:kern w:val="0"/>
          <w:highlight w:val="none"/>
        </w:rPr>
        <w:t>、</w:t>
      </w:r>
      <w:r>
        <w:rPr>
          <w:rFonts w:hint="eastAsia" w:cs="宋体"/>
          <w:kern w:val="0"/>
          <w:highlight w:val="none"/>
          <w:u w:val="single"/>
        </w:rPr>
        <w:t>(执业资格证等)</w:t>
      </w:r>
      <w:r>
        <w:rPr>
          <w:rFonts w:hint="eastAsia" w:cs="宋体"/>
          <w:kern w:val="0"/>
          <w:highlight w:val="none"/>
        </w:rPr>
        <w:t>承诺真实、有效。承诺上述人员参加社会保险真实、有效。</w:t>
      </w:r>
    </w:p>
    <w:p>
      <w:pPr>
        <w:snapToGrid w:val="0"/>
        <w:spacing w:line="360" w:lineRule="auto"/>
        <w:ind w:firstLine="480" w:firstLineChars="200"/>
        <w:jc w:val="left"/>
        <w:rPr>
          <w:rFonts w:cs="宋体"/>
          <w:kern w:val="0"/>
          <w:highlight w:val="none"/>
        </w:rPr>
      </w:pPr>
      <w:r>
        <w:rPr>
          <w:rFonts w:hint="eastAsia" w:cs="宋体"/>
          <w:kern w:val="0"/>
          <w:highlight w:val="none"/>
        </w:rPr>
        <w:t>（四）不相互串通陪标、投标，不排挤其他竞争对手，损害采购人或其他供应商的利益。</w:t>
      </w:r>
    </w:p>
    <w:p>
      <w:pPr>
        <w:snapToGrid w:val="0"/>
        <w:spacing w:line="360" w:lineRule="auto"/>
        <w:ind w:firstLine="480" w:firstLineChars="200"/>
        <w:jc w:val="left"/>
        <w:rPr>
          <w:rFonts w:cs="宋体"/>
          <w:kern w:val="0"/>
          <w:highlight w:val="none"/>
        </w:rPr>
      </w:pPr>
      <w:r>
        <w:rPr>
          <w:rFonts w:hint="eastAsia" w:cs="宋体"/>
          <w:kern w:val="0"/>
          <w:highlight w:val="none"/>
        </w:rPr>
        <w:t>（五）不以任何形式和手段打听搜集评标情况，干扰评标工作、干扰采购人做出正确判断。</w:t>
      </w:r>
    </w:p>
    <w:p>
      <w:pPr>
        <w:snapToGrid w:val="0"/>
        <w:spacing w:line="360" w:lineRule="auto"/>
        <w:ind w:firstLine="480" w:firstLineChars="200"/>
        <w:jc w:val="left"/>
        <w:rPr>
          <w:rFonts w:cs="宋体"/>
          <w:kern w:val="0"/>
          <w:highlight w:val="none"/>
        </w:rPr>
      </w:pPr>
      <w:r>
        <w:rPr>
          <w:rFonts w:hint="eastAsia" w:cs="宋体"/>
          <w:kern w:val="0"/>
          <w:highlight w:val="none"/>
        </w:rPr>
        <w:t>（六）不以低于成本价报价竞标，不以弄虚作假等其他方式骗取中标，不以向采购人或者评标人员请客、送礼、行贿等不正当手段谋取中标。</w:t>
      </w:r>
    </w:p>
    <w:p>
      <w:pPr>
        <w:snapToGrid w:val="0"/>
        <w:spacing w:line="360" w:lineRule="auto"/>
        <w:ind w:firstLine="480" w:firstLineChars="200"/>
        <w:jc w:val="left"/>
        <w:rPr>
          <w:rFonts w:cs="宋体"/>
          <w:kern w:val="0"/>
          <w:highlight w:val="none"/>
        </w:rPr>
      </w:pPr>
      <w:r>
        <w:rPr>
          <w:rFonts w:hint="eastAsia" w:cs="宋体"/>
          <w:kern w:val="0"/>
          <w:highlight w:val="none"/>
        </w:rPr>
        <w:t>（七）我公司中标后，承诺履行(合同)的要求，承诺(拟派团队人员)在(该项目)完成前不参加其他项目投标活动。</w:t>
      </w:r>
    </w:p>
    <w:p>
      <w:pPr>
        <w:snapToGrid w:val="0"/>
        <w:spacing w:line="360" w:lineRule="auto"/>
        <w:ind w:firstLine="480" w:firstLineChars="200"/>
        <w:jc w:val="left"/>
        <w:rPr>
          <w:rFonts w:cs="宋体"/>
          <w:kern w:val="0"/>
          <w:highlight w:val="none"/>
        </w:rPr>
      </w:pPr>
      <w:r>
        <w:rPr>
          <w:rFonts w:hint="eastAsia" w:cs="宋体"/>
          <w:kern w:val="0"/>
          <w:highlight w:val="none"/>
        </w:rPr>
        <w:t>（八）如违反上述有关规定，采购人有权取消我司参与投标的资格，并将行为予以记录。对给采购人或其他人造成损失的，依法承担赔偿责任。对触犯刑律者，移交司法部门依法追究刑事责任。</w:t>
      </w:r>
    </w:p>
    <w:p>
      <w:pPr>
        <w:snapToGrid w:val="0"/>
        <w:spacing w:line="360" w:lineRule="auto"/>
        <w:ind w:firstLine="480" w:firstLineChars="200"/>
        <w:jc w:val="left"/>
        <w:rPr>
          <w:rFonts w:cs="宋体"/>
          <w:kern w:val="0"/>
          <w:highlight w:val="none"/>
        </w:rPr>
      </w:pPr>
      <w:r>
        <w:rPr>
          <w:rFonts w:hint="eastAsia" w:cs="宋体"/>
          <w:kern w:val="0"/>
          <w:highlight w:val="none"/>
        </w:rPr>
        <w:t>承诺期限至</w:t>
      </w:r>
      <w:r>
        <w:rPr>
          <w:rFonts w:hint="eastAsia" w:cs="宋体"/>
          <w:kern w:val="0"/>
          <w:highlight w:val="none"/>
          <w:u w:val="single"/>
        </w:rPr>
        <w:t xml:space="preserve">  (该项目)   </w:t>
      </w:r>
      <w:r>
        <w:rPr>
          <w:rFonts w:hint="eastAsia" w:cs="宋体"/>
          <w:kern w:val="0"/>
          <w:highlight w:val="none"/>
        </w:rPr>
        <w:t>服务期结束。</w:t>
      </w:r>
    </w:p>
    <w:p>
      <w:pPr>
        <w:snapToGrid w:val="0"/>
        <w:spacing w:line="360" w:lineRule="auto"/>
        <w:ind w:firstLine="480" w:firstLineChars="200"/>
        <w:jc w:val="left"/>
        <w:rPr>
          <w:rFonts w:cs="宋体"/>
          <w:kern w:val="0"/>
          <w:highlight w:val="none"/>
        </w:rPr>
      </w:pPr>
    </w:p>
    <w:p>
      <w:pPr>
        <w:adjustRightInd w:val="0"/>
        <w:snapToGrid w:val="0"/>
        <w:spacing w:line="360" w:lineRule="auto"/>
        <w:rPr>
          <w:rFonts w:cs="宋体"/>
          <w:kern w:val="0"/>
          <w:highlight w:val="none"/>
        </w:rPr>
      </w:pPr>
    </w:p>
    <w:p>
      <w:pPr>
        <w:adjustRightInd w:val="0"/>
        <w:snapToGrid w:val="0"/>
        <w:spacing w:line="360" w:lineRule="auto"/>
        <w:rPr>
          <w:rFonts w:cs="宋体"/>
          <w:kern w:val="0"/>
          <w:highlight w:val="none"/>
        </w:rPr>
      </w:pPr>
      <w:r>
        <w:rPr>
          <w:rFonts w:hint="eastAsia" w:cs="宋体"/>
          <w:kern w:val="0"/>
          <w:highlight w:val="none"/>
        </w:rPr>
        <w:t>供应商名称（公章）：</w:t>
      </w:r>
    </w:p>
    <w:p>
      <w:pPr>
        <w:adjustRightInd w:val="0"/>
        <w:snapToGrid w:val="0"/>
        <w:spacing w:line="360" w:lineRule="auto"/>
        <w:rPr>
          <w:rFonts w:cs="宋体"/>
          <w:kern w:val="0"/>
          <w:highlight w:val="none"/>
          <w:u w:val="single"/>
        </w:rPr>
      </w:pPr>
      <w:r>
        <w:rPr>
          <w:rFonts w:hint="eastAsia" w:cs="宋体"/>
          <w:kern w:val="0"/>
          <w:highlight w:val="none"/>
        </w:rPr>
        <w:t>法定代表人（签字或盖章）或</w:t>
      </w:r>
      <w:r>
        <w:rPr>
          <w:rFonts w:hint="eastAsia" w:cs="宋体"/>
          <w:highlight w:val="none"/>
        </w:rPr>
        <w:t>授权委托人</w:t>
      </w:r>
      <w:r>
        <w:rPr>
          <w:rFonts w:hint="eastAsia" w:cs="宋体"/>
          <w:kern w:val="0"/>
          <w:highlight w:val="none"/>
        </w:rPr>
        <w:t>（签字）：</w:t>
      </w:r>
    </w:p>
    <w:p>
      <w:pPr>
        <w:snapToGrid w:val="0"/>
        <w:spacing w:line="360" w:lineRule="auto"/>
        <w:rPr>
          <w:rFonts w:cs="宋体"/>
          <w:b/>
          <w:bCs/>
          <w:highlight w:val="none"/>
        </w:rPr>
      </w:pPr>
      <w:r>
        <w:rPr>
          <w:rFonts w:hint="eastAsia" w:cs="宋体"/>
          <w:highlight w:val="none"/>
        </w:rPr>
        <w:t>日期：年月</w:t>
      </w:r>
      <w:r>
        <w:rPr>
          <w:rFonts w:hint="eastAsia" w:cs="宋体"/>
          <w:kern w:val="0"/>
          <w:highlight w:val="none"/>
        </w:rPr>
        <w:t>日</w:t>
      </w:r>
    </w:p>
    <w:p>
      <w:pPr>
        <w:spacing w:line="360" w:lineRule="auto"/>
        <w:rPr>
          <w:rFonts w:cs="宋体"/>
          <w:sz w:val="21"/>
          <w:szCs w:val="21"/>
          <w:highlight w:val="none"/>
        </w:rPr>
      </w:pPr>
    </w:p>
    <w:bookmarkEnd w:id="140"/>
    <w:p>
      <w:pPr>
        <w:adjustRightInd w:val="0"/>
        <w:snapToGrid w:val="0"/>
        <w:spacing w:line="480" w:lineRule="auto"/>
        <w:jc w:val="center"/>
        <w:outlineLvl w:val="0"/>
        <w:rPr>
          <w:rFonts w:cs="宋体"/>
          <w:b/>
          <w:sz w:val="28"/>
          <w:szCs w:val="28"/>
          <w:highlight w:val="none"/>
        </w:rPr>
        <w:sectPr>
          <w:pgSz w:w="11906" w:h="16838"/>
          <w:pgMar w:top="1247" w:right="1247" w:bottom="1247" w:left="1247" w:header="850" w:footer="850" w:gutter="0"/>
          <w:cols w:space="425" w:num="1"/>
          <w:docGrid w:type="lines" w:linePitch="312" w:charSpace="0"/>
        </w:sectPr>
      </w:pPr>
      <w:bookmarkStart w:id="155" w:name="_Toc17678"/>
      <w:bookmarkStart w:id="156" w:name="_Toc25617"/>
      <w:bookmarkStart w:id="157" w:name="_Toc13316"/>
    </w:p>
    <w:p>
      <w:pPr>
        <w:snapToGrid w:val="0"/>
        <w:spacing w:line="360" w:lineRule="auto"/>
        <w:ind w:firstLine="562" w:firstLineChars="200"/>
        <w:jc w:val="center"/>
        <w:rPr>
          <w:rFonts w:cs="宋体"/>
          <w:b/>
          <w:sz w:val="28"/>
          <w:szCs w:val="28"/>
          <w:highlight w:val="none"/>
        </w:rPr>
      </w:pPr>
      <w:r>
        <w:rPr>
          <w:rFonts w:hint="eastAsia" w:cs="宋体"/>
          <w:b/>
          <w:sz w:val="28"/>
          <w:szCs w:val="28"/>
          <w:highlight w:val="none"/>
        </w:rPr>
        <w:t>五、法定代表人身份证明</w:t>
      </w:r>
      <w:bookmarkEnd w:id="155"/>
      <w:bookmarkEnd w:id="156"/>
      <w:bookmarkEnd w:id="157"/>
    </w:p>
    <w:p>
      <w:pPr>
        <w:adjustRightInd w:val="0"/>
        <w:snapToGrid w:val="0"/>
        <w:spacing w:line="480" w:lineRule="auto"/>
        <w:rPr>
          <w:rFonts w:cs="宋体"/>
          <w:highlight w:val="none"/>
        </w:rPr>
      </w:pPr>
      <w:r>
        <w:rPr>
          <w:rFonts w:hint="eastAsia" w:cs="宋体"/>
          <w:highlight w:val="none"/>
        </w:rPr>
        <w:t>投 标 人：</w:t>
      </w:r>
    </w:p>
    <w:p>
      <w:pPr>
        <w:adjustRightInd w:val="0"/>
        <w:snapToGrid w:val="0"/>
        <w:spacing w:line="480" w:lineRule="auto"/>
        <w:rPr>
          <w:rFonts w:cs="宋体"/>
          <w:highlight w:val="none"/>
        </w:rPr>
      </w:pPr>
      <w:r>
        <w:rPr>
          <w:rFonts w:hint="eastAsia" w:cs="宋体"/>
          <w:highlight w:val="none"/>
        </w:rPr>
        <w:t>单位性质：</w:t>
      </w:r>
    </w:p>
    <w:p>
      <w:pPr>
        <w:adjustRightInd w:val="0"/>
        <w:snapToGrid w:val="0"/>
        <w:spacing w:line="480" w:lineRule="auto"/>
        <w:rPr>
          <w:rFonts w:cs="宋体"/>
          <w:highlight w:val="none"/>
        </w:rPr>
      </w:pPr>
      <w:r>
        <w:rPr>
          <w:rFonts w:hint="eastAsia" w:cs="宋体"/>
          <w:highlight w:val="none"/>
        </w:rPr>
        <w:t>地    址：</w:t>
      </w:r>
    </w:p>
    <w:p>
      <w:pPr>
        <w:adjustRightInd w:val="0"/>
        <w:snapToGrid w:val="0"/>
        <w:spacing w:line="480" w:lineRule="auto"/>
        <w:rPr>
          <w:rFonts w:cs="宋体"/>
          <w:highlight w:val="none"/>
        </w:rPr>
      </w:pPr>
      <w:r>
        <w:rPr>
          <w:rFonts w:hint="eastAsia" w:cs="宋体"/>
          <w:highlight w:val="none"/>
        </w:rPr>
        <w:t>成立时间：年月日</w:t>
      </w:r>
    </w:p>
    <w:p>
      <w:pPr>
        <w:adjustRightInd w:val="0"/>
        <w:snapToGrid w:val="0"/>
        <w:spacing w:line="480" w:lineRule="auto"/>
        <w:rPr>
          <w:rFonts w:cs="宋体"/>
          <w:highlight w:val="none"/>
        </w:rPr>
      </w:pPr>
      <w:r>
        <w:rPr>
          <w:rFonts w:hint="eastAsia" w:cs="宋体"/>
          <w:highlight w:val="none"/>
        </w:rPr>
        <w:t>经营期限：</w:t>
      </w:r>
    </w:p>
    <w:p>
      <w:pPr>
        <w:adjustRightInd w:val="0"/>
        <w:snapToGrid w:val="0"/>
        <w:spacing w:line="480" w:lineRule="auto"/>
        <w:rPr>
          <w:rFonts w:cs="宋体"/>
          <w:highlight w:val="none"/>
        </w:rPr>
      </w:pPr>
      <w:r>
        <w:rPr>
          <w:rFonts w:hint="eastAsia" w:cs="宋体"/>
          <w:highlight w:val="none"/>
        </w:rPr>
        <w:t>姓名：性别：</w:t>
      </w:r>
    </w:p>
    <w:p>
      <w:pPr>
        <w:adjustRightInd w:val="0"/>
        <w:snapToGrid w:val="0"/>
        <w:spacing w:line="480" w:lineRule="auto"/>
        <w:rPr>
          <w:rFonts w:cs="宋体"/>
          <w:highlight w:val="none"/>
        </w:rPr>
      </w:pPr>
      <w:r>
        <w:rPr>
          <w:rFonts w:hint="eastAsia" w:cs="宋体"/>
          <w:highlight w:val="none"/>
        </w:rPr>
        <w:t>年龄：职务：</w:t>
      </w:r>
    </w:p>
    <w:p>
      <w:pPr>
        <w:adjustRightInd w:val="0"/>
        <w:snapToGrid w:val="0"/>
        <w:spacing w:line="480" w:lineRule="auto"/>
        <w:rPr>
          <w:rFonts w:cs="宋体"/>
          <w:highlight w:val="none"/>
        </w:rPr>
      </w:pPr>
      <w:r>
        <w:rPr>
          <w:rFonts w:hint="eastAsia" w:cs="宋体"/>
          <w:highlight w:val="none"/>
        </w:rPr>
        <w:t>系（供应商名称）的法定代表人。</w:t>
      </w:r>
    </w:p>
    <w:p>
      <w:pPr>
        <w:adjustRightInd w:val="0"/>
        <w:snapToGrid w:val="0"/>
        <w:spacing w:line="480" w:lineRule="auto"/>
        <w:rPr>
          <w:rFonts w:cs="宋体"/>
          <w:highlight w:val="none"/>
        </w:rPr>
      </w:pPr>
      <w:r>
        <w:rPr>
          <w:rFonts w:hint="eastAsia" w:cs="宋体"/>
          <w:highlight w:val="none"/>
        </w:rPr>
        <w:t>特此证明。</w:t>
      </w:r>
    </w:p>
    <w:p>
      <w:pPr>
        <w:adjustRightInd w:val="0"/>
        <w:snapToGrid w:val="0"/>
        <w:spacing w:line="480" w:lineRule="auto"/>
        <w:rPr>
          <w:rFonts w:cs="宋体"/>
          <w:highlight w:val="none"/>
        </w:rPr>
      </w:pPr>
      <w:r>
        <w:rPr>
          <w:rFonts w:hint="eastAsia" w:cs="宋体"/>
          <w:b/>
          <w:highlight w:val="none"/>
        </w:rPr>
        <w:t>备注</w:t>
      </w:r>
      <w:r>
        <w:rPr>
          <w:rFonts w:hint="eastAsia" w:cs="宋体"/>
          <w:highlight w:val="none"/>
        </w:rPr>
        <w:t>：须附法人营业执照副本复印件。</w:t>
      </w:r>
    </w:p>
    <w:p>
      <w:pPr>
        <w:spacing w:line="360" w:lineRule="auto"/>
        <w:rPr>
          <w:rFonts w:cs="宋体"/>
          <w:szCs w:val="21"/>
          <w:highlight w:val="none"/>
        </w:rPr>
      </w:pPr>
    </w:p>
    <w:p>
      <w:pPr>
        <w:spacing w:line="360" w:lineRule="auto"/>
        <w:rPr>
          <w:rFonts w:cs="宋体"/>
          <w:szCs w:val="21"/>
          <w:highlight w:val="none"/>
        </w:rPr>
      </w:pPr>
      <w:r>
        <w:rPr>
          <w:rFonts w:cs="宋体"/>
          <w:szCs w:val="21"/>
          <w:highlight w:val="none"/>
          <w:u w:val="single"/>
        </w:rPr>
        <mc:AlternateContent>
          <mc:Choice Requires="wps">
            <w:drawing>
              <wp:anchor distT="0" distB="0" distL="114300" distR="114300" simplePos="0" relativeHeight="251661312" behindDoc="0" locked="0" layoutInCell="1" allowOverlap="1">
                <wp:simplePos x="0" y="0"/>
                <wp:positionH relativeFrom="column">
                  <wp:posOffset>1000125</wp:posOffset>
                </wp:positionH>
                <wp:positionV relativeFrom="paragraph">
                  <wp:posOffset>20320</wp:posOffset>
                </wp:positionV>
                <wp:extent cx="3667125" cy="1648460"/>
                <wp:effectExtent l="4445" t="4445" r="5080" b="23495"/>
                <wp:wrapNone/>
                <wp:docPr id="6" name="矩形 6"/>
                <wp:cNvGraphicFramePr/>
                <a:graphic xmlns:a="http://schemas.openxmlformats.org/drawingml/2006/main">
                  <a:graphicData uri="http://schemas.microsoft.com/office/word/2010/wordprocessingShape">
                    <wps:wsp>
                      <wps:cNvSpPr/>
                      <wps:spPr>
                        <a:xfrm>
                          <a:off x="0" y="0"/>
                          <a:ext cx="3667125" cy="16484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360" w:lineRule="auto"/>
                              <w:rPr>
                                <w:rFonts w:ascii="Times New Roman" w:hAnsi="Times New Roman"/>
                              </w:rPr>
                            </w:pPr>
                          </w:p>
                          <w:p>
                            <w:pPr>
                              <w:spacing w:line="360" w:lineRule="auto"/>
                              <w:rPr>
                                <w:rFonts w:ascii="Times New Roman" w:hAnsi="Times New Roman"/>
                              </w:rPr>
                            </w:pPr>
                          </w:p>
                          <w:p>
                            <w:pPr>
                              <w:spacing w:line="360" w:lineRule="auto"/>
                              <w:rPr>
                                <w:rFonts w:ascii="Times New Roman" w:hAnsi="Times New Roman"/>
                              </w:rPr>
                            </w:pPr>
                          </w:p>
                          <w:p>
                            <w:pPr>
                              <w:spacing w:line="360" w:lineRule="auto"/>
                              <w:rPr>
                                <w:rFonts w:ascii="Times New Roman" w:hAnsi="Times New Roman"/>
                              </w:rPr>
                            </w:pPr>
                          </w:p>
                          <w:p>
                            <w:pPr>
                              <w:spacing w:line="360" w:lineRule="auto"/>
                              <w:jc w:val="center"/>
                              <w:rPr>
                                <w:rFonts w:ascii="Times New Roman" w:hAnsi="Times New Roman"/>
                              </w:rPr>
                            </w:pPr>
                            <w:r>
                              <w:rPr>
                                <w:rFonts w:hint="eastAsia" w:ascii="Times New Roman" w:hAnsi="Times New Roman"/>
                              </w:rPr>
                              <w:t>法定代表人身份证复印件</w:t>
                            </w:r>
                          </w:p>
                          <w:p>
                            <w:pPr>
                              <w:spacing w:line="360" w:lineRule="auto"/>
                              <w:jc w:val="center"/>
                              <w:rPr>
                                <w:rFonts w:ascii="Times New Roman" w:hAnsi="Times New Roman"/>
                              </w:rPr>
                            </w:pPr>
                            <w:r>
                              <w:rPr>
                                <w:rFonts w:hint="eastAsia" w:ascii="Times New Roman" w:hAnsi="Times New Roman"/>
                              </w:rPr>
                              <w:t>（二代证  正反面）</w:t>
                            </w:r>
                          </w:p>
                        </w:txbxContent>
                      </wps:txbx>
                      <wps:bodyPr upright="1"/>
                    </wps:wsp>
                  </a:graphicData>
                </a:graphic>
              </wp:anchor>
            </w:drawing>
          </mc:Choice>
          <mc:Fallback>
            <w:pict>
              <v:rect id="_x0000_s1026" o:spid="_x0000_s1026" o:spt="1" style="position:absolute;left:0pt;margin-left:78.75pt;margin-top:1.6pt;height:129.8pt;width:288.75pt;z-index:251661312;mso-width-relative:page;mso-height-relative:page;" fillcolor="#FFFFFF" filled="t" stroked="t" coordsize="21600,21600" o:gfxdata="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lWE8F9cAAAAJAQAADwAAAAAAAAABACAAAAAiAAAA&#10;ZHJzL2Rvd25yZXYueG1sUEsBAhQAFAAAAAgAh07iQKmCzvEIAgAAOAQAAA4AAAAAAAAAAQAgAAAA&#10;JgEAAGRycy9lMm9Eb2MueG1sUEsFBgAAAAAGAAYAWQEAAKAFAAAAAA==&#10;">
                <v:fill on="t" focussize="0,0"/>
                <v:stroke color="#000000" joinstyle="miter"/>
                <v:imagedata o:title=""/>
                <o:lock v:ext="edit" aspectratio="f"/>
                <v:textbox>
                  <w:txbxContent>
                    <w:p>
                      <w:pPr>
                        <w:spacing w:line="360" w:lineRule="auto"/>
                        <w:rPr>
                          <w:rFonts w:ascii="Times New Roman" w:hAnsi="Times New Roman"/>
                        </w:rPr>
                      </w:pPr>
                    </w:p>
                    <w:p>
                      <w:pPr>
                        <w:spacing w:line="360" w:lineRule="auto"/>
                        <w:rPr>
                          <w:rFonts w:ascii="Times New Roman" w:hAnsi="Times New Roman"/>
                        </w:rPr>
                      </w:pPr>
                    </w:p>
                    <w:p>
                      <w:pPr>
                        <w:spacing w:line="360" w:lineRule="auto"/>
                        <w:rPr>
                          <w:rFonts w:ascii="Times New Roman" w:hAnsi="Times New Roman"/>
                        </w:rPr>
                      </w:pPr>
                    </w:p>
                    <w:p>
                      <w:pPr>
                        <w:spacing w:line="360" w:lineRule="auto"/>
                        <w:rPr>
                          <w:rFonts w:ascii="Times New Roman" w:hAnsi="Times New Roman"/>
                        </w:rPr>
                      </w:pPr>
                    </w:p>
                    <w:p>
                      <w:pPr>
                        <w:spacing w:line="360" w:lineRule="auto"/>
                        <w:jc w:val="center"/>
                        <w:rPr>
                          <w:rFonts w:ascii="Times New Roman" w:hAnsi="Times New Roman"/>
                        </w:rPr>
                      </w:pPr>
                      <w:r>
                        <w:rPr>
                          <w:rFonts w:hint="eastAsia" w:ascii="Times New Roman" w:hAnsi="Times New Roman"/>
                        </w:rPr>
                        <w:t>法定代表人身份证复印件</w:t>
                      </w:r>
                    </w:p>
                    <w:p>
                      <w:pPr>
                        <w:spacing w:line="360" w:lineRule="auto"/>
                        <w:jc w:val="center"/>
                        <w:rPr>
                          <w:rFonts w:ascii="Times New Roman" w:hAnsi="Times New Roman"/>
                        </w:rPr>
                      </w:pPr>
                      <w:r>
                        <w:rPr>
                          <w:rFonts w:hint="eastAsia" w:ascii="Times New Roman" w:hAnsi="Times New Roman"/>
                        </w:rPr>
                        <w:t>（二代证  正反面）</w:t>
                      </w:r>
                    </w:p>
                  </w:txbxContent>
                </v:textbox>
              </v:rect>
            </w:pict>
          </mc:Fallback>
        </mc:AlternateContent>
      </w:r>
    </w:p>
    <w:p>
      <w:pPr>
        <w:spacing w:line="360" w:lineRule="auto"/>
        <w:rPr>
          <w:rFonts w:cs="宋体"/>
          <w:szCs w:val="21"/>
          <w:highlight w:val="none"/>
        </w:rPr>
      </w:pPr>
    </w:p>
    <w:p>
      <w:pPr>
        <w:spacing w:line="360" w:lineRule="auto"/>
        <w:rPr>
          <w:rFonts w:cs="宋体"/>
          <w:szCs w:val="21"/>
          <w:highlight w:val="none"/>
        </w:rPr>
      </w:pPr>
    </w:p>
    <w:p>
      <w:pPr>
        <w:spacing w:line="360" w:lineRule="auto"/>
        <w:jc w:val="right"/>
        <w:rPr>
          <w:rFonts w:cs="宋体"/>
          <w:szCs w:val="21"/>
          <w:highlight w:val="none"/>
        </w:rPr>
      </w:pPr>
    </w:p>
    <w:p>
      <w:pPr>
        <w:spacing w:line="360" w:lineRule="auto"/>
        <w:jc w:val="right"/>
        <w:rPr>
          <w:rFonts w:cs="宋体"/>
          <w:szCs w:val="21"/>
          <w:highlight w:val="none"/>
        </w:rPr>
      </w:pPr>
    </w:p>
    <w:p>
      <w:pPr>
        <w:spacing w:line="360" w:lineRule="auto"/>
        <w:jc w:val="right"/>
        <w:rPr>
          <w:rFonts w:cs="宋体"/>
          <w:szCs w:val="21"/>
          <w:highlight w:val="none"/>
        </w:rPr>
      </w:pPr>
    </w:p>
    <w:p>
      <w:pPr>
        <w:spacing w:line="360" w:lineRule="auto"/>
        <w:jc w:val="right"/>
        <w:rPr>
          <w:rFonts w:cs="宋体"/>
          <w:szCs w:val="21"/>
          <w:highlight w:val="none"/>
        </w:rPr>
      </w:pPr>
    </w:p>
    <w:p>
      <w:pPr>
        <w:spacing w:line="360" w:lineRule="auto"/>
        <w:jc w:val="right"/>
        <w:rPr>
          <w:rFonts w:cs="宋体"/>
          <w:szCs w:val="21"/>
          <w:highlight w:val="none"/>
        </w:rPr>
      </w:pPr>
    </w:p>
    <w:p>
      <w:pPr>
        <w:spacing w:line="500" w:lineRule="exact"/>
        <w:rPr>
          <w:rFonts w:cs="宋体"/>
          <w:szCs w:val="21"/>
          <w:highlight w:val="none"/>
        </w:rPr>
      </w:pPr>
    </w:p>
    <w:p>
      <w:pPr>
        <w:adjustRightInd w:val="0"/>
        <w:snapToGrid w:val="0"/>
        <w:spacing w:line="360" w:lineRule="auto"/>
        <w:ind w:firstLine="480" w:firstLineChars="200"/>
        <w:rPr>
          <w:rFonts w:cs="宋体"/>
          <w:highlight w:val="none"/>
          <w:u w:val="single"/>
        </w:rPr>
      </w:pPr>
      <w:r>
        <w:rPr>
          <w:rFonts w:hint="eastAsia" w:cs="宋体"/>
          <w:highlight w:val="none"/>
        </w:rPr>
        <w:t>供应商（盖章）：</w:t>
      </w:r>
    </w:p>
    <w:p>
      <w:pPr>
        <w:adjustRightInd w:val="0"/>
        <w:snapToGrid w:val="0"/>
        <w:spacing w:line="360" w:lineRule="auto"/>
        <w:ind w:firstLine="480" w:firstLineChars="200"/>
        <w:rPr>
          <w:rFonts w:cs="宋体"/>
          <w:highlight w:val="none"/>
        </w:rPr>
      </w:pPr>
    </w:p>
    <w:p>
      <w:pPr>
        <w:adjustRightInd w:val="0"/>
        <w:snapToGrid w:val="0"/>
        <w:spacing w:line="360" w:lineRule="auto"/>
        <w:ind w:firstLine="480" w:firstLineChars="200"/>
        <w:rPr>
          <w:rFonts w:cs="宋体"/>
          <w:highlight w:val="none"/>
        </w:rPr>
      </w:pPr>
      <w:r>
        <w:rPr>
          <w:rFonts w:hint="eastAsia" w:cs="宋体"/>
          <w:highlight w:val="none"/>
        </w:rPr>
        <w:t>日期：年月日</w:t>
      </w:r>
    </w:p>
    <w:p>
      <w:pPr>
        <w:snapToGrid w:val="0"/>
        <w:spacing w:line="360" w:lineRule="auto"/>
        <w:ind w:firstLine="562" w:firstLineChars="200"/>
        <w:jc w:val="center"/>
        <w:rPr>
          <w:rFonts w:cs="宋体"/>
          <w:b/>
          <w:sz w:val="28"/>
          <w:szCs w:val="28"/>
          <w:highlight w:val="none"/>
        </w:rPr>
      </w:pPr>
      <w:r>
        <w:rPr>
          <w:rFonts w:hint="eastAsia" w:cs="宋体"/>
          <w:b/>
          <w:sz w:val="28"/>
          <w:szCs w:val="28"/>
          <w:highlight w:val="none"/>
        </w:rPr>
        <w:br w:type="page"/>
      </w:r>
      <w:bookmarkStart w:id="158" w:name="_Toc5294"/>
      <w:bookmarkStart w:id="159" w:name="_Toc9124"/>
      <w:bookmarkStart w:id="160" w:name="_Toc9415"/>
      <w:r>
        <w:rPr>
          <w:rFonts w:hint="eastAsia" w:cs="宋体"/>
          <w:b/>
          <w:sz w:val="28"/>
          <w:szCs w:val="28"/>
          <w:highlight w:val="none"/>
        </w:rPr>
        <w:t>六、法定代表人授权委托书</w:t>
      </w:r>
      <w:bookmarkEnd w:id="158"/>
      <w:bookmarkEnd w:id="159"/>
      <w:bookmarkEnd w:id="160"/>
    </w:p>
    <w:p>
      <w:pPr>
        <w:spacing w:line="500" w:lineRule="exact"/>
        <w:ind w:firstLine="480" w:firstLineChars="200"/>
        <w:rPr>
          <w:rFonts w:cs="宋体"/>
          <w:highlight w:val="none"/>
        </w:rPr>
      </w:pPr>
      <w:r>
        <w:rPr>
          <w:rFonts w:hint="eastAsia" w:cs="宋体"/>
          <w:highlight w:val="none"/>
        </w:rPr>
        <w:t>本人（姓名）系（供应商名称）的法定代表人，现委托（姓名）为我方授权代表。代理人根据授权，以我方名义签署、澄清、说明、补正、递交、撤回、修改（项目名称）投标文件、签订合同和处理有关事宜，其法律后果由我方承担。</w:t>
      </w:r>
    </w:p>
    <w:p>
      <w:pPr>
        <w:spacing w:beforeLines="50" w:line="500" w:lineRule="exact"/>
        <w:ind w:firstLine="480" w:firstLineChars="200"/>
        <w:rPr>
          <w:rFonts w:cs="宋体"/>
          <w:highlight w:val="none"/>
        </w:rPr>
      </w:pPr>
      <w:r>
        <w:rPr>
          <w:rFonts w:hint="eastAsia" w:cs="宋体"/>
          <w:highlight w:val="none"/>
        </w:rPr>
        <w:t>委托期限：。</w:t>
      </w:r>
    </w:p>
    <w:p>
      <w:pPr>
        <w:spacing w:beforeLines="100" w:afterLines="100" w:line="500" w:lineRule="exact"/>
        <w:ind w:firstLine="480" w:firstLineChars="200"/>
        <w:rPr>
          <w:rFonts w:cs="宋体"/>
          <w:highlight w:val="none"/>
        </w:rPr>
      </w:pPr>
      <w:r>
        <w:rPr>
          <w:rFonts w:hint="eastAsia" w:cs="宋体"/>
          <w:highlight w:val="none"/>
        </w:rPr>
        <w:t>代理人无转委托权。</w:t>
      </w:r>
    </w:p>
    <w:p>
      <w:pPr>
        <w:spacing w:line="360" w:lineRule="auto"/>
        <w:ind w:firstLine="482" w:firstLineChars="200"/>
        <w:rPr>
          <w:rFonts w:cs="宋体"/>
          <w:highlight w:val="none"/>
        </w:rPr>
      </w:pPr>
      <w:r>
        <w:rPr>
          <w:rFonts w:hint="eastAsia" w:cs="宋体"/>
          <w:b/>
          <w:highlight w:val="none"/>
        </w:rPr>
        <w:t>备注</w:t>
      </w:r>
      <w:r>
        <w:rPr>
          <w:rFonts w:hint="eastAsia" w:cs="宋体"/>
          <w:highlight w:val="none"/>
        </w:rPr>
        <w:t>：须附法定代表人身份证明。</w:t>
      </w:r>
    </w:p>
    <w:p>
      <w:pPr>
        <w:spacing w:line="360" w:lineRule="auto"/>
        <w:ind w:firstLine="480" w:firstLineChars="200"/>
        <w:rPr>
          <w:rFonts w:cs="宋体"/>
          <w:szCs w:val="21"/>
          <w:highlight w:val="none"/>
        </w:rPr>
      </w:pPr>
    </w:p>
    <w:p>
      <w:pPr>
        <w:spacing w:line="360" w:lineRule="auto"/>
        <w:ind w:firstLine="480" w:firstLineChars="200"/>
        <w:rPr>
          <w:rFonts w:cs="宋体"/>
          <w:szCs w:val="21"/>
          <w:highlight w:val="none"/>
        </w:rPr>
      </w:pPr>
      <w:r>
        <w:rPr>
          <w:rFonts w:cs="宋体"/>
          <w:szCs w:val="21"/>
          <w:highlight w:val="none"/>
        </w:rPr>
        <mc:AlternateContent>
          <mc:Choice Requires="wps">
            <w:drawing>
              <wp:anchor distT="0" distB="0" distL="114300" distR="114300" simplePos="0" relativeHeight="251662336" behindDoc="0" locked="0" layoutInCell="1" allowOverlap="1">
                <wp:simplePos x="0" y="0"/>
                <wp:positionH relativeFrom="column">
                  <wp:posOffset>153035</wp:posOffset>
                </wp:positionH>
                <wp:positionV relativeFrom="paragraph">
                  <wp:posOffset>120015</wp:posOffset>
                </wp:positionV>
                <wp:extent cx="2703830" cy="1848485"/>
                <wp:effectExtent l="4445" t="4445" r="15875" b="13970"/>
                <wp:wrapNone/>
                <wp:docPr id="4" name="矩形 4"/>
                <wp:cNvGraphicFramePr/>
                <a:graphic xmlns:a="http://schemas.openxmlformats.org/drawingml/2006/main">
                  <a:graphicData uri="http://schemas.microsoft.com/office/word/2010/wordprocessingShape">
                    <wps:wsp>
                      <wps:cNvSpPr/>
                      <wps:spPr>
                        <a:xfrm>
                          <a:off x="0" y="0"/>
                          <a:ext cx="2703830" cy="18484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360" w:lineRule="auto"/>
                              <w:rPr>
                                <w:rFonts w:ascii="Times New Roman" w:hAnsi="Times New Roman"/>
                              </w:rPr>
                            </w:pPr>
                          </w:p>
                          <w:p>
                            <w:pPr>
                              <w:spacing w:line="360" w:lineRule="auto"/>
                              <w:rPr>
                                <w:rFonts w:ascii="Times New Roman" w:hAnsi="Times New Roman"/>
                              </w:rPr>
                            </w:pPr>
                          </w:p>
                          <w:p>
                            <w:pPr>
                              <w:spacing w:line="360" w:lineRule="auto"/>
                              <w:rPr>
                                <w:rFonts w:ascii="Times New Roman" w:hAnsi="Times New Roman"/>
                              </w:rPr>
                            </w:pPr>
                          </w:p>
                          <w:p>
                            <w:pPr>
                              <w:spacing w:line="360" w:lineRule="auto"/>
                              <w:jc w:val="center"/>
                              <w:rPr>
                                <w:rFonts w:ascii="Times New Roman" w:hAnsi="Times New Roman"/>
                              </w:rPr>
                            </w:pPr>
                            <w:r>
                              <w:rPr>
                                <w:rFonts w:hint="eastAsia" w:ascii="Times New Roman" w:hAnsi="Times New Roman"/>
                              </w:rPr>
                              <w:t>法定代表人身份证复印件</w:t>
                            </w:r>
                          </w:p>
                          <w:p>
                            <w:pPr>
                              <w:spacing w:line="360" w:lineRule="auto"/>
                              <w:ind w:firstLine="720" w:firstLineChars="300"/>
                              <w:rPr>
                                <w:rFonts w:ascii="Times New Roman" w:hAnsi="Times New Roman"/>
                              </w:rPr>
                            </w:pPr>
                            <w:r>
                              <w:rPr>
                                <w:rFonts w:hint="eastAsia" w:ascii="Times New Roman" w:hAnsi="Times New Roman"/>
                              </w:rPr>
                              <w:t>（二代证）（正反面）</w:t>
                            </w:r>
                          </w:p>
                          <w:p>
                            <w:pPr>
                              <w:spacing w:line="360" w:lineRule="auto"/>
                              <w:rPr>
                                <w:rFonts w:ascii="Times New Roman" w:hAnsi="Times New Roman"/>
                              </w:rPr>
                            </w:pPr>
                          </w:p>
                        </w:txbxContent>
                      </wps:txbx>
                      <wps:bodyPr upright="1"/>
                    </wps:wsp>
                  </a:graphicData>
                </a:graphic>
              </wp:anchor>
            </w:drawing>
          </mc:Choice>
          <mc:Fallback>
            <w:pict>
              <v:rect id="_x0000_s1026" o:spid="_x0000_s1026" o:spt="1" style="position:absolute;left:0pt;margin-left:12.05pt;margin-top:9.45pt;height:145.55pt;width:212.9pt;z-index:251662336;mso-width-relative:page;mso-height-relative:page;" fillcolor="#FFFFFF" filled="t" stroked="t" coordsize="21600,21600" o:gfxdata="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keyP/tcAAAAJAQAADwAAAAAAAAABACAAAAAiAAAAZHJz&#10;L2Rvd25yZXYueG1sUEsBAhQAFAAAAAgAh07iQAvaWxMFAgAAOAQAAA4AAAAAAAAAAQAgAAAAJgEA&#10;AGRycy9lMm9Eb2MueG1sUEsFBgAAAAAGAAYAWQEAAJ0FAAAAAA==&#10;">
                <v:fill on="t" focussize="0,0"/>
                <v:stroke color="#000000" joinstyle="miter"/>
                <v:imagedata o:title=""/>
                <o:lock v:ext="edit" aspectratio="f"/>
                <v:textbox>
                  <w:txbxContent>
                    <w:p>
                      <w:pPr>
                        <w:spacing w:line="360" w:lineRule="auto"/>
                        <w:rPr>
                          <w:rFonts w:ascii="Times New Roman" w:hAnsi="Times New Roman"/>
                        </w:rPr>
                      </w:pPr>
                    </w:p>
                    <w:p>
                      <w:pPr>
                        <w:spacing w:line="360" w:lineRule="auto"/>
                        <w:rPr>
                          <w:rFonts w:ascii="Times New Roman" w:hAnsi="Times New Roman"/>
                        </w:rPr>
                      </w:pPr>
                    </w:p>
                    <w:p>
                      <w:pPr>
                        <w:spacing w:line="360" w:lineRule="auto"/>
                        <w:rPr>
                          <w:rFonts w:ascii="Times New Roman" w:hAnsi="Times New Roman"/>
                        </w:rPr>
                      </w:pPr>
                    </w:p>
                    <w:p>
                      <w:pPr>
                        <w:spacing w:line="360" w:lineRule="auto"/>
                        <w:jc w:val="center"/>
                        <w:rPr>
                          <w:rFonts w:ascii="Times New Roman" w:hAnsi="Times New Roman"/>
                        </w:rPr>
                      </w:pPr>
                      <w:r>
                        <w:rPr>
                          <w:rFonts w:hint="eastAsia" w:ascii="Times New Roman" w:hAnsi="Times New Roman"/>
                        </w:rPr>
                        <w:t>法定代表人身份证复印件</w:t>
                      </w:r>
                    </w:p>
                    <w:p>
                      <w:pPr>
                        <w:spacing w:line="360" w:lineRule="auto"/>
                        <w:ind w:firstLine="720" w:firstLineChars="300"/>
                        <w:rPr>
                          <w:rFonts w:ascii="Times New Roman" w:hAnsi="Times New Roman"/>
                        </w:rPr>
                      </w:pPr>
                      <w:r>
                        <w:rPr>
                          <w:rFonts w:hint="eastAsia" w:ascii="Times New Roman" w:hAnsi="Times New Roman"/>
                        </w:rPr>
                        <w:t>（二代证）（正反面）</w:t>
                      </w:r>
                    </w:p>
                    <w:p>
                      <w:pPr>
                        <w:spacing w:line="360" w:lineRule="auto"/>
                        <w:rPr>
                          <w:rFonts w:ascii="Times New Roman" w:hAnsi="Times New Roman"/>
                        </w:rPr>
                      </w:pPr>
                    </w:p>
                  </w:txbxContent>
                </v:textbox>
              </v:rect>
            </w:pict>
          </mc:Fallback>
        </mc:AlternateContent>
      </w:r>
      <w:r>
        <w:rPr>
          <w:rFonts w:cs="宋体"/>
          <w:szCs w:val="21"/>
          <w:highlight w:val="none"/>
        </w:rPr>
        <mc:AlternateContent>
          <mc:Choice Requires="wps">
            <w:drawing>
              <wp:anchor distT="0" distB="0" distL="114300" distR="114300" simplePos="0" relativeHeight="251663360" behindDoc="0" locked="0" layoutInCell="1" allowOverlap="1">
                <wp:simplePos x="0" y="0"/>
                <wp:positionH relativeFrom="column">
                  <wp:posOffset>3305810</wp:posOffset>
                </wp:positionH>
                <wp:positionV relativeFrom="paragraph">
                  <wp:posOffset>101600</wp:posOffset>
                </wp:positionV>
                <wp:extent cx="2780030" cy="1866265"/>
                <wp:effectExtent l="4445" t="4445" r="15875" b="15240"/>
                <wp:wrapNone/>
                <wp:docPr id="5" name="矩形 5"/>
                <wp:cNvGraphicFramePr/>
                <a:graphic xmlns:a="http://schemas.openxmlformats.org/drawingml/2006/main">
                  <a:graphicData uri="http://schemas.microsoft.com/office/word/2010/wordprocessingShape">
                    <wps:wsp>
                      <wps:cNvSpPr/>
                      <wps:spPr>
                        <a:xfrm>
                          <a:off x="0" y="0"/>
                          <a:ext cx="2780030" cy="186626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360" w:lineRule="auto"/>
                              <w:rPr>
                                <w:rFonts w:ascii="Times New Roman" w:hAnsi="Times New Roman"/>
                              </w:rPr>
                            </w:pPr>
                          </w:p>
                          <w:p>
                            <w:pPr>
                              <w:spacing w:line="360" w:lineRule="auto"/>
                              <w:rPr>
                                <w:rFonts w:ascii="Times New Roman" w:hAnsi="Times New Roman"/>
                              </w:rPr>
                            </w:pPr>
                          </w:p>
                          <w:p>
                            <w:pPr>
                              <w:spacing w:line="360" w:lineRule="auto"/>
                              <w:rPr>
                                <w:rFonts w:ascii="Times New Roman" w:hAnsi="Times New Roman"/>
                              </w:rPr>
                            </w:pPr>
                          </w:p>
                          <w:p>
                            <w:pPr>
                              <w:spacing w:line="360" w:lineRule="auto"/>
                              <w:jc w:val="center"/>
                              <w:rPr>
                                <w:rFonts w:ascii="Times New Roman" w:hAnsi="Times New Roman"/>
                              </w:rPr>
                            </w:pPr>
                            <w:r>
                              <w:rPr>
                                <w:rFonts w:hint="eastAsia" w:cs="宋体"/>
                              </w:rPr>
                              <w:t>授权委托人</w:t>
                            </w:r>
                            <w:r>
                              <w:rPr>
                                <w:rFonts w:hint="eastAsia" w:ascii="Times New Roman" w:hAnsi="Times New Roman"/>
                              </w:rPr>
                              <w:t>身份证复印件</w:t>
                            </w:r>
                          </w:p>
                          <w:p>
                            <w:pPr>
                              <w:spacing w:line="360" w:lineRule="auto"/>
                              <w:ind w:firstLine="960" w:firstLineChars="400"/>
                              <w:rPr>
                                <w:rFonts w:ascii="Times New Roman" w:hAnsi="Times New Roman"/>
                              </w:rPr>
                            </w:pPr>
                            <w:r>
                              <w:rPr>
                                <w:rFonts w:hint="eastAsia" w:ascii="Times New Roman" w:hAnsi="Times New Roman"/>
                              </w:rPr>
                              <w:t>（二代证）（正反面）</w:t>
                            </w:r>
                          </w:p>
                          <w:p>
                            <w:pPr>
                              <w:spacing w:line="360" w:lineRule="auto"/>
                              <w:rPr>
                                <w:rFonts w:ascii="Times New Roman" w:hAnsi="Times New Roman"/>
                              </w:rPr>
                            </w:pPr>
                          </w:p>
                        </w:txbxContent>
                      </wps:txbx>
                      <wps:bodyPr upright="1"/>
                    </wps:wsp>
                  </a:graphicData>
                </a:graphic>
              </wp:anchor>
            </w:drawing>
          </mc:Choice>
          <mc:Fallback>
            <w:pict>
              <v:rect id="_x0000_s1026" o:spid="_x0000_s1026" o:spt="1" style="position:absolute;left:0pt;margin-left:260.3pt;margin-top:8pt;height:146.95pt;width:218.9pt;z-index:251663360;mso-width-relative:page;mso-height-relative:page;" fillcolor="#FFFFFF" filled="t" stroked="t" coordsize="21600,21600" o:gfxdata="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JkDzDYAAAACgEAAA8AAAAAAAAAAQAgAAAAIgAA&#10;AGRycy9kb3ducmV2LnhtbFBLAQIUABQAAAAIAIdO4kCjTtxWCAIAADgEAAAOAAAAAAAAAAEAIAAA&#10;ACcBAABkcnMvZTJvRG9jLnhtbFBLBQYAAAAABgAGAFkBAAChBQAAAAA=&#10;">
                <v:fill on="t" focussize="0,0"/>
                <v:stroke color="#000000" joinstyle="miter"/>
                <v:imagedata o:title=""/>
                <o:lock v:ext="edit" aspectratio="f"/>
                <v:textbox>
                  <w:txbxContent>
                    <w:p>
                      <w:pPr>
                        <w:spacing w:line="360" w:lineRule="auto"/>
                        <w:rPr>
                          <w:rFonts w:ascii="Times New Roman" w:hAnsi="Times New Roman"/>
                        </w:rPr>
                      </w:pPr>
                    </w:p>
                    <w:p>
                      <w:pPr>
                        <w:spacing w:line="360" w:lineRule="auto"/>
                        <w:rPr>
                          <w:rFonts w:ascii="Times New Roman" w:hAnsi="Times New Roman"/>
                        </w:rPr>
                      </w:pPr>
                    </w:p>
                    <w:p>
                      <w:pPr>
                        <w:spacing w:line="360" w:lineRule="auto"/>
                        <w:rPr>
                          <w:rFonts w:ascii="Times New Roman" w:hAnsi="Times New Roman"/>
                        </w:rPr>
                      </w:pPr>
                    </w:p>
                    <w:p>
                      <w:pPr>
                        <w:spacing w:line="360" w:lineRule="auto"/>
                        <w:jc w:val="center"/>
                        <w:rPr>
                          <w:rFonts w:ascii="Times New Roman" w:hAnsi="Times New Roman"/>
                        </w:rPr>
                      </w:pPr>
                      <w:r>
                        <w:rPr>
                          <w:rFonts w:hint="eastAsia" w:cs="宋体"/>
                        </w:rPr>
                        <w:t>授权委托人</w:t>
                      </w:r>
                      <w:r>
                        <w:rPr>
                          <w:rFonts w:hint="eastAsia" w:ascii="Times New Roman" w:hAnsi="Times New Roman"/>
                        </w:rPr>
                        <w:t>身份证复印件</w:t>
                      </w:r>
                    </w:p>
                    <w:p>
                      <w:pPr>
                        <w:spacing w:line="360" w:lineRule="auto"/>
                        <w:ind w:firstLine="960" w:firstLineChars="400"/>
                        <w:rPr>
                          <w:rFonts w:ascii="Times New Roman" w:hAnsi="Times New Roman"/>
                        </w:rPr>
                      </w:pPr>
                      <w:r>
                        <w:rPr>
                          <w:rFonts w:hint="eastAsia" w:ascii="Times New Roman" w:hAnsi="Times New Roman"/>
                        </w:rPr>
                        <w:t>（二代证）（正反面）</w:t>
                      </w:r>
                    </w:p>
                    <w:p>
                      <w:pPr>
                        <w:spacing w:line="360" w:lineRule="auto"/>
                        <w:rPr>
                          <w:rFonts w:ascii="Times New Roman" w:hAnsi="Times New Roman"/>
                        </w:rPr>
                      </w:pPr>
                    </w:p>
                  </w:txbxContent>
                </v:textbox>
              </v:rect>
            </w:pict>
          </mc:Fallback>
        </mc:AlternateContent>
      </w:r>
    </w:p>
    <w:p>
      <w:pPr>
        <w:spacing w:line="360" w:lineRule="auto"/>
        <w:ind w:firstLine="480" w:firstLineChars="200"/>
        <w:rPr>
          <w:rFonts w:cs="宋体"/>
          <w:szCs w:val="21"/>
          <w:highlight w:val="none"/>
        </w:rPr>
      </w:pPr>
    </w:p>
    <w:p>
      <w:pPr>
        <w:spacing w:line="360" w:lineRule="auto"/>
        <w:ind w:firstLine="480" w:firstLineChars="200"/>
        <w:rPr>
          <w:rFonts w:cs="宋体"/>
          <w:szCs w:val="21"/>
          <w:highlight w:val="none"/>
        </w:rPr>
      </w:pPr>
    </w:p>
    <w:p>
      <w:pPr>
        <w:tabs>
          <w:tab w:val="left" w:pos="6100"/>
        </w:tabs>
        <w:spacing w:line="360" w:lineRule="auto"/>
        <w:ind w:firstLine="480" w:firstLineChars="200"/>
        <w:rPr>
          <w:rFonts w:cs="宋体"/>
          <w:szCs w:val="21"/>
          <w:highlight w:val="none"/>
        </w:rPr>
      </w:pPr>
      <w:r>
        <w:rPr>
          <w:rFonts w:hint="eastAsia" w:cs="宋体"/>
          <w:szCs w:val="21"/>
          <w:highlight w:val="none"/>
        </w:rPr>
        <w:tab/>
      </w:r>
    </w:p>
    <w:p>
      <w:pPr>
        <w:spacing w:line="360" w:lineRule="auto"/>
        <w:ind w:firstLine="480" w:firstLineChars="200"/>
        <w:rPr>
          <w:rFonts w:cs="宋体"/>
          <w:szCs w:val="21"/>
          <w:highlight w:val="none"/>
        </w:rPr>
      </w:pPr>
    </w:p>
    <w:p>
      <w:pPr>
        <w:spacing w:line="360" w:lineRule="auto"/>
        <w:ind w:firstLine="480" w:firstLineChars="200"/>
        <w:rPr>
          <w:rFonts w:cs="宋体"/>
          <w:szCs w:val="21"/>
          <w:highlight w:val="none"/>
        </w:rPr>
      </w:pPr>
    </w:p>
    <w:p>
      <w:pPr>
        <w:spacing w:line="360" w:lineRule="auto"/>
        <w:ind w:firstLine="480" w:firstLineChars="200"/>
        <w:rPr>
          <w:rFonts w:cs="宋体"/>
          <w:szCs w:val="21"/>
          <w:highlight w:val="none"/>
        </w:rPr>
      </w:pPr>
    </w:p>
    <w:p>
      <w:pPr>
        <w:spacing w:line="360" w:lineRule="auto"/>
        <w:ind w:firstLine="480" w:firstLineChars="200"/>
        <w:rPr>
          <w:rFonts w:cs="宋体"/>
          <w:szCs w:val="21"/>
          <w:highlight w:val="none"/>
        </w:rPr>
      </w:pPr>
    </w:p>
    <w:p>
      <w:pPr>
        <w:adjustRightInd w:val="0"/>
        <w:snapToGrid w:val="0"/>
        <w:spacing w:line="360" w:lineRule="auto"/>
        <w:ind w:firstLine="480" w:firstLineChars="200"/>
        <w:rPr>
          <w:rFonts w:cs="宋体"/>
          <w:highlight w:val="none"/>
        </w:rPr>
      </w:pPr>
    </w:p>
    <w:p>
      <w:pPr>
        <w:adjustRightInd w:val="0"/>
        <w:snapToGrid w:val="0"/>
        <w:spacing w:line="360" w:lineRule="auto"/>
        <w:ind w:firstLine="480" w:firstLineChars="200"/>
        <w:rPr>
          <w:rFonts w:cs="宋体"/>
          <w:highlight w:val="none"/>
        </w:rPr>
      </w:pPr>
    </w:p>
    <w:p>
      <w:pPr>
        <w:adjustRightInd w:val="0"/>
        <w:snapToGrid w:val="0"/>
        <w:spacing w:line="480" w:lineRule="auto"/>
        <w:ind w:firstLine="480" w:firstLineChars="200"/>
        <w:rPr>
          <w:rFonts w:cs="宋体"/>
          <w:highlight w:val="none"/>
          <w:u w:val="single"/>
        </w:rPr>
      </w:pPr>
      <w:r>
        <w:rPr>
          <w:rFonts w:hint="eastAsia" w:cs="宋体"/>
          <w:highlight w:val="none"/>
        </w:rPr>
        <w:t>供应商（盖章）：</w:t>
      </w:r>
    </w:p>
    <w:p>
      <w:pPr>
        <w:adjustRightInd w:val="0"/>
        <w:snapToGrid w:val="0"/>
        <w:spacing w:line="480" w:lineRule="auto"/>
        <w:ind w:firstLine="480" w:firstLineChars="200"/>
        <w:rPr>
          <w:rFonts w:cs="宋体"/>
          <w:highlight w:val="none"/>
          <w:u w:val="single"/>
        </w:rPr>
      </w:pPr>
      <w:r>
        <w:rPr>
          <w:rFonts w:hint="eastAsia" w:cs="宋体"/>
          <w:highlight w:val="none"/>
        </w:rPr>
        <w:t>法定代表人（签字）：</w:t>
      </w:r>
    </w:p>
    <w:p>
      <w:pPr>
        <w:adjustRightInd w:val="0"/>
        <w:snapToGrid w:val="0"/>
        <w:spacing w:line="480" w:lineRule="auto"/>
        <w:ind w:firstLine="480" w:firstLineChars="200"/>
        <w:rPr>
          <w:rFonts w:cs="宋体"/>
          <w:highlight w:val="none"/>
          <w:u w:val="single"/>
        </w:rPr>
      </w:pPr>
      <w:r>
        <w:rPr>
          <w:rFonts w:hint="eastAsia" w:cs="宋体"/>
          <w:highlight w:val="none"/>
        </w:rPr>
        <w:t>身份证号码：</w:t>
      </w:r>
    </w:p>
    <w:p>
      <w:pPr>
        <w:adjustRightInd w:val="0"/>
        <w:snapToGrid w:val="0"/>
        <w:spacing w:line="480" w:lineRule="auto"/>
        <w:ind w:firstLine="480" w:firstLineChars="200"/>
        <w:rPr>
          <w:rFonts w:cs="宋体"/>
          <w:highlight w:val="none"/>
          <w:u w:val="single"/>
        </w:rPr>
      </w:pPr>
      <w:r>
        <w:rPr>
          <w:rFonts w:hint="eastAsia" w:cs="宋体"/>
          <w:highlight w:val="none"/>
        </w:rPr>
        <w:t>授权委托人（签字）：</w:t>
      </w:r>
    </w:p>
    <w:p>
      <w:pPr>
        <w:adjustRightInd w:val="0"/>
        <w:snapToGrid w:val="0"/>
        <w:spacing w:line="480" w:lineRule="auto"/>
        <w:ind w:firstLine="480" w:firstLineChars="200"/>
        <w:rPr>
          <w:rFonts w:cs="宋体"/>
          <w:highlight w:val="none"/>
          <w:u w:val="single"/>
        </w:rPr>
      </w:pPr>
      <w:r>
        <w:rPr>
          <w:rFonts w:hint="eastAsia" w:cs="宋体"/>
          <w:highlight w:val="none"/>
        </w:rPr>
        <w:t>身份证号码：</w:t>
      </w:r>
    </w:p>
    <w:p>
      <w:pPr>
        <w:adjustRightInd w:val="0"/>
        <w:snapToGrid w:val="0"/>
        <w:spacing w:line="480" w:lineRule="auto"/>
        <w:ind w:firstLine="480" w:firstLineChars="200"/>
        <w:rPr>
          <w:rFonts w:cs="宋体"/>
          <w:highlight w:val="none"/>
        </w:rPr>
      </w:pPr>
      <w:r>
        <w:rPr>
          <w:rFonts w:hint="eastAsia" w:cs="宋体"/>
          <w:highlight w:val="none"/>
        </w:rPr>
        <w:t>日期：年月日</w:t>
      </w:r>
    </w:p>
    <w:p>
      <w:pPr>
        <w:snapToGrid w:val="0"/>
        <w:spacing w:line="360" w:lineRule="auto"/>
        <w:ind w:firstLine="562" w:firstLineChars="200"/>
        <w:jc w:val="center"/>
        <w:rPr>
          <w:rFonts w:cs="宋体"/>
          <w:b/>
          <w:sz w:val="28"/>
          <w:szCs w:val="28"/>
          <w:highlight w:val="none"/>
        </w:rPr>
      </w:pPr>
      <w:bookmarkStart w:id="161" w:name="_Toc5380_WPSOffice_Level1"/>
      <w:r>
        <w:rPr>
          <w:rFonts w:hint="eastAsia" w:cs="宋体"/>
          <w:b/>
          <w:sz w:val="28"/>
          <w:szCs w:val="28"/>
          <w:highlight w:val="none"/>
        </w:rPr>
        <w:br w:type="page"/>
      </w:r>
      <w:bookmarkStart w:id="162" w:name="_Toc28121"/>
      <w:bookmarkStart w:id="163" w:name="_Toc31519"/>
      <w:bookmarkStart w:id="164" w:name="_Toc857"/>
      <w:r>
        <w:rPr>
          <w:rFonts w:hint="eastAsia" w:cs="宋体"/>
          <w:b/>
          <w:sz w:val="28"/>
          <w:szCs w:val="28"/>
          <w:highlight w:val="none"/>
        </w:rPr>
        <w:t>七、资格证明文件</w:t>
      </w:r>
      <w:bookmarkEnd w:id="161"/>
      <w:bookmarkEnd w:id="162"/>
      <w:bookmarkEnd w:id="163"/>
      <w:bookmarkEnd w:id="164"/>
    </w:p>
    <w:p>
      <w:pPr>
        <w:spacing w:beforeLines="50" w:afterLines="100" w:line="440" w:lineRule="exact"/>
        <w:rPr>
          <w:rFonts w:cs="宋体"/>
          <w:b/>
          <w:highlight w:val="none"/>
        </w:rPr>
      </w:pPr>
      <w:r>
        <w:rPr>
          <w:rFonts w:hint="eastAsia" w:cs="宋体"/>
          <w:b/>
          <w:highlight w:val="none"/>
        </w:rPr>
        <w:t>1、供应商基本情况表</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9"/>
        <w:gridCol w:w="1926"/>
        <w:gridCol w:w="1909"/>
        <w:gridCol w:w="91"/>
        <w:gridCol w:w="566"/>
        <w:gridCol w:w="755"/>
        <w:gridCol w:w="291"/>
        <w:gridCol w:w="2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2"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cs="宋体"/>
                <w:highlight w:val="none"/>
              </w:rPr>
            </w:pPr>
            <w:r>
              <w:rPr>
                <w:rFonts w:hint="eastAsia" w:cs="宋体"/>
                <w:highlight w:val="none"/>
              </w:rPr>
              <w:t>供应商名称</w:t>
            </w:r>
          </w:p>
        </w:tc>
        <w:tc>
          <w:tcPr>
            <w:tcW w:w="4127" w:type="pct"/>
            <w:gridSpan w:val="7"/>
            <w:tcBorders>
              <w:top w:val="single" w:color="auto" w:sz="4" w:space="0"/>
              <w:left w:val="nil"/>
              <w:bottom w:val="single" w:color="auto" w:sz="4" w:space="0"/>
              <w:right w:val="single" w:color="auto" w:sz="4" w:space="0"/>
            </w:tcBorders>
            <w:noWrap/>
            <w:vAlign w:val="center"/>
          </w:tcPr>
          <w:p>
            <w:pPr>
              <w:spacing w:line="360" w:lineRule="auto"/>
              <w:jc w:val="center"/>
              <w:rPr>
                <w:rFonts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2"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cs="宋体"/>
                <w:highlight w:val="none"/>
              </w:rPr>
            </w:pPr>
            <w:r>
              <w:rPr>
                <w:rFonts w:hint="eastAsia" w:cs="宋体"/>
                <w:highlight w:val="none"/>
              </w:rPr>
              <w:t>注册地址</w:t>
            </w:r>
          </w:p>
        </w:tc>
        <w:tc>
          <w:tcPr>
            <w:tcW w:w="1991" w:type="pct"/>
            <w:gridSpan w:val="2"/>
            <w:tcBorders>
              <w:top w:val="single" w:color="auto" w:sz="4" w:space="0"/>
              <w:left w:val="nil"/>
              <w:bottom w:val="single" w:color="auto" w:sz="4" w:space="0"/>
              <w:right w:val="single" w:color="auto" w:sz="4" w:space="0"/>
            </w:tcBorders>
            <w:noWrap/>
            <w:vAlign w:val="center"/>
          </w:tcPr>
          <w:p>
            <w:pPr>
              <w:spacing w:line="360" w:lineRule="auto"/>
              <w:jc w:val="center"/>
              <w:rPr>
                <w:rFonts w:cs="宋体"/>
                <w:highlight w:val="none"/>
              </w:rPr>
            </w:pPr>
          </w:p>
        </w:tc>
        <w:tc>
          <w:tcPr>
            <w:tcW w:w="733" w:type="pct"/>
            <w:gridSpan w:val="3"/>
            <w:tcBorders>
              <w:top w:val="single" w:color="auto" w:sz="4" w:space="0"/>
              <w:left w:val="nil"/>
              <w:bottom w:val="single" w:color="auto" w:sz="4" w:space="0"/>
              <w:right w:val="single" w:color="auto" w:sz="4" w:space="0"/>
            </w:tcBorders>
            <w:noWrap/>
            <w:vAlign w:val="center"/>
          </w:tcPr>
          <w:p>
            <w:pPr>
              <w:spacing w:line="360" w:lineRule="auto"/>
              <w:jc w:val="center"/>
              <w:rPr>
                <w:rFonts w:cs="宋体"/>
                <w:highlight w:val="none"/>
              </w:rPr>
            </w:pPr>
            <w:r>
              <w:rPr>
                <w:rFonts w:hint="eastAsia" w:cs="宋体"/>
                <w:highlight w:val="none"/>
              </w:rPr>
              <w:t>邮政编码</w:t>
            </w:r>
          </w:p>
        </w:tc>
        <w:tc>
          <w:tcPr>
            <w:tcW w:w="1402" w:type="pct"/>
            <w:gridSpan w:val="2"/>
            <w:tcBorders>
              <w:top w:val="single" w:color="auto" w:sz="4" w:space="0"/>
              <w:left w:val="nil"/>
              <w:bottom w:val="single" w:color="auto" w:sz="4" w:space="0"/>
              <w:right w:val="single" w:color="auto" w:sz="4" w:space="0"/>
            </w:tcBorders>
            <w:noWrap/>
            <w:vAlign w:val="center"/>
          </w:tcPr>
          <w:p>
            <w:pPr>
              <w:spacing w:line="360" w:lineRule="auto"/>
              <w:jc w:val="center"/>
              <w:rPr>
                <w:rFonts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72" w:type="pct"/>
            <w:vMerge w:val="restart"/>
            <w:tcBorders>
              <w:top w:val="nil"/>
              <w:left w:val="single" w:color="auto" w:sz="4" w:space="0"/>
              <w:bottom w:val="single" w:color="auto" w:sz="4" w:space="0"/>
              <w:right w:val="single" w:color="auto" w:sz="4" w:space="0"/>
            </w:tcBorders>
            <w:noWrap/>
            <w:vAlign w:val="center"/>
          </w:tcPr>
          <w:p>
            <w:pPr>
              <w:spacing w:line="360" w:lineRule="auto"/>
              <w:jc w:val="center"/>
              <w:rPr>
                <w:rFonts w:cs="宋体"/>
                <w:highlight w:val="none"/>
              </w:rPr>
            </w:pPr>
            <w:r>
              <w:rPr>
                <w:rFonts w:hint="eastAsia" w:cs="宋体"/>
                <w:highlight w:val="none"/>
              </w:rPr>
              <w:t>联系方式</w:t>
            </w:r>
          </w:p>
        </w:tc>
        <w:tc>
          <w:tcPr>
            <w:tcW w:w="1000" w:type="pct"/>
            <w:tcBorders>
              <w:top w:val="single" w:color="auto" w:sz="4" w:space="0"/>
              <w:left w:val="nil"/>
              <w:bottom w:val="single" w:color="auto" w:sz="4" w:space="0"/>
              <w:right w:val="single" w:color="auto" w:sz="4" w:space="0"/>
            </w:tcBorders>
            <w:noWrap/>
            <w:vAlign w:val="center"/>
          </w:tcPr>
          <w:p>
            <w:pPr>
              <w:spacing w:line="360" w:lineRule="auto"/>
              <w:jc w:val="center"/>
              <w:rPr>
                <w:rFonts w:cs="宋体"/>
                <w:highlight w:val="none"/>
              </w:rPr>
            </w:pPr>
            <w:r>
              <w:rPr>
                <w:rFonts w:hint="eastAsia" w:cs="宋体"/>
                <w:highlight w:val="none"/>
              </w:rPr>
              <w:t>联系人</w:t>
            </w:r>
          </w:p>
        </w:tc>
        <w:tc>
          <w:tcPr>
            <w:tcW w:w="990" w:type="pct"/>
            <w:tcBorders>
              <w:top w:val="single" w:color="auto" w:sz="4" w:space="0"/>
              <w:left w:val="nil"/>
              <w:bottom w:val="single" w:color="auto" w:sz="4" w:space="0"/>
              <w:right w:val="single" w:color="auto" w:sz="4" w:space="0"/>
            </w:tcBorders>
            <w:noWrap/>
            <w:vAlign w:val="center"/>
          </w:tcPr>
          <w:p>
            <w:pPr>
              <w:spacing w:line="360" w:lineRule="auto"/>
              <w:jc w:val="center"/>
              <w:rPr>
                <w:rFonts w:cs="宋体"/>
                <w:highlight w:val="none"/>
              </w:rPr>
            </w:pPr>
          </w:p>
        </w:tc>
        <w:tc>
          <w:tcPr>
            <w:tcW w:w="733" w:type="pct"/>
            <w:gridSpan w:val="3"/>
            <w:tcBorders>
              <w:top w:val="single" w:color="auto" w:sz="4" w:space="0"/>
              <w:left w:val="nil"/>
              <w:bottom w:val="single" w:color="auto" w:sz="4" w:space="0"/>
              <w:right w:val="single" w:color="auto" w:sz="4" w:space="0"/>
            </w:tcBorders>
            <w:noWrap/>
            <w:vAlign w:val="center"/>
          </w:tcPr>
          <w:p>
            <w:pPr>
              <w:spacing w:line="360" w:lineRule="auto"/>
              <w:jc w:val="center"/>
              <w:rPr>
                <w:rFonts w:cs="宋体"/>
                <w:highlight w:val="none"/>
              </w:rPr>
            </w:pPr>
            <w:r>
              <w:rPr>
                <w:rFonts w:hint="eastAsia" w:cs="宋体"/>
                <w:highlight w:val="none"/>
              </w:rPr>
              <w:t>电  话</w:t>
            </w:r>
          </w:p>
        </w:tc>
        <w:tc>
          <w:tcPr>
            <w:tcW w:w="1402" w:type="pct"/>
            <w:gridSpan w:val="2"/>
            <w:tcBorders>
              <w:top w:val="single" w:color="auto" w:sz="4" w:space="0"/>
              <w:left w:val="nil"/>
              <w:bottom w:val="single" w:color="auto" w:sz="4" w:space="0"/>
              <w:right w:val="single" w:color="auto" w:sz="4" w:space="0"/>
            </w:tcBorders>
            <w:noWrap/>
            <w:vAlign w:val="center"/>
          </w:tcPr>
          <w:p>
            <w:pPr>
              <w:spacing w:line="360" w:lineRule="auto"/>
              <w:jc w:val="center"/>
              <w:rPr>
                <w:rFonts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2" w:type="pct"/>
            <w:vMerge w:val="continue"/>
            <w:tcBorders>
              <w:top w:val="nil"/>
              <w:left w:val="single" w:color="auto" w:sz="4" w:space="0"/>
              <w:bottom w:val="single" w:color="auto" w:sz="4" w:space="0"/>
              <w:right w:val="single" w:color="auto" w:sz="4" w:space="0"/>
            </w:tcBorders>
            <w:noWrap/>
            <w:vAlign w:val="center"/>
          </w:tcPr>
          <w:p>
            <w:pPr>
              <w:widowControl/>
              <w:spacing w:line="360" w:lineRule="auto"/>
              <w:jc w:val="left"/>
              <w:rPr>
                <w:rFonts w:cs="宋体"/>
                <w:highlight w:val="none"/>
              </w:rPr>
            </w:pPr>
          </w:p>
        </w:tc>
        <w:tc>
          <w:tcPr>
            <w:tcW w:w="1000" w:type="pct"/>
            <w:tcBorders>
              <w:top w:val="single" w:color="auto" w:sz="4" w:space="0"/>
              <w:left w:val="nil"/>
              <w:bottom w:val="single" w:color="auto" w:sz="4" w:space="0"/>
              <w:right w:val="single" w:color="auto" w:sz="4" w:space="0"/>
            </w:tcBorders>
            <w:noWrap/>
            <w:vAlign w:val="center"/>
          </w:tcPr>
          <w:p>
            <w:pPr>
              <w:spacing w:line="360" w:lineRule="auto"/>
              <w:jc w:val="center"/>
              <w:rPr>
                <w:rFonts w:cs="宋体"/>
                <w:highlight w:val="none"/>
              </w:rPr>
            </w:pPr>
            <w:r>
              <w:rPr>
                <w:rFonts w:hint="eastAsia" w:cs="宋体"/>
                <w:highlight w:val="none"/>
              </w:rPr>
              <w:t>传  真</w:t>
            </w:r>
          </w:p>
        </w:tc>
        <w:tc>
          <w:tcPr>
            <w:tcW w:w="990" w:type="pct"/>
            <w:tcBorders>
              <w:top w:val="single" w:color="auto" w:sz="4" w:space="0"/>
              <w:left w:val="nil"/>
              <w:bottom w:val="single" w:color="auto" w:sz="4" w:space="0"/>
              <w:right w:val="single" w:color="auto" w:sz="4" w:space="0"/>
            </w:tcBorders>
            <w:noWrap/>
            <w:vAlign w:val="center"/>
          </w:tcPr>
          <w:p>
            <w:pPr>
              <w:spacing w:line="360" w:lineRule="auto"/>
              <w:jc w:val="center"/>
              <w:rPr>
                <w:rFonts w:cs="宋体"/>
                <w:highlight w:val="none"/>
              </w:rPr>
            </w:pPr>
          </w:p>
        </w:tc>
        <w:tc>
          <w:tcPr>
            <w:tcW w:w="733" w:type="pct"/>
            <w:gridSpan w:val="3"/>
            <w:tcBorders>
              <w:top w:val="single" w:color="auto" w:sz="4" w:space="0"/>
              <w:left w:val="nil"/>
              <w:bottom w:val="single" w:color="auto" w:sz="4" w:space="0"/>
              <w:right w:val="single" w:color="auto" w:sz="4" w:space="0"/>
            </w:tcBorders>
            <w:noWrap/>
            <w:vAlign w:val="center"/>
          </w:tcPr>
          <w:p>
            <w:pPr>
              <w:spacing w:line="360" w:lineRule="auto"/>
              <w:jc w:val="center"/>
              <w:rPr>
                <w:rFonts w:cs="宋体"/>
                <w:highlight w:val="none"/>
              </w:rPr>
            </w:pPr>
            <w:r>
              <w:rPr>
                <w:rFonts w:hint="eastAsia" w:cs="宋体"/>
                <w:highlight w:val="none"/>
              </w:rPr>
              <w:t>网  址</w:t>
            </w:r>
          </w:p>
        </w:tc>
        <w:tc>
          <w:tcPr>
            <w:tcW w:w="1402" w:type="pct"/>
            <w:gridSpan w:val="2"/>
            <w:tcBorders>
              <w:top w:val="single" w:color="auto" w:sz="4" w:space="0"/>
              <w:left w:val="nil"/>
              <w:bottom w:val="single" w:color="auto" w:sz="4" w:space="0"/>
              <w:right w:val="single" w:color="auto" w:sz="4" w:space="0"/>
            </w:tcBorders>
            <w:noWrap/>
            <w:vAlign w:val="center"/>
          </w:tcPr>
          <w:p>
            <w:pPr>
              <w:spacing w:line="360" w:lineRule="auto"/>
              <w:jc w:val="center"/>
              <w:rPr>
                <w:rFonts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2"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cs="宋体"/>
                <w:highlight w:val="none"/>
              </w:rPr>
            </w:pPr>
            <w:r>
              <w:rPr>
                <w:rFonts w:hint="eastAsia" w:cs="宋体"/>
                <w:highlight w:val="none"/>
              </w:rPr>
              <w:t>组织结构</w:t>
            </w:r>
          </w:p>
        </w:tc>
        <w:tc>
          <w:tcPr>
            <w:tcW w:w="4127" w:type="pct"/>
            <w:gridSpan w:val="7"/>
            <w:tcBorders>
              <w:top w:val="single" w:color="auto" w:sz="4" w:space="0"/>
              <w:left w:val="nil"/>
              <w:bottom w:val="single" w:color="auto" w:sz="4" w:space="0"/>
              <w:right w:val="single" w:color="auto" w:sz="4" w:space="0"/>
            </w:tcBorders>
            <w:noWrap/>
            <w:vAlign w:val="center"/>
          </w:tcPr>
          <w:p>
            <w:pPr>
              <w:spacing w:line="360" w:lineRule="auto"/>
              <w:jc w:val="center"/>
              <w:rPr>
                <w:rFonts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2"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cs="宋体"/>
                <w:highlight w:val="none"/>
              </w:rPr>
            </w:pPr>
            <w:r>
              <w:rPr>
                <w:rFonts w:hint="eastAsia" w:cs="宋体"/>
                <w:highlight w:val="none"/>
              </w:rPr>
              <w:t>法定代表人</w:t>
            </w:r>
          </w:p>
        </w:tc>
        <w:tc>
          <w:tcPr>
            <w:tcW w:w="1000" w:type="pct"/>
            <w:tcBorders>
              <w:top w:val="single" w:color="auto" w:sz="4" w:space="0"/>
              <w:left w:val="nil"/>
              <w:bottom w:val="single" w:color="auto" w:sz="4" w:space="0"/>
              <w:right w:val="single" w:color="auto" w:sz="4" w:space="0"/>
            </w:tcBorders>
            <w:noWrap/>
            <w:vAlign w:val="center"/>
          </w:tcPr>
          <w:p>
            <w:pPr>
              <w:spacing w:line="360" w:lineRule="auto"/>
              <w:jc w:val="center"/>
              <w:rPr>
                <w:rFonts w:cs="宋体"/>
                <w:highlight w:val="none"/>
              </w:rPr>
            </w:pPr>
            <w:r>
              <w:rPr>
                <w:rFonts w:hint="eastAsia" w:cs="宋体"/>
                <w:highlight w:val="none"/>
              </w:rPr>
              <w:t>姓名</w:t>
            </w:r>
          </w:p>
        </w:tc>
        <w:tc>
          <w:tcPr>
            <w:tcW w:w="1038" w:type="pct"/>
            <w:gridSpan w:val="2"/>
            <w:tcBorders>
              <w:top w:val="single" w:color="auto" w:sz="4" w:space="0"/>
              <w:left w:val="nil"/>
              <w:bottom w:val="single" w:color="auto" w:sz="4" w:space="0"/>
              <w:right w:val="single" w:color="auto" w:sz="4" w:space="0"/>
            </w:tcBorders>
            <w:noWrap/>
            <w:vAlign w:val="center"/>
          </w:tcPr>
          <w:p>
            <w:pPr>
              <w:spacing w:line="360" w:lineRule="auto"/>
              <w:jc w:val="center"/>
              <w:rPr>
                <w:rFonts w:cs="宋体"/>
                <w:highlight w:val="none"/>
              </w:rPr>
            </w:pPr>
          </w:p>
        </w:tc>
        <w:tc>
          <w:tcPr>
            <w:tcW w:w="837" w:type="pct"/>
            <w:gridSpan w:val="3"/>
            <w:tcBorders>
              <w:top w:val="single" w:color="auto" w:sz="4" w:space="0"/>
              <w:left w:val="nil"/>
              <w:bottom w:val="single" w:color="auto" w:sz="4" w:space="0"/>
              <w:right w:val="single" w:color="auto" w:sz="4" w:space="0"/>
            </w:tcBorders>
            <w:noWrap/>
            <w:vAlign w:val="center"/>
          </w:tcPr>
          <w:p>
            <w:pPr>
              <w:spacing w:line="360" w:lineRule="auto"/>
              <w:jc w:val="center"/>
              <w:rPr>
                <w:rFonts w:cs="宋体"/>
                <w:highlight w:val="none"/>
              </w:rPr>
            </w:pPr>
            <w:r>
              <w:rPr>
                <w:rFonts w:hint="eastAsia" w:cs="宋体"/>
                <w:highlight w:val="none"/>
              </w:rPr>
              <w:t>电话</w:t>
            </w:r>
          </w:p>
        </w:tc>
        <w:tc>
          <w:tcPr>
            <w:tcW w:w="1250" w:type="pct"/>
            <w:tcBorders>
              <w:top w:val="single" w:color="auto" w:sz="4" w:space="0"/>
              <w:left w:val="nil"/>
              <w:bottom w:val="single" w:color="auto" w:sz="4" w:space="0"/>
              <w:right w:val="single" w:color="auto" w:sz="4" w:space="0"/>
            </w:tcBorders>
            <w:noWrap/>
            <w:vAlign w:val="center"/>
          </w:tcPr>
          <w:p>
            <w:pPr>
              <w:spacing w:line="360" w:lineRule="auto"/>
              <w:jc w:val="center"/>
              <w:rPr>
                <w:rFonts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6" w:hRule="atLeast"/>
          <w:jc w:val="center"/>
        </w:trPr>
        <w:tc>
          <w:tcPr>
            <w:tcW w:w="872"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cs="宋体"/>
                <w:highlight w:val="none"/>
              </w:rPr>
            </w:pPr>
            <w:r>
              <w:rPr>
                <w:rFonts w:hint="eastAsia" w:cs="宋体"/>
                <w:highlight w:val="none"/>
              </w:rPr>
              <w:t>成立时间</w:t>
            </w:r>
          </w:p>
        </w:tc>
        <w:tc>
          <w:tcPr>
            <w:tcW w:w="1000" w:type="pct"/>
            <w:tcBorders>
              <w:top w:val="single" w:color="auto" w:sz="4" w:space="0"/>
              <w:left w:val="nil"/>
              <w:bottom w:val="single" w:color="auto" w:sz="4" w:space="0"/>
              <w:right w:val="single" w:color="auto" w:sz="4" w:space="0"/>
            </w:tcBorders>
            <w:noWrap/>
            <w:vAlign w:val="center"/>
          </w:tcPr>
          <w:p>
            <w:pPr>
              <w:spacing w:line="360" w:lineRule="auto"/>
              <w:jc w:val="center"/>
              <w:rPr>
                <w:rFonts w:cs="宋体"/>
                <w:highlight w:val="none"/>
              </w:rPr>
            </w:pPr>
          </w:p>
        </w:tc>
        <w:tc>
          <w:tcPr>
            <w:tcW w:w="3126" w:type="pct"/>
            <w:gridSpan w:val="6"/>
            <w:tcBorders>
              <w:top w:val="single" w:color="auto" w:sz="4" w:space="0"/>
              <w:left w:val="nil"/>
              <w:bottom w:val="single" w:color="auto" w:sz="4" w:space="0"/>
              <w:right w:val="single" w:color="auto" w:sz="4" w:space="0"/>
            </w:tcBorders>
            <w:noWrap/>
            <w:vAlign w:val="center"/>
          </w:tcPr>
          <w:p>
            <w:pPr>
              <w:spacing w:line="360" w:lineRule="auto"/>
              <w:rPr>
                <w:rFonts w:cs="宋体"/>
                <w:highlight w:val="none"/>
              </w:rPr>
            </w:pPr>
            <w:r>
              <w:rPr>
                <w:rFonts w:hint="eastAsia" w:cs="宋体"/>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872"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cs="宋体"/>
                <w:highlight w:val="none"/>
              </w:rPr>
            </w:pPr>
            <w:r>
              <w:rPr>
                <w:rFonts w:hint="eastAsia" w:cs="宋体"/>
                <w:highlight w:val="none"/>
              </w:rPr>
              <w:t>开户银行</w:t>
            </w:r>
          </w:p>
        </w:tc>
        <w:tc>
          <w:tcPr>
            <w:tcW w:w="1000" w:type="pct"/>
            <w:tcBorders>
              <w:top w:val="single" w:color="auto" w:sz="4" w:space="0"/>
              <w:left w:val="nil"/>
              <w:bottom w:val="single" w:color="auto" w:sz="4" w:space="0"/>
              <w:right w:val="single" w:color="auto" w:sz="4" w:space="0"/>
            </w:tcBorders>
            <w:noWrap/>
            <w:vAlign w:val="center"/>
          </w:tcPr>
          <w:p>
            <w:pPr>
              <w:spacing w:line="360" w:lineRule="auto"/>
              <w:jc w:val="center"/>
              <w:rPr>
                <w:rFonts w:cs="宋体"/>
                <w:highlight w:val="none"/>
              </w:rPr>
            </w:pPr>
          </w:p>
        </w:tc>
        <w:tc>
          <w:tcPr>
            <w:tcW w:w="1332" w:type="pct"/>
            <w:gridSpan w:val="3"/>
            <w:tcBorders>
              <w:top w:val="single" w:color="auto" w:sz="4" w:space="0"/>
              <w:left w:val="nil"/>
              <w:bottom w:val="single" w:color="auto" w:sz="4" w:space="0"/>
              <w:right w:val="single" w:color="auto" w:sz="4" w:space="0"/>
            </w:tcBorders>
            <w:noWrap/>
            <w:vAlign w:val="center"/>
          </w:tcPr>
          <w:p>
            <w:pPr>
              <w:spacing w:line="360" w:lineRule="auto"/>
              <w:jc w:val="center"/>
              <w:rPr>
                <w:rFonts w:cs="宋体"/>
                <w:highlight w:val="none"/>
              </w:rPr>
            </w:pPr>
            <w:r>
              <w:rPr>
                <w:rFonts w:hint="eastAsia" w:cs="宋体"/>
                <w:highlight w:val="none"/>
              </w:rPr>
              <w:t>账号</w:t>
            </w:r>
          </w:p>
        </w:tc>
        <w:tc>
          <w:tcPr>
            <w:tcW w:w="1794" w:type="pct"/>
            <w:gridSpan w:val="3"/>
            <w:tcBorders>
              <w:top w:val="single" w:color="auto" w:sz="4" w:space="0"/>
              <w:left w:val="nil"/>
              <w:bottom w:val="single" w:color="auto" w:sz="4" w:space="0"/>
              <w:right w:val="single" w:color="auto" w:sz="4" w:space="0"/>
            </w:tcBorders>
            <w:noWrap/>
            <w:vAlign w:val="center"/>
          </w:tcPr>
          <w:p>
            <w:pPr>
              <w:spacing w:line="360" w:lineRule="auto"/>
              <w:jc w:val="center"/>
              <w:rPr>
                <w:rFonts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5" w:hRule="atLeast"/>
          <w:jc w:val="center"/>
        </w:trPr>
        <w:tc>
          <w:tcPr>
            <w:tcW w:w="872"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cs="宋体"/>
                <w:highlight w:val="none"/>
              </w:rPr>
            </w:pPr>
            <w:r>
              <w:rPr>
                <w:rFonts w:hint="eastAsia" w:cs="宋体"/>
                <w:highlight w:val="none"/>
              </w:rPr>
              <w:t>经营范围</w:t>
            </w:r>
          </w:p>
        </w:tc>
        <w:tc>
          <w:tcPr>
            <w:tcW w:w="4127" w:type="pct"/>
            <w:gridSpan w:val="7"/>
            <w:tcBorders>
              <w:top w:val="single" w:color="auto" w:sz="4" w:space="0"/>
              <w:left w:val="nil"/>
              <w:bottom w:val="single" w:color="auto" w:sz="4" w:space="0"/>
              <w:right w:val="single" w:color="auto" w:sz="4" w:space="0"/>
            </w:tcBorders>
            <w:noWrap/>
            <w:vAlign w:val="center"/>
          </w:tcPr>
          <w:p>
            <w:pPr>
              <w:spacing w:line="360" w:lineRule="auto"/>
              <w:jc w:val="center"/>
              <w:rPr>
                <w:rFonts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2"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cs="宋体"/>
                <w:szCs w:val="21"/>
                <w:highlight w:val="none"/>
              </w:rPr>
            </w:pPr>
            <w:r>
              <w:rPr>
                <w:rFonts w:hint="eastAsia" w:cs="宋体"/>
                <w:highlight w:val="none"/>
              </w:rPr>
              <w:t>备注</w:t>
            </w:r>
          </w:p>
        </w:tc>
        <w:tc>
          <w:tcPr>
            <w:tcW w:w="4127" w:type="pct"/>
            <w:gridSpan w:val="7"/>
            <w:tcBorders>
              <w:top w:val="single" w:color="auto" w:sz="4" w:space="0"/>
              <w:left w:val="nil"/>
              <w:bottom w:val="single" w:color="auto" w:sz="4" w:space="0"/>
              <w:right w:val="single" w:color="auto" w:sz="4" w:space="0"/>
            </w:tcBorders>
            <w:noWrap/>
            <w:vAlign w:val="center"/>
          </w:tcPr>
          <w:p>
            <w:pPr>
              <w:spacing w:line="360" w:lineRule="auto"/>
              <w:jc w:val="center"/>
              <w:rPr>
                <w:rFonts w:cs="宋体"/>
                <w:szCs w:val="21"/>
                <w:highlight w:val="none"/>
              </w:rPr>
            </w:pPr>
          </w:p>
        </w:tc>
      </w:tr>
    </w:tbl>
    <w:p>
      <w:pPr>
        <w:spacing w:line="360" w:lineRule="auto"/>
        <w:rPr>
          <w:rFonts w:cs="宋体"/>
          <w:highlight w:val="none"/>
        </w:rPr>
      </w:pPr>
    </w:p>
    <w:p>
      <w:pPr>
        <w:spacing w:line="360" w:lineRule="auto"/>
        <w:ind w:firstLine="241" w:firstLineChars="100"/>
        <w:rPr>
          <w:rFonts w:cs="宋体"/>
          <w:b/>
          <w:bCs/>
          <w:highlight w:val="none"/>
        </w:rPr>
      </w:pPr>
      <w:r>
        <w:rPr>
          <w:rFonts w:hint="eastAsia" w:cs="宋体"/>
          <w:b/>
          <w:bCs/>
          <w:highlight w:val="none"/>
        </w:rPr>
        <w:t>备注：本表后须附法人营业执照副本、食品经营许可证或餐饮服务许可证等材料的复印件。</w:t>
      </w:r>
    </w:p>
    <w:p>
      <w:pPr>
        <w:autoSpaceDE w:val="0"/>
        <w:autoSpaceDN w:val="0"/>
        <w:adjustRightInd w:val="0"/>
        <w:snapToGrid w:val="0"/>
        <w:spacing w:line="360" w:lineRule="auto"/>
        <w:rPr>
          <w:rFonts w:cs="宋体"/>
          <w:b/>
          <w:bCs/>
          <w:szCs w:val="22"/>
          <w:highlight w:val="none"/>
        </w:rPr>
      </w:pPr>
      <w:r>
        <w:rPr>
          <w:rFonts w:hint="eastAsia" w:cs="宋体"/>
          <w:b/>
          <w:bCs/>
          <w:szCs w:val="22"/>
          <w:highlight w:val="none"/>
        </w:rPr>
        <w:br w:type="page"/>
      </w:r>
    </w:p>
    <w:p>
      <w:pPr>
        <w:spacing w:beforeLines="50" w:afterLines="100" w:line="440" w:lineRule="exact"/>
        <w:jc w:val="center"/>
        <w:rPr>
          <w:rFonts w:cs="宋体"/>
          <w:b/>
          <w:highlight w:val="none"/>
        </w:rPr>
      </w:pPr>
      <w:r>
        <w:rPr>
          <w:rFonts w:hint="eastAsia" w:cs="宋体"/>
          <w:b/>
          <w:highlight w:val="none"/>
        </w:rPr>
        <w:t>2、资格证明材料</w:t>
      </w:r>
    </w:p>
    <w:p>
      <w:pPr>
        <w:autoSpaceDE w:val="0"/>
        <w:autoSpaceDN w:val="0"/>
        <w:adjustRightInd w:val="0"/>
        <w:snapToGrid w:val="0"/>
        <w:spacing w:line="480" w:lineRule="auto"/>
        <w:ind w:firstLine="480" w:firstLineChars="200"/>
        <w:rPr>
          <w:rFonts w:cs="宋体"/>
          <w:highlight w:val="none"/>
        </w:rPr>
      </w:pPr>
      <w:r>
        <w:rPr>
          <w:rFonts w:hint="eastAsia" w:cs="宋体"/>
          <w:highlight w:val="none"/>
        </w:rPr>
        <w:t>（1）法人或者其他组织的营业执照等证明文件（复印件），自然人的身份证明（复印件）；</w:t>
      </w:r>
    </w:p>
    <w:p>
      <w:pPr>
        <w:snapToGrid w:val="0"/>
        <w:spacing w:line="480" w:lineRule="auto"/>
        <w:ind w:firstLine="480" w:firstLineChars="200"/>
        <w:jc w:val="left"/>
        <w:rPr>
          <w:rFonts w:cs="宋体"/>
          <w:highlight w:val="none"/>
        </w:rPr>
      </w:pPr>
      <w:r>
        <w:rPr>
          <w:rFonts w:hint="eastAsia" w:cs="宋体"/>
          <w:highlight w:val="none"/>
        </w:rPr>
        <w:t>（2）2024年度度财务状况报告（复印件）均可，开业不满一年的应提供公司成立之日后的财务状况报表（复印件）或出具当年的验资报告（复印件）；</w:t>
      </w:r>
      <w:r>
        <w:rPr>
          <w:rFonts w:hint="eastAsia" w:cs="宋体"/>
          <w:b/>
          <w:bCs/>
          <w:highlight w:val="none"/>
        </w:rPr>
        <w:t>由供应商对以上内容提供书面承诺或提供相应证明材料。</w:t>
      </w:r>
    </w:p>
    <w:p>
      <w:pPr>
        <w:snapToGrid w:val="0"/>
        <w:spacing w:line="480" w:lineRule="auto"/>
        <w:ind w:firstLine="480" w:firstLineChars="200"/>
        <w:jc w:val="left"/>
        <w:rPr>
          <w:rFonts w:cs="宋体"/>
          <w:highlight w:val="none"/>
        </w:rPr>
      </w:pPr>
      <w:r>
        <w:rPr>
          <w:rFonts w:hint="eastAsia" w:cs="宋体"/>
          <w:highlight w:val="none"/>
        </w:rPr>
        <w:t>（3）供应商履行合同所必需的设备和专业技术能力的证明材料；</w:t>
      </w:r>
      <w:r>
        <w:rPr>
          <w:rFonts w:hint="eastAsia" w:cs="宋体"/>
          <w:b/>
          <w:bCs/>
          <w:highlight w:val="none"/>
        </w:rPr>
        <w:t>由供应商对以上内容提供书面承诺或提供相应证明材料。</w:t>
      </w:r>
    </w:p>
    <w:p>
      <w:pPr>
        <w:snapToGrid w:val="0"/>
        <w:spacing w:line="480" w:lineRule="auto"/>
        <w:ind w:firstLine="480" w:firstLineChars="200"/>
        <w:jc w:val="left"/>
        <w:rPr>
          <w:rFonts w:cs="宋体"/>
          <w:highlight w:val="none"/>
        </w:rPr>
      </w:pPr>
      <w:r>
        <w:rPr>
          <w:rFonts w:hint="eastAsia" w:cs="宋体"/>
          <w:highlight w:val="none"/>
        </w:rPr>
        <w:t>（4）本项目公告发布时间前半年内任一月缴纳增值税、企业所得税的凭据（完税证、缴款书、银行代扣（代缴）转账凭证等均可）（复印件）。依法免税的供应商，应提供相应证明材料；</w:t>
      </w:r>
      <w:r>
        <w:rPr>
          <w:rFonts w:hint="eastAsia" w:cs="宋体"/>
          <w:b/>
          <w:bCs/>
          <w:highlight w:val="none"/>
        </w:rPr>
        <w:t>由供应商对以上内容提供书面承诺或提供相应证明材料。</w:t>
      </w:r>
    </w:p>
    <w:p>
      <w:pPr>
        <w:snapToGrid w:val="0"/>
        <w:spacing w:line="480" w:lineRule="auto"/>
        <w:ind w:firstLine="480" w:firstLineChars="200"/>
        <w:jc w:val="left"/>
        <w:rPr>
          <w:rFonts w:cs="宋体"/>
          <w:highlight w:val="none"/>
        </w:rPr>
      </w:pPr>
      <w:r>
        <w:rPr>
          <w:rFonts w:hint="eastAsia" w:cs="宋体"/>
          <w:highlight w:val="none"/>
        </w:rPr>
        <w:t>（5）本项目公告发布时间前半年内任一月缴纳社会保险的凭据（专用收据或社会保险缴纳清单）；依法不需要缴纳社会保障资金的供应商，应提供相应证明材料。供应商为其他组织或自然人的，也需要按此项规定提供缴纳社会保险的凭据；不需要缴纳社会保障资金的供应商，应提供相应文件证明其不需要缴纳社 会保障资金；</w:t>
      </w:r>
      <w:r>
        <w:rPr>
          <w:rFonts w:hint="eastAsia" w:cs="宋体"/>
          <w:b/>
          <w:bCs/>
          <w:highlight w:val="none"/>
        </w:rPr>
        <w:t>由供应商对以上内容提供书面承诺或提供相应证明材料。</w:t>
      </w:r>
    </w:p>
    <w:p>
      <w:pPr>
        <w:snapToGrid w:val="0"/>
        <w:spacing w:line="480" w:lineRule="auto"/>
        <w:ind w:firstLine="480" w:firstLineChars="200"/>
        <w:jc w:val="left"/>
        <w:rPr>
          <w:rFonts w:cs="宋体"/>
          <w:highlight w:val="none"/>
        </w:rPr>
      </w:pPr>
      <w:r>
        <w:rPr>
          <w:rFonts w:hint="eastAsia" w:cs="宋体"/>
          <w:highlight w:val="none"/>
        </w:rPr>
        <w:t>（6）提交参加政府采购活动前三年内在经营活动中没有重大违法记录的书面声明；</w:t>
      </w:r>
    </w:p>
    <w:p>
      <w:pPr>
        <w:snapToGrid w:val="0"/>
        <w:spacing w:line="480" w:lineRule="auto"/>
        <w:ind w:firstLine="480" w:firstLineChars="200"/>
        <w:jc w:val="left"/>
        <w:rPr>
          <w:rFonts w:cs="宋体"/>
          <w:highlight w:val="none"/>
        </w:rPr>
      </w:pPr>
      <w:r>
        <w:rPr>
          <w:rFonts w:hint="eastAsia" w:cs="宋体"/>
          <w:highlight w:val="none"/>
        </w:rPr>
        <w:t>（7）不存在失信记录查询（信用中国网站、中国政府采购网）</w:t>
      </w:r>
    </w:p>
    <w:p>
      <w:pPr>
        <w:snapToGrid w:val="0"/>
        <w:spacing w:line="480" w:lineRule="auto"/>
        <w:ind w:firstLine="480" w:firstLineChars="200"/>
        <w:jc w:val="left"/>
        <w:rPr>
          <w:rFonts w:cs="宋体"/>
          <w:highlight w:val="none"/>
        </w:rPr>
      </w:pPr>
      <w:r>
        <w:rPr>
          <w:rFonts w:hint="eastAsia" w:cs="宋体"/>
          <w:highlight w:val="none"/>
        </w:rPr>
        <w:t>（8）有效的餐饮服务许可证或食品经营许可证；</w:t>
      </w:r>
    </w:p>
    <w:p>
      <w:pPr>
        <w:snapToGrid w:val="0"/>
        <w:spacing w:line="480" w:lineRule="auto"/>
        <w:ind w:firstLine="480" w:firstLineChars="200"/>
        <w:jc w:val="left"/>
        <w:rPr>
          <w:rFonts w:cs="宋体"/>
          <w:sz w:val="21"/>
          <w:szCs w:val="21"/>
          <w:highlight w:val="none"/>
        </w:rPr>
        <w:sectPr>
          <w:pgSz w:w="11906" w:h="16838"/>
          <w:pgMar w:top="1247" w:right="1247" w:bottom="1247" w:left="1247" w:header="850" w:footer="850" w:gutter="0"/>
          <w:cols w:space="425" w:num="1"/>
          <w:docGrid w:type="lines" w:linePitch="312" w:charSpace="0"/>
        </w:sectPr>
      </w:pPr>
      <w:r>
        <w:rPr>
          <w:rFonts w:hint="eastAsia" w:cs="宋体"/>
          <w:highlight w:val="none"/>
        </w:rPr>
        <w:t>（9）提供符合要求《中小企业声明函》，</w:t>
      </w:r>
      <w:r>
        <w:rPr>
          <w:rFonts w:hint="eastAsia" w:cs="宋体"/>
          <w:color w:val="0000FF"/>
          <w:highlight w:val="none"/>
        </w:rPr>
        <w:t>且声明函中声明为小型企业或微型企业。</w:t>
      </w:r>
    </w:p>
    <w:p>
      <w:pPr>
        <w:snapToGrid w:val="0"/>
        <w:spacing w:line="360" w:lineRule="auto"/>
        <w:ind w:firstLine="562" w:firstLineChars="200"/>
        <w:jc w:val="center"/>
        <w:rPr>
          <w:rFonts w:cs="宋体"/>
          <w:b/>
          <w:sz w:val="28"/>
          <w:szCs w:val="28"/>
          <w:highlight w:val="none"/>
        </w:rPr>
      </w:pPr>
      <w:r>
        <w:rPr>
          <w:rFonts w:hint="eastAsia" w:cs="宋体"/>
          <w:b/>
          <w:sz w:val="28"/>
          <w:szCs w:val="28"/>
          <w:highlight w:val="none"/>
        </w:rPr>
        <w:t>八、商务文件</w:t>
      </w:r>
    </w:p>
    <w:p>
      <w:pPr>
        <w:spacing w:beforeLines="50" w:afterLines="100" w:line="440" w:lineRule="exact"/>
        <w:jc w:val="center"/>
        <w:rPr>
          <w:rFonts w:cs="宋体"/>
          <w:b/>
          <w:highlight w:val="none"/>
        </w:rPr>
      </w:pPr>
      <w:r>
        <w:rPr>
          <w:rFonts w:hint="eastAsia" w:cs="宋体"/>
          <w:b/>
          <w:highlight w:val="none"/>
        </w:rPr>
        <w:t>1、近三年（2022年7月至今）完成的类似项目情况表</w:t>
      </w:r>
    </w:p>
    <w:p>
      <w:pPr>
        <w:spacing w:line="360" w:lineRule="auto"/>
        <w:rPr>
          <w:rFonts w:cs="宋体"/>
          <w:highlight w:val="none"/>
          <w:u w:val="single"/>
          <w:lang w:val="zh-CN"/>
        </w:rPr>
      </w:pPr>
      <w:r>
        <w:rPr>
          <w:rFonts w:hint="eastAsia" w:cs="宋体"/>
          <w:highlight w:val="none"/>
          <w:lang w:val="zh-CN"/>
        </w:rPr>
        <w:t>项目编号：</w:t>
      </w:r>
    </w:p>
    <w:p>
      <w:pPr>
        <w:spacing w:line="360" w:lineRule="auto"/>
        <w:rPr>
          <w:rFonts w:cs="宋体"/>
          <w:b/>
          <w:highlight w:val="none"/>
        </w:rPr>
      </w:pPr>
      <w:r>
        <w:rPr>
          <w:rFonts w:hint="eastAsia" w:cs="宋体"/>
          <w:bCs/>
          <w:highlight w:val="none"/>
          <w:lang w:val="zh-CN"/>
        </w:rPr>
        <w:t>项目名称：</w:t>
      </w:r>
    </w:p>
    <w:tbl>
      <w:tblPr>
        <w:tblStyle w:val="20"/>
        <w:tblpPr w:leftFromText="180" w:rightFromText="180" w:vertAnchor="text" w:tblpXSpec="center" w:tblpY="1"/>
        <w:tblOverlap w:val="never"/>
        <w:tblW w:w="4999"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784"/>
        <w:gridCol w:w="68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46" w:type="pct"/>
            <w:noWrap/>
            <w:vAlign w:val="center"/>
          </w:tcPr>
          <w:p>
            <w:pPr>
              <w:spacing w:line="360" w:lineRule="auto"/>
              <w:jc w:val="center"/>
              <w:rPr>
                <w:rFonts w:cs="宋体"/>
                <w:highlight w:val="none"/>
              </w:rPr>
            </w:pPr>
            <w:r>
              <w:rPr>
                <w:rFonts w:hint="eastAsia" w:cs="宋体"/>
                <w:highlight w:val="none"/>
              </w:rPr>
              <w:t>项目名称</w:t>
            </w:r>
          </w:p>
        </w:tc>
        <w:tc>
          <w:tcPr>
            <w:tcW w:w="3553" w:type="pct"/>
            <w:noWrap/>
            <w:vAlign w:val="center"/>
          </w:tcPr>
          <w:p>
            <w:pPr>
              <w:spacing w:line="360" w:lineRule="auto"/>
              <w:jc w:val="center"/>
              <w:rPr>
                <w:rFonts w:cs="宋体"/>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46" w:type="pct"/>
            <w:noWrap/>
            <w:vAlign w:val="center"/>
          </w:tcPr>
          <w:p>
            <w:pPr>
              <w:spacing w:line="360" w:lineRule="auto"/>
              <w:jc w:val="center"/>
              <w:rPr>
                <w:rFonts w:cs="宋体"/>
                <w:highlight w:val="none"/>
              </w:rPr>
            </w:pPr>
            <w:r>
              <w:rPr>
                <w:rFonts w:hint="eastAsia" w:cs="宋体"/>
                <w:highlight w:val="none"/>
              </w:rPr>
              <w:t>项目所在地</w:t>
            </w:r>
          </w:p>
        </w:tc>
        <w:tc>
          <w:tcPr>
            <w:tcW w:w="3553" w:type="pct"/>
            <w:noWrap/>
            <w:vAlign w:val="center"/>
          </w:tcPr>
          <w:p>
            <w:pPr>
              <w:spacing w:line="360" w:lineRule="auto"/>
              <w:jc w:val="center"/>
              <w:rPr>
                <w:rFonts w:cs="宋体"/>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46" w:type="pct"/>
            <w:noWrap/>
            <w:vAlign w:val="center"/>
          </w:tcPr>
          <w:p>
            <w:pPr>
              <w:spacing w:line="360" w:lineRule="auto"/>
              <w:jc w:val="center"/>
              <w:rPr>
                <w:rFonts w:cs="宋体"/>
                <w:highlight w:val="none"/>
              </w:rPr>
            </w:pPr>
            <w:r>
              <w:rPr>
                <w:rFonts w:hint="eastAsia" w:cs="宋体"/>
                <w:highlight w:val="none"/>
              </w:rPr>
              <w:t>委托人名称</w:t>
            </w:r>
          </w:p>
        </w:tc>
        <w:tc>
          <w:tcPr>
            <w:tcW w:w="3553" w:type="pct"/>
            <w:noWrap/>
            <w:vAlign w:val="center"/>
          </w:tcPr>
          <w:p>
            <w:pPr>
              <w:spacing w:line="360" w:lineRule="auto"/>
              <w:jc w:val="center"/>
              <w:rPr>
                <w:rFonts w:cs="宋体"/>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46" w:type="pct"/>
            <w:noWrap/>
            <w:vAlign w:val="center"/>
          </w:tcPr>
          <w:p>
            <w:pPr>
              <w:spacing w:line="360" w:lineRule="auto"/>
              <w:jc w:val="center"/>
              <w:rPr>
                <w:rFonts w:cs="宋体"/>
                <w:highlight w:val="none"/>
              </w:rPr>
            </w:pPr>
            <w:r>
              <w:rPr>
                <w:rFonts w:hint="eastAsia" w:cs="宋体"/>
                <w:highlight w:val="none"/>
              </w:rPr>
              <w:t>委托人地址</w:t>
            </w:r>
          </w:p>
        </w:tc>
        <w:tc>
          <w:tcPr>
            <w:tcW w:w="3553" w:type="pct"/>
            <w:noWrap/>
            <w:vAlign w:val="center"/>
          </w:tcPr>
          <w:p>
            <w:pPr>
              <w:spacing w:line="360" w:lineRule="auto"/>
              <w:jc w:val="center"/>
              <w:rPr>
                <w:rFonts w:cs="宋体"/>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46" w:type="pct"/>
            <w:noWrap/>
            <w:vAlign w:val="center"/>
          </w:tcPr>
          <w:p>
            <w:pPr>
              <w:spacing w:line="360" w:lineRule="auto"/>
              <w:jc w:val="center"/>
              <w:rPr>
                <w:rFonts w:cs="宋体"/>
                <w:highlight w:val="none"/>
              </w:rPr>
            </w:pPr>
            <w:r>
              <w:rPr>
                <w:rFonts w:hint="eastAsia" w:cs="宋体"/>
                <w:highlight w:val="none"/>
              </w:rPr>
              <w:t>委托人电话</w:t>
            </w:r>
          </w:p>
        </w:tc>
        <w:tc>
          <w:tcPr>
            <w:tcW w:w="3553" w:type="pct"/>
            <w:noWrap/>
            <w:vAlign w:val="center"/>
          </w:tcPr>
          <w:p>
            <w:pPr>
              <w:spacing w:line="360" w:lineRule="auto"/>
              <w:jc w:val="center"/>
              <w:rPr>
                <w:rFonts w:cs="宋体"/>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46" w:type="pct"/>
            <w:noWrap/>
            <w:vAlign w:val="center"/>
          </w:tcPr>
          <w:p>
            <w:pPr>
              <w:spacing w:line="360" w:lineRule="auto"/>
              <w:jc w:val="center"/>
              <w:rPr>
                <w:rFonts w:cs="宋体"/>
                <w:highlight w:val="none"/>
              </w:rPr>
            </w:pPr>
            <w:r>
              <w:rPr>
                <w:rFonts w:hint="eastAsia" w:cs="宋体"/>
                <w:highlight w:val="none"/>
              </w:rPr>
              <w:t>合同金额</w:t>
            </w:r>
          </w:p>
        </w:tc>
        <w:tc>
          <w:tcPr>
            <w:tcW w:w="3553" w:type="pct"/>
            <w:noWrap/>
            <w:vAlign w:val="center"/>
          </w:tcPr>
          <w:p>
            <w:pPr>
              <w:spacing w:line="360" w:lineRule="auto"/>
              <w:jc w:val="center"/>
              <w:rPr>
                <w:rFonts w:cs="宋体"/>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46" w:type="pct"/>
            <w:noWrap/>
            <w:vAlign w:val="center"/>
          </w:tcPr>
          <w:p>
            <w:pPr>
              <w:spacing w:line="360" w:lineRule="auto"/>
              <w:jc w:val="center"/>
              <w:rPr>
                <w:rFonts w:cs="宋体"/>
                <w:highlight w:val="none"/>
              </w:rPr>
            </w:pPr>
            <w:r>
              <w:rPr>
                <w:rFonts w:hint="eastAsia" w:cs="宋体"/>
                <w:highlight w:val="none"/>
              </w:rPr>
              <w:t>服务内容</w:t>
            </w:r>
          </w:p>
        </w:tc>
        <w:tc>
          <w:tcPr>
            <w:tcW w:w="3553" w:type="pct"/>
            <w:noWrap/>
            <w:vAlign w:val="center"/>
          </w:tcPr>
          <w:p>
            <w:pPr>
              <w:spacing w:line="360" w:lineRule="auto"/>
              <w:jc w:val="center"/>
              <w:rPr>
                <w:rFonts w:cs="宋体"/>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446" w:type="pct"/>
            <w:noWrap/>
            <w:vAlign w:val="center"/>
          </w:tcPr>
          <w:p>
            <w:pPr>
              <w:spacing w:line="360" w:lineRule="auto"/>
              <w:jc w:val="center"/>
              <w:rPr>
                <w:rFonts w:cs="宋体"/>
                <w:highlight w:val="none"/>
              </w:rPr>
            </w:pPr>
            <w:r>
              <w:rPr>
                <w:rFonts w:hint="eastAsia" w:cs="宋体"/>
                <w:highlight w:val="none"/>
              </w:rPr>
              <w:t>项目描述</w:t>
            </w:r>
          </w:p>
        </w:tc>
        <w:tc>
          <w:tcPr>
            <w:tcW w:w="3553" w:type="pct"/>
            <w:noWrap/>
            <w:vAlign w:val="center"/>
          </w:tcPr>
          <w:p>
            <w:pPr>
              <w:spacing w:line="360" w:lineRule="auto"/>
              <w:jc w:val="center"/>
              <w:rPr>
                <w:rFonts w:cs="宋体"/>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1446" w:type="pct"/>
            <w:noWrap/>
            <w:vAlign w:val="center"/>
          </w:tcPr>
          <w:p>
            <w:pPr>
              <w:spacing w:line="360" w:lineRule="auto"/>
              <w:jc w:val="center"/>
              <w:rPr>
                <w:rFonts w:cs="宋体"/>
                <w:highlight w:val="none"/>
              </w:rPr>
            </w:pPr>
            <w:r>
              <w:rPr>
                <w:rFonts w:hint="eastAsia" w:cs="宋体"/>
                <w:highlight w:val="none"/>
              </w:rPr>
              <w:t>备  注</w:t>
            </w:r>
          </w:p>
        </w:tc>
        <w:tc>
          <w:tcPr>
            <w:tcW w:w="3553" w:type="pct"/>
            <w:noWrap/>
            <w:vAlign w:val="center"/>
          </w:tcPr>
          <w:p>
            <w:pPr>
              <w:spacing w:line="360" w:lineRule="auto"/>
              <w:jc w:val="center"/>
              <w:rPr>
                <w:rFonts w:cs="宋体"/>
                <w:szCs w:val="21"/>
                <w:highlight w:val="none"/>
              </w:rPr>
            </w:pPr>
          </w:p>
        </w:tc>
      </w:tr>
    </w:tbl>
    <w:p>
      <w:pPr>
        <w:spacing w:line="580" w:lineRule="exact"/>
        <w:ind w:firstLine="482" w:firstLineChars="200"/>
        <w:rPr>
          <w:rFonts w:cs="宋体"/>
          <w:highlight w:val="none"/>
        </w:rPr>
      </w:pPr>
      <w:r>
        <w:rPr>
          <w:rFonts w:hint="eastAsia" w:cs="宋体"/>
          <w:b/>
          <w:highlight w:val="none"/>
        </w:rPr>
        <w:t>备注</w:t>
      </w:r>
      <w:r>
        <w:rPr>
          <w:rFonts w:hint="eastAsia" w:cs="宋体"/>
          <w:highlight w:val="none"/>
        </w:rPr>
        <w:t>：</w:t>
      </w:r>
      <w:r>
        <w:rPr>
          <w:rFonts w:hint="eastAsia" w:cs="宋体"/>
          <w:b/>
          <w:bCs/>
          <w:highlight w:val="none"/>
        </w:rPr>
        <w:t>本表后须附</w:t>
      </w:r>
      <w:r>
        <w:rPr>
          <w:rFonts w:hint="eastAsia" w:cs="宋体"/>
          <w:b/>
          <w:bCs/>
          <w:highlight w:val="none"/>
          <w:shd w:val="clear" w:color="auto" w:fill="FFFFFF"/>
        </w:rPr>
        <w:t>业绩合同和中标通知书或业绩合同和所对应的增值税发票的复印件</w:t>
      </w:r>
      <w:r>
        <w:rPr>
          <w:rFonts w:hint="eastAsia" w:cs="宋体"/>
          <w:b/>
          <w:bCs/>
          <w:highlight w:val="none"/>
        </w:rPr>
        <w:t>。每张表格只填写一个项目，并标明序号。</w:t>
      </w:r>
    </w:p>
    <w:p>
      <w:pPr>
        <w:spacing w:line="580" w:lineRule="exact"/>
        <w:rPr>
          <w:rFonts w:cs="宋体"/>
          <w:highlight w:val="none"/>
        </w:rPr>
      </w:pPr>
    </w:p>
    <w:p>
      <w:pPr>
        <w:adjustRightInd w:val="0"/>
        <w:snapToGrid w:val="0"/>
        <w:spacing w:line="360" w:lineRule="auto"/>
        <w:rPr>
          <w:rFonts w:cs="宋体"/>
          <w:kern w:val="0"/>
          <w:highlight w:val="none"/>
        </w:rPr>
      </w:pPr>
    </w:p>
    <w:p>
      <w:pPr>
        <w:adjustRightInd w:val="0"/>
        <w:snapToGrid w:val="0"/>
        <w:spacing w:line="360" w:lineRule="auto"/>
        <w:rPr>
          <w:rFonts w:cs="宋体"/>
          <w:kern w:val="0"/>
          <w:highlight w:val="none"/>
        </w:rPr>
      </w:pPr>
      <w:r>
        <w:rPr>
          <w:rFonts w:hint="eastAsia" w:cs="宋体"/>
          <w:kern w:val="0"/>
          <w:highlight w:val="none"/>
        </w:rPr>
        <w:t>供应商名称（公章）：</w:t>
      </w:r>
    </w:p>
    <w:p>
      <w:pPr>
        <w:adjustRightInd w:val="0"/>
        <w:snapToGrid w:val="0"/>
        <w:spacing w:line="360" w:lineRule="auto"/>
        <w:rPr>
          <w:rFonts w:cs="宋体"/>
          <w:kern w:val="0"/>
          <w:highlight w:val="none"/>
          <w:u w:val="single"/>
        </w:rPr>
      </w:pPr>
      <w:r>
        <w:rPr>
          <w:rFonts w:hint="eastAsia" w:cs="宋体"/>
          <w:kern w:val="0"/>
          <w:highlight w:val="none"/>
        </w:rPr>
        <w:t>法定代表人（签字或盖章）或</w:t>
      </w:r>
      <w:r>
        <w:rPr>
          <w:rFonts w:hint="eastAsia" w:cs="宋体"/>
          <w:highlight w:val="none"/>
        </w:rPr>
        <w:t>授权委托人</w:t>
      </w:r>
      <w:r>
        <w:rPr>
          <w:rFonts w:hint="eastAsia" w:cs="宋体"/>
          <w:kern w:val="0"/>
          <w:highlight w:val="none"/>
        </w:rPr>
        <w:t>（签字）：</w:t>
      </w:r>
    </w:p>
    <w:p>
      <w:pPr>
        <w:spacing w:line="360" w:lineRule="auto"/>
        <w:rPr>
          <w:rFonts w:cs="宋体"/>
          <w:b/>
          <w:bCs/>
          <w:highlight w:val="none"/>
        </w:rPr>
      </w:pPr>
      <w:r>
        <w:rPr>
          <w:rFonts w:hint="eastAsia" w:cs="宋体"/>
          <w:highlight w:val="none"/>
        </w:rPr>
        <w:t>日期：年月</w:t>
      </w:r>
      <w:r>
        <w:rPr>
          <w:rFonts w:hint="eastAsia" w:cs="宋体"/>
          <w:kern w:val="0"/>
          <w:highlight w:val="none"/>
        </w:rPr>
        <w:t>日</w:t>
      </w:r>
    </w:p>
    <w:p>
      <w:pPr>
        <w:adjustRightInd w:val="0"/>
        <w:snapToGrid w:val="0"/>
        <w:spacing w:line="480" w:lineRule="auto"/>
        <w:rPr>
          <w:rFonts w:cs="宋体"/>
          <w:highlight w:val="none"/>
        </w:rPr>
      </w:pPr>
    </w:p>
    <w:p>
      <w:pPr>
        <w:adjustRightInd w:val="0"/>
        <w:snapToGrid w:val="0"/>
        <w:spacing w:line="480" w:lineRule="auto"/>
        <w:rPr>
          <w:rFonts w:cs="宋体"/>
          <w:b/>
          <w:highlight w:val="none"/>
        </w:rPr>
        <w:sectPr>
          <w:pgSz w:w="11906" w:h="16838"/>
          <w:pgMar w:top="1247" w:right="1247" w:bottom="1247" w:left="1247" w:header="850" w:footer="850" w:gutter="0"/>
          <w:cols w:space="425" w:num="1"/>
          <w:docGrid w:type="lines" w:linePitch="312" w:charSpace="0"/>
        </w:sectPr>
      </w:pPr>
    </w:p>
    <w:p>
      <w:pPr>
        <w:spacing w:beforeLines="50" w:afterLines="100" w:line="440" w:lineRule="exact"/>
        <w:jc w:val="center"/>
        <w:rPr>
          <w:rFonts w:cs="宋体"/>
          <w:b/>
          <w:highlight w:val="none"/>
        </w:rPr>
      </w:pPr>
      <w:r>
        <w:rPr>
          <w:rFonts w:hint="eastAsia" w:cs="宋体"/>
          <w:b/>
          <w:highlight w:val="none"/>
        </w:rPr>
        <w:t>2、项目团队人员组成表</w:t>
      </w:r>
    </w:p>
    <w:p>
      <w:pPr>
        <w:spacing w:line="360" w:lineRule="auto"/>
        <w:rPr>
          <w:rFonts w:cs="宋体"/>
          <w:highlight w:val="none"/>
        </w:rPr>
      </w:pPr>
      <w:r>
        <w:rPr>
          <w:rFonts w:hint="eastAsia" w:cs="宋体"/>
          <w:highlight w:val="none"/>
        </w:rPr>
        <w:t>项目编号：</w:t>
      </w:r>
    </w:p>
    <w:p>
      <w:pPr>
        <w:spacing w:line="360" w:lineRule="auto"/>
        <w:rPr>
          <w:rFonts w:cs="宋体"/>
          <w:highlight w:val="none"/>
        </w:rPr>
      </w:pPr>
      <w:r>
        <w:rPr>
          <w:rFonts w:hint="eastAsia" w:cs="宋体"/>
          <w:highlight w:val="none"/>
        </w:rPr>
        <w:t>项目名称：</w:t>
      </w:r>
    </w:p>
    <w:tbl>
      <w:tblPr>
        <w:tblStyle w:val="20"/>
        <w:tblW w:w="5218" w:type="pct"/>
        <w:tblInd w:w="0" w:type="dxa"/>
        <w:tblLayout w:type="fixed"/>
        <w:tblCellMar>
          <w:top w:w="0" w:type="dxa"/>
          <w:left w:w="0" w:type="dxa"/>
          <w:bottom w:w="0" w:type="dxa"/>
          <w:right w:w="0" w:type="dxa"/>
        </w:tblCellMar>
      </w:tblPr>
      <w:tblGrid>
        <w:gridCol w:w="795"/>
        <w:gridCol w:w="1051"/>
        <w:gridCol w:w="1082"/>
        <w:gridCol w:w="1007"/>
        <w:gridCol w:w="2564"/>
        <w:gridCol w:w="1709"/>
        <w:gridCol w:w="1646"/>
      </w:tblGrid>
      <w:tr>
        <w:tblPrEx>
          <w:tblCellMar>
            <w:top w:w="0" w:type="dxa"/>
            <w:left w:w="0" w:type="dxa"/>
            <w:bottom w:w="0" w:type="dxa"/>
            <w:right w:w="0" w:type="dxa"/>
          </w:tblCellMar>
        </w:tblPrEx>
        <w:trPr>
          <w:trHeight w:val="569" w:hRule="atLeast"/>
        </w:trPr>
        <w:tc>
          <w:tcPr>
            <w:tcW w:w="4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cs="宋体"/>
                <w:b/>
                <w:color w:val="000000"/>
                <w:highlight w:val="none"/>
              </w:rPr>
            </w:pPr>
            <w:r>
              <w:rPr>
                <w:rFonts w:hint="eastAsia" w:cs="宋体"/>
                <w:b/>
                <w:color w:val="000000"/>
                <w:kern w:val="0"/>
                <w:highlight w:val="none"/>
              </w:rPr>
              <w:t>序号</w:t>
            </w:r>
          </w:p>
        </w:tc>
        <w:tc>
          <w:tcPr>
            <w:tcW w:w="53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cs="宋体"/>
                <w:b/>
                <w:color w:val="000000"/>
                <w:highlight w:val="none"/>
              </w:rPr>
            </w:pPr>
            <w:r>
              <w:rPr>
                <w:rFonts w:hint="eastAsia" w:cs="宋体"/>
                <w:b/>
                <w:color w:val="000000"/>
                <w:kern w:val="0"/>
                <w:highlight w:val="none"/>
              </w:rPr>
              <w:t>姓名</w:t>
            </w:r>
          </w:p>
        </w:tc>
        <w:tc>
          <w:tcPr>
            <w:tcW w:w="5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cs="宋体"/>
                <w:b/>
                <w:color w:val="000000"/>
                <w:highlight w:val="none"/>
              </w:rPr>
            </w:pPr>
            <w:r>
              <w:rPr>
                <w:rFonts w:hint="eastAsia" w:cs="宋体"/>
                <w:b/>
                <w:color w:val="000000"/>
                <w:kern w:val="0"/>
                <w:highlight w:val="none"/>
              </w:rPr>
              <w:t>年龄</w:t>
            </w:r>
          </w:p>
        </w:tc>
        <w:tc>
          <w:tcPr>
            <w:tcW w:w="5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cs="宋体"/>
                <w:b/>
                <w:color w:val="000000"/>
                <w:highlight w:val="none"/>
              </w:rPr>
            </w:pPr>
            <w:r>
              <w:rPr>
                <w:rFonts w:hint="eastAsia" w:cs="宋体"/>
                <w:b/>
                <w:color w:val="000000"/>
                <w:kern w:val="0"/>
                <w:highlight w:val="none"/>
              </w:rPr>
              <w:t>性别</w:t>
            </w:r>
          </w:p>
        </w:tc>
        <w:tc>
          <w:tcPr>
            <w:tcW w:w="13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cs="宋体"/>
                <w:b/>
                <w:color w:val="000000"/>
                <w:kern w:val="0"/>
                <w:highlight w:val="none"/>
              </w:rPr>
            </w:pPr>
            <w:r>
              <w:rPr>
                <w:rFonts w:hint="eastAsia" w:cs="宋体"/>
                <w:b/>
                <w:color w:val="000000"/>
                <w:kern w:val="0"/>
                <w:highlight w:val="none"/>
              </w:rPr>
              <w:t>在本项目中担任的职务</w:t>
            </w:r>
          </w:p>
        </w:tc>
        <w:tc>
          <w:tcPr>
            <w:tcW w:w="86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cs="宋体"/>
                <w:b/>
                <w:color w:val="000000"/>
                <w:kern w:val="0"/>
                <w:highlight w:val="none"/>
              </w:rPr>
            </w:pPr>
            <w:r>
              <w:rPr>
                <w:rFonts w:hint="eastAsia" w:cs="宋体"/>
                <w:b/>
                <w:color w:val="000000"/>
                <w:kern w:val="0"/>
                <w:highlight w:val="none"/>
              </w:rPr>
              <w:t>岗位资格证</w:t>
            </w:r>
          </w:p>
        </w:tc>
        <w:tc>
          <w:tcPr>
            <w:tcW w:w="83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cs="宋体"/>
                <w:b/>
                <w:color w:val="000000"/>
                <w:highlight w:val="none"/>
              </w:rPr>
            </w:pPr>
            <w:r>
              <w:rPr>
                <w:rFonts w:hint="eastAsia" w:cs="宋体"/>
                <w:b/>
                <w:color w:val="000000"/>
                <w:highlight w:val="none"/>
              </w:rPr>
              <w:t>健康证</w:t>
            </w:r>
          </w:p>
        </w:tc>
      </w:tr>
      <w:tr>
        <w:tblPrEx>
          <w:tblCellMar>
            <w:top w:w="0" w:type="dxa"/>
            <w:left w:w="0" w:type="dxa"/>
            <w:bottom w:w="0" w:type="dxa"/>
            <w:right w:w="0" w:type="dxa"/>
          </w:tblCellMar>
        </w:tblPrEx>
        <w:trPr>
          <w:trHeight w:val="569" w:hRule="atLeast"/>
        </w:trPr>
        <w:tc>
          <w:tcPr>
            <w:tcW w:w="4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rPr>
                <w:rFonts w:cs="宋体"/>
                <w:color w:val="000000"/>
                <w:highlight w:val="none"/>
              </w:rPr>
            </w:pPr>
          </w:p>
        </w:tc>
        <w:tc>
          <w:tcPr>
            <w:tcW w:w="53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rPr>
                <w:rFonts w:cs="宋体"/>
                <w:color w:val="000000"/>
                <w:highlight w:val="none"/>
              </w:rPr>
            </w:pPr>
          </w:p>
        </w:tc>
        <w:tc>
          <w:tcPr>
            <w:tcW w:w="5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rPr>
                <w:rFonts w:cs="宋体"/>
                <w:color w:val="000000"/>
                <w:highlight w:val="none"/>
              </w:rPr>
            </w:pPr>
          </w:p>
        </w:tc>
        <w:tc>
          <w:tcPr>
            <w:tcW w:w="5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rPr>
                <w:rFonts w:cs="宋体"/>
                <w:color w:val="000000"/>
                <w:highlight w:val="none"/>
              </w:rPr>
            </w:pPr>
          </w:p>
        </w:tc>
        <w:tc>
          <w:tcPr>
            <w:tcW w:w="13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rPr>
                <w:rFonts w:cs="宋体"/>
                <w:color w:val="000000"/>
                <w:highlight w:val="none"/>
              </w:rPr>
            </w:pPr>
          </w:p>
        </w:tc>
        <w:tc>
          <w:tcPr>
            <w:tcW w:w="86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rPr>
                <w:rFonts w:cs="宋体"/>
                <w:color w:val="000000"/>
                <w:highlight w:val="none"/>
              </w:rPr>
            </w:pPr>
          </w:p>
        </w:tc>
        <w:tc>
          <w:tcPr>
            <w:tcW w:w="83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rPr>
                <w:rFonts w:cs="宋体"/>
                <w:color w:val="000000"/>
                <w:highlight w:val="none"/>
              </w:rPr>
            </w:pPr>
          </w:p>
        </w:tc>
      </w:tr>
      <w:tr>
        <w:tblPrEx>
          <w:tblCellMar>
            <w:top w:w="0" w:type="dxa"/>
            <w:left w:w="0" w:type="dxa"/>
            <w:bottom w:w="0" w:type="dxa"/>
            <w:right w:w="0" w:type="dxa"/>
          </w:tblCellMar>
        </w:tblPrEx>
        <w:trPr>
          <w:trHeight w:val="569" w:hRule="atLeast"/>
        </w:trPr>
        <w:tc>
          <w:tcPr>
            <w:tcW w:w="4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rPr>
                <w:rFonts w:cs="宋体"/>
                <w:color w:val="000000"/>
                <w:highlight w:val="none"/>
              </w:rPr>
            </w:pPr>
          </w:p>
        </w:tc>
        <w:tc>
          <w:tcPr>
            <w:tcW w:w="53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rPr>
                <w:rFonts w:cs="宋体"/>
                <w:color w:val="000000"/>
                <w:highlight w:val="none"/>
              </w:rPr>
            </w:pPr>
          </w:p>
        </w:tc>
        <w:tc>
          <w:tcPr>
            <w:tcW w:w="5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rPr>
                <w:rFonts w:cs="宋体"/>
                <w:color w:val="000000"/>
                <w:highlight w:val="none"/>
              </w:rPr>
            </w:pPr>
          </w:p>
        </w:tc>
        <w:tc>
          <w:tcPr>
            <w:tcW w:w="5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rPr>
                <w:rFonts w:cs="宋体"/>
                <w:color w:val="000000"/>
                <w:highlight w:val="none"/>
              </w:rPr>
            </w:pPr>
          </w:p>
        </w:tc>
        <w:tc>
          <w:tcPr>
            <w:tcW w:w="13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rPr>
                <w:rFonts w:cs="宋体"/>
                <w:color w:val="000000"/>
                <w:highlight w:val="none"/>
              </w:rPr>
            </w:pPr>
          </w:p>
        </w:tc>
        <w:tc>
          <w:tcPr>
            <w:tcW w:w="86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rPr>
                <w:rFonts w:cs="宋体"/>
                <w:color w:val="000000"/>
                <w:highlight w:val="none"/>
              </w:rPr>
            </w:pPr>
          </w:p>
        </w:tc>
        <w:tc>
          <w:tcPr>
            <w:tcW w:w="83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rPr>
                <w:rFonts w:cs="宋体"/>
                <w:color w:val="000000"/>
                <w:highlight w:val="none"/>
              </w:rPr>
            </w:pPr>
          </w:p>
        </w:tc>
      </w:tr>
      <w:tr>
        <w:tblPrEx>
          <w:tblCellMar>
            <w:top w:w="0" w:type="dxa"/>
            <w:left w:w="0" w:type="dxa"/>
            <w:bottom w:w="0" w:type="dxa"/>
            <w:right w:w="0" w:type="dxa"/>
          </w:tblCellMar>
        </w:tblPrEx>
        <w:trPr>
          <w:trHeight w:val="569" w:hRule="atLeast"/>
        </w:trPr>
        <w:tc>
          <w:tcPr>
            <w:tcW w:w="4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rPr>
                <w:rFonts w:cs="宋体"/>
                <w:color w:val="000000"/>
                <w:highlight w:val="none"/>
              </w:rPr>
            </w:pPr>
          </w:p>
        </w:tc>
        <w:tc>
          <w:tcPr>
            <w:tcW w:w="53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rPr>
                <w:rFonts w:cs="宋体"/>
                <w:color w:val="000000"/>
                <w:highlight w:val="none"/>
              </w:rPr>
            </w:pPr>
          </w:p>
        </w:tc>
        <w:tc>
          <w:tcPr>
            <w:tcW w:w="5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rPr>
                <w:rFonts w:cs="宋体"/>
                <w:color w:val="000000"/>
                <w:highlight w:val="none"/>
              </w:rPr>
            </w:pPr>
          </w:p>
        </w:tc>
        <w:tc>
          <w:tcPr>
            <w:tcW w:w="5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rPr>
                <w:rFonts w:cs="宋体"/>
                <w:color w:val="000000"/>
                <w:highlight w:val="none"/>
              </w:rPr>
            </w:pPr>
          </w:p>
        </w:tc>
        <w:tc>
          <w:tcPr>
            <w:tcW w:w="13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rPr>
                <w:rFonts w:cs="宋体"/>
                <w:color w:val="000000"/>
                <w:highlight w:val="none"/>
              </w:rPr>
            </w:pPr>
          </w:p>
        </w:tc>
        <w:tc>
          <w:tcPr>
            <w:tcW w:w="86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rPr>
                <w:rFonts w:cs="宋体"/>
                <w:color w:val="000000"/>
                <w:highlight w:val="none"/>
              </w:rPr>
            </w:pPr>
          </w:p>
        </w:tc>
        <w:tc>
          <w:tcPr>
            <w:tcW w:w="83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rPr>
                <w:rFonts w:cs="宋体"/>
                <w:color w:val="000000"/>
                <w:highlight w:val="none"/>
              </w:rPr>
            </w:pPr>
          </w:p>
        </w:tc>
      </w:tr>
      <w:tr>
        <w:tblPrEx>
          <w:tblCellMar>
            <w:top w:w="0" w:type="dxa"/>
            <w:left w:w="0" w:type="dxa"/>
            <w:bottom w:w="0" w:type="dxa"/>
            <w:right w:w="0" w:type="dxa"/>
          </w:tblCellMar>
        </w:tblPrEx>
        <w:trPr>
          <w:trHeight w:val="569" w:hRule="atLeast"/>
        </w:trPr>
        <w:tc>
          <w:tcPr>
            <w:tcW w:w="4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rPr>
                <w:rFonts w:cs="宋体"/>
                <w:color w:val="000000"/>
                <w:highlight w:val="none"/>
              </w:rPr>
            </w:pPr>
          </w:p>
        </w:tc>
        <w:tc>
          <w:tcPr>
            <w:tcW w:w="53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rPr>
                <w:rFonts w:cs="宋体"/>
                <w:color w:val="000000"/>
                <w:highlight w:val="none"/>
              </w:rPr>
            </w:pPr>
          </w:p>
        </w:tc>
        <w:tc>
          <w:tcPr>
            <w:tcW w:w="5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rPr>
                <w:rFonts w:cs="宋体"/>
                <w:color w:val="000000"/>
                <w:highlight w:val="none"/>
              </w:rPr>
            </w:pPr>
          </w:p>
        </w:tc>
        <w:tc>
          <w:tcPr>
            <w:tcW w:w="5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rPr>
                <w:rFonts w:cs="宋体"/>
                <w:color w:val="000000"/>
                <w:highlight w:val="none"/>
              </w:rPr>
            </w:pPr>
          </w:p>
        </w:tc>
        <w:tc>
          <w:tcPr>
            <w:tcW w:w="13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rPr>
                <w:rFonts w:cs="宋体"/>
                <w:color w:val="000000"/>
                <w:highlight w:val="none"/>
              </w:rPr>
            </w:pPr>
          </w:p>
        </w:tc>
        <w:tc>
          <w:tcPr>
            <w:tcW w:w="86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rPr>
                <w:rFonts w:cs="宋体"/>
                <w:color w:val="000000"/>
                <w:highlight w:val="none"/>
              </w:rPr>
            </w:pPr>
          </w:p>
        </w:tc>
        <w:tc>
          <w:tcPr>
            <w:tcW w:w="83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rPr>
                <w:rFonts w:cs="宋体"/>
                <w:color w:val="000000"/>
                <w:highlight w:val="none"/>
              </w:rPr>
            </w:pPr>
          </w:p>
        </w:tc>
      </w:tr>
      <w:tr>
        <w:tblPrEx>
          <w:tblCellMar>
            <w:top w:w="0" w:type="dxa"/>
            <w:left w:w="0" w:type="dxa"/>
            <w:bottom w:w="0" w:type="dxa"/>
            <w:right w:w="0" w:type="dxa"/>
          </w:tblCellMar>
        </w:tblPrEx>
        <w:trPr>
          <w:trHeight w:val="569" w:hRule="atLeast"/>
        </w:trPr>
        <w:tc>
          <w:tcPr>
            <w:tcW w:w="4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rPr>
                <w:rFonts w:cs="宋体"/>
                <w:color w:val="000000"/>
                <w:highlight w:val="none"/>
              </w:rPr>
            </w:pPr>
          </w:p>
        </w:tc>
        <w:tc>
          <w:tcPr>
            <w:tcW w:w="53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rPr>
                <w:rFonts w:cs="宋体"/>
                <w:color w:val="000000"/>
                <w:highlight w:val="none"/>
              </w:rPr>
            </w:pPr>
          </w:p>
        </w:tc>
        <w:tc>
          <w:tcPr>
            <w:tcW w:w="5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rPr>
                <w:rFonts w:cs="宋体"/>
                <w:color w:val="000000"/>
                <w:highlight w:val="none"/>
              </w:rPr>
            </w:pPr>
          </w:p>
        </w:tc>
        <w:tc>
          <w:tcPr>
            <w:tcW w:w="5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rPr>
                <w:rFonts w:cs="宋体"/>
                <w:color w:val="000000"/>
                <w:highlight w:val="none"/>
              </w:rPr>
            </w:pPr>
          </w:p>
        </w:tc>
        <w:tc>
          <w:tcPr>
            <w:tcW w:w="13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rPr>
                <w:rFonts w:cs="宋体"/>
                <w:color w:val="000000"/>
                <w:highlight w:val="none"/>
              </w:rPr>
            </w:pPr>
          </w:p>
        </w:tc>
        <w:tc>
          <w:tcPr>
            <w:tcW w:w="86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rPr>
                <w:rFonts w:cs="宋体"/>
                <w:color w:val="000000"/>
                <w:highlight w:val="none"/>
              </w:rPr>
            </w:pPr>
          </w:p>
        </w:tc>
        <w:tc>
          <w:tcPr>
            <w:tcW w:w="83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rPr>
                <w:rFonts w:cs="宋体"/>
                <w:color w:val="000000"/>
                <w:highlight w:val="none"/>
              </w:rPr>
            </w:pPr>
          </w:p>
        </w:tc>
      </w:tr>
      <w:tr>
        <w:tblPrEx>
          <w:tblCellMar>
            <w:top w:w="0" w:type="dxa"/>
            <w:left w:w="0" w:type="dxa"/>
            <w:bottom w:w="0" w:type="dxa"/>
            <w:right w:w="0" w:type="dxa"/>
          </w:tblCellMar>
        </w:tblPrEx>
        <w:trPr>
          <w:trHeight w:val="569" w:hRule="atLeast"/>
        </w:trPr>
        <w:tc>
          <w:tcPr>
            <w:tcW w:w="4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rPr>
                <w:rFonts w:cs="宋体"/>
                <w:color w:val="000000"/>
                <w:highlight w:val="none"/>
              </w:rPr>
            </w:pPr>
          </w:p>
        </w:tc>
        <w:tc>
          <w:tcPr>
            <w:tcW w:w="53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rPr>
                <w:rFonts w:cs="宋体"/>
                <w:color w:val="000000"/>
                <w:highlight w:val="none"/>
              </w:rPr>
            </w:pPr>
          </w:p>
        </w:tc>
        <w:tc>
          <w:tcPr>
            <w:tcW w:w="5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rPr>
                <w:rFonts w:cs="宋体"/>
                <w:color w:val="000000"/>
                <w:highlight w:val="none"/>
              </w:rPr>
            </w:pPr>
          </w:p>
        </w:tc>
        <w:tc>
          <w:tcPr>
            <w:tcW w:w="5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rPr>
                <w:rFonts w:cs="宋体"/>
                <w:color w:val="000000"/>
                <w:highlight w:val="none"/>
              </w:rPr>
            </w:pPr>
          </w:p>
        </w:tc>
        <w:tc>
          <w:tcPr>
            <w:tcW w:w="13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rPr>
                <w:rFonts w:cs="宋体"/>
                <w:color w:val="000000"/>
                <w:highlight w:val="none"/>
              </w:rPr>
            </w:pPr>
          </w:p>
        </w:tc>
        <w:tc>
          <w:tcPr>
            <w:tcW w:w="86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rPr>
                <w:rFonts w:cs="宋体"/>
                <w:color w:val="000000"/>
                <w:highlight w:val="none"/>
              </w:rPr>
            </w:pPr>
          </w:p>
        </w:tc>
        <w:tc>
          <w:tcPr>
            <w:tcW w:w="83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rPr>
                <w:rFonts w:cs="宋体"/>
                <w:color w:val="000000"/>
                <w:highlight w:val="none"/>
              </w:rPr>
            </w:pPr>
          </w:p>
        </w:tc>
      </w:tr>
      <w:tr>
        <w:tblPrEx>
          <w:tblCellMar>
            <w:top w:w="0" w:type="dxa"/>
            <w:left w:w="0" w:type="dxa"/>
            <w:bottom w:w="0" w:type="dxa"/>
            <w:right w:w="0" w:type="dxa"/>
          </w:tblCellMar>
        </w:tblPrEx>
        <w:trPr>
          <w:trHeight w:val="569" w:hRule="atLeast"/>
        </w:trPr>
        <w:tc>
          <w:tcPr>
            <w:tcW w:w="4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rPr>
                <w:rFonts w:cs="宋体"/>
                <w:color w:val="000000"/>
                <w:highlight w:val="none"/>
              </w:rPr>
            </w:pPr>
          </w:p>
        </w:tc>
        <w:tc>
          <w:tcPr>
            <w:tcW w:w="53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rPr>
                <w:rFonts w:cs="宋体"/>
                <w:color w:val="000000"/>
                <w:highlight w:val="none"/>
              </w:rPr>
            </w:pPr>
          </w:p>
        </w:tc>
        <w:tc>
          <w:tcPr>
            <w:tcW w:w="5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rPr>
                <w:rFonts w:cs="宋体"/>
                <w:color w:val="000000"/>
                <w:highlight w:val="none"/>
              </w:rPr>
            </w:pPr>
          </w:p>
        </w:tc>
        <w:tc>
          <w:tcPr>
            <w:tcW w:w="5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rPr>
                <w:rFonts w:cs="宋体"/>
                <w:color w:val="000000"/>
                <w:highlight w:val="none"/>
              </w:rPr>
            </w:pPr>
          </w:p>
        </w:tc>
        <w:tc>
          <w:tcPr>
            <w:tcW w:w="13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rPr>
                <w:rFonts w:cs="宋体"/>
                <w:color w:val="000000"/>
                <w:highlight w:val="none"/>
              </w:rPr>
            </w:pPr>
          </w:p>
        </w:tc>
        <w:tc>
          <w:tcPr>
            <w:tcW w:w="86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rPr>
                <w:rFonts w:cs="宋体"/>
                <w:color w:val="000000"/>
                <w:highlight w:val="none"/>
              </w:rPr>
            </w:pPr>
          </w:p>
        </w:tc>
        <w:tc>
          <w:tcPr>
            <w:tcW w:w="83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rPr>
                <w:rFonts w:cs="宋体"/>
                <w:color w:val="000000"/>
                <w:highlight w:val="none"/>
              </w:rPr>
            </w:pPr>
          </w:p>
        </w:tc>
      </w:tr>
      <w:tr>
        <w:tblPrEx>
          <w:tblCellMar>
            <w:top w:w="0" w:type="dxa"/>
            <w:left w:w="0" w:type="dxa"/>
            <w:bottom w:w="0" w:type="dxa"/>
            <w:right w:w="0" w:type="dxa"/>
          </w:tblCellMar>
        </w:tblPrEx>
        <w:trPr>
          <w:trHeight w:val="569" w:hRule="atLeast"/>
        </w:trPr>
        <w:tc>
          <w:tcPr>
            <w:tcW w:w="4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rPr>
                <w:rFonts w:cs="宋体"/>
                <w:color w:val="000000"/>
                <w:highlight w:val="none"/>
              </w:rPr>
            </w:pPr>
          </w:p>
        </w:tc>
        <w:tc>
          <w:tcPr>
            <w:tcW w:w="53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rPr>
                <w:rFonts w:cs="宋体"/>
                <w:color w:val="000000"/>
                <w:highlight w:val="none"/>
              </w:rPr>
            </w:pPr>
          </w:p>
        </w:tc>
        <w:tc>
          <w:tcPr>
            <w:tcW w:w="5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rPr>
                <w:rFonts w:cs="宋体"/>
                <w:color w:val="000000"/>
                <w:highlight w:val="none"/>
              </w:rPr>
            </w:pPr>
          </w:p>
        </w:tc>
        <w:tc>
          <w:tcPr>
            <w:tcW w:w="5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rPr>
                <w:rFonts w:cs="宋体"/>
                <w:color w:val="000000"/>
                <w:highlight w:val="none"/>
              </w:rPr>
            </w:pPr>
          </w:p>
        </w:tc>
        <w:tc>
          <w:tcPr>
            <w:tcW w:w="13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rPr>
                <w:rFonts w:cs="宋体"/>
                <w:color w:val="000000"/>
                <w:highlight w:val="none"/>
              </w:rPr>
            </w:pPr>
          </w:p>
        </w:tc>
        <w:tc>
          <w:tcPr>
            <w:tcW w:w="86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rPr>
                <w:rFonts w:cs="宋体"/>
                <w:color w:val="000000"/>
                <w:highlight w:val="none"/>
              </w:rPr>
            </w:pPr>
          </w:p>
        </w:tc>
        <w:tc>
          <w:tcPr>
            <w:tcW w:w="83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rPr>
                <w:rFonts w:cs="宋体"/>
                <w:color w:val="000000"/>
                <w:highlight w:val="none"/>
              </w:rPr>
            </w:pPr>
          </w:p>
        </w:tc>
      </w:tr>
      <w:tr>
        <w:tblPrEx>
          <w:tblCellMar>
            <w:top w:w="0" w:type="dxa"/>
            <w:left w:w="0" w:type="dxa"/>
            <w:bottom w:w="0" w:type="dxa"/>
            <w:right w:w="0" w:type="dxa"/>
          </w:tblCellMar>
        </w:tblPrEx>
        <w:trPr>
          <w:trHeight w:val="580" w:hRule="atLeast"/>
        </w:trPr>
        <w:tc>
          <w:tcPr>
            <w:tcW w:w="4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rPr>
                <w:rFonts w:cs="宋体"/>
                <w:color w:val="000000"/>
                <w:highlight w:val="none"/>
              </w:rPr>
            </w:pPr>
          </w:p>
        </w:tc>
        <w:tc>
          <w:tcPr>
            <w:tcW w:w="53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rPr>
                <w:rFonts w:cs="宋体"/>
                <w:color w:val="000000"/>
                <w:highlight w:val="none"/>
              </w:rPr>
            </w:pPr>
          </w:p>
        </w:tc>
        <w:tc>
          <w:tcPr>
            <w:tcW w:w="54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rPr>
                <w:rFonts w:cs="宋体"/>
                <w:color w:val="000000"/>
                <w:highlight w:val="none"/>
              </w:rPr>
            </w:pPr>
          </w:p>
        </w:tc>
        <w:tc>
          <w:tcPr>
            <w:tcW w:w="5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rPr>
                <w:rFonts w:cs="宋体"/>
                <w:color w:val="000000"/>
                <w:highlight w:val="none"/>
              </w:rPr>
            </w:pPr>
          </w:p>
        </w:tc>
        <w:tc>
          <w:tcPr>
            <w:tcW w:w="13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rPr>
                <w:rFonts w:cs="宋体"/>
                <w:color w:val="000000"/>
                <w:highlight w:val="none"/>
              </w:rPr>
            </w:pPr>
          </w:p>
        </w:tc>
        <w:tc>
          <w:tcPr>
            <w:tcW w:w="86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rPr>
                <w:rFonts w:cs="宋体"/>
                <w:color w:val="000000"/>
                <w:highlight w:val="none"/>
              </w:rPr>
            </w:pPr>
          </w:p>
        </w:tc>
        <w:tc>
          <w:tcPr>
            <w:tcW w:w="83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rPr>
                <w:rFonts w:cs="宋体"/>
                <w:color w:val="000000"/>
                <w:highlight w:val="none"/>
              </w:rPr>
            </w:pPr>
          </w:p>
        </w:tc>
      </w:tr>
    </w:tbl>
    <w:p>
      <w:pPr>
        <w:adjustRightInd w:val="0"/>
        <w:snapToGrid w:val="0"/>
        <w:spacing w:line="480" w:lineRule="auto"/>
        <w:rPr>
          <w:rFonts w:cs="宋体"/>
          <w:highlight w:val="none"/>
        </w:rPr>
      </w:pPr>
    </w:p>
    <w:p>
      <w:pPr>
        <w:adjustRightInd w:val="0"/>
        <w:snapToGrid w:val="0"/>
        <w:spacing w:line="480" w:lineRule="auto"/>
        <w:rPr>
          <w:rFonts w:cs="宋体"/>
          <w:highlight w:val="none"/>
        </w:rPr>
      </w:pPr>
      <w:r>
        <w:rPr>
          <w:rFonts w:hint="eastAsia" w:cs="宋体"/>
          <w:highlight w:val="none"/>
        </w:rPr>
        <w:t xml:space="preserve">说明：1、供应商可根据岗位设置情况自行填写、调整此表内容； </w:t>
      </w:r>
    </w:p>
    <w:p>
      <w:pPr>
        <w:adjustRightInd w:val="0"/>
        <w:snapToGrid w:val="0"/>
        <w:spacing w:line="480" w:lineRule="auto"/>
        <w:ind w:firstLine="720" w:firstLineChars="300"/>
        <w:rPr>
          <w:rFonts w:cs="宋体"/>
          <w:highlight w:val="none"/>
        </w:rPr>
      </w:pPr>
      <w:r>
        <w:rPr>
          <w:rFonts w:hint="eastAsia" w:cs="宋体"/>
          <w:highlight w:val="none"/>
        </w:rPr>
        <w:t>2、投标文件正本应附完整的相关证明材料清晰影印件（身份证、岗位资格证、健康证等），未按照要求详细完整填写此表，导致的后果由供应商自行承担。</w:t>
      </w:r>
    </w:p>
    <w:p>
      <w:pPr>
        <w:adjustRightInd w:val="0"/>
        <w:snapToGrid w:val="0"/>
        <w:spacing w:line="480" w:lineRule="auto"/>
        <w:ind w:firstLine="480" w:firstLineChars="200"/>
        <w:rPr>
          <w:rFonts w:cs="宋体"/>
          <w:highlight w:val="none"/>
        </w:rPr>
      </w:pPr>
    </w:p>
    <w:p>
      <w:pPr>
        <w:adjustRightInd w:val="0"/>
        <w:snapToGrid w:val="0"/>
        <w:spacing w:line="480" w:lineRule="auto"/>
        <w:rPr>
          <w:rFonts w:cs="宋体"/>
          <w:highlight w:val="none"/>
        </w:rPr>
      </w:pPr>
    </w:p>
    <w:p>
      <w:pPr>
        <w:adjustRightInd w:val="0"/>
        <w:snapToGrid w:val="0"/>
        <w:spacing w:line="360" w:lineRule="auto"/>
        <w:rPr>
          <w:rFonts w:cs="宋体"/>
          <w:kern w:val="0"/>
          <w:highlight w:val="none"/>
        </w:rPr>
      </w:pPr>
      <w:r>
        <w:rPr>
          <w:rFonts w:hint="eastAsia" w:cs="宋体"/>
          <w:kern w:val="0"/>
          <w:highlight w:val="none"/>
        </w:rPr>
        <w:t>供应商名称（公章）：</w:t>
      </w:r>
    </w:p>
    <w:p>
      <w:pPr>
        <w:adjustRightInd w:val="0"/>
        <w:snapToGrid w:val="0"/>
        <w:spacing w:line="360" w:lineRule="auto"/>
        <w:rPr>
          <w:rFonts w:cs="宋体"/>
          <w:kern w:val="0"/>
          <w:highlight w:val="none"/>
          <w:u w:val="single"/>
        </w:rPr>
      </w:pPr>
      <w:r>
        <w:rPr>
          <w:rFonts w:hint="eastAsia" w:cs="宋体"/>
          <w:kern w:val="0"/>
          <w:highlight w:val="none"/>
        </w:rPr>
        <w:t>法定代表人（签字或盖章）或</w:t>
      </w:r>
      <w:r>
        <w:rPr>
          <w:rFonts w:hint="eastAsia" w:cs="宋体"/>
          <w:highlight w:val="none"/>
        </w:rPr>
        <w:t>授权委托人</w:t>
      </w:r>
      <w:r>
        <w:rPr>
          <w:rFonts w:hint="eastAsia" w:cs="宋体"/>
          <w:kern w:val="0"/>
          <w:highlight w:val="none"/>
        </w:rPr>
        <w:t>（签字）：</w:t>
      </w:r>
    </w:p>
    <w:p>
      <w:pPr>
        <w:spacing w:line="360" w:lineRule="auto"/>
        <w:rPr>
          <w:rFonts w:cs="宋体"/>
          <w:b/>
          <w:bCs/>
          <w:highlight w:val="none"/>
        </w:rPr>
      </w:pPr>
      <w:r>
        <w:rPr>
          <w:rFonts w:hint="eastAsia" w:cs="宋体"/>
          <w:highlight w:val="none"/>
        </w:rPr>
        <w:t>日期：年月</w:t>
      </w:r>
      <w:r>
        <w:rPr>
          <w:rFonts w:hint="eastAsia" w:cs="宋体"/>
          <w:kern w:val="0"/>
          <w:highlight w:val="none"/>
        </w:rPr>
        <w:t>日</w:t>
      </w:r>
    </w:p>
    <w:p>
      <w:pPr>
        <w:jc w:val="center"/>
        <w:rPr>
          <w:rFonts w:cs="宋体"/>
          <w:b/>
          <w:sz w:val="28"/>
          <w:szCs w:val="28"/>
          <w:highlight w:val="none"/>
        </w:rPr>
        <w:sectPr>
          <w:pgSz w:w="11906" w:h="16838"/>
          <w:pgMar w:top="1247" w:right="1247" w:bottom="1247" w:left="1247" w:header="850" w:footer="850" w:gutter="0"/>
          <w:cols w:space="425" w:num="1"/>
          <w:docGrid w:type="lines" w:linePitch="312" w:charSpace="0"/>
        </w:sectPr>
      </w:pPr>
    </w:p>
    <w:p>
      <w:pPr>
        <w:spacing w:beforeLines="50" w:afterLines="100" w:line="440" w:lineRule="exact"/>
        <w:jc w:val="center"/>
        <w:rPr>
          <w:rFonts w:cs="宋体"/>
          <w:b/>
          <w:highlight w:val="none"/>
        </w:rPr>
      </w:pPr>
      <w:r>
        <w:rPr>
          <w:rFonts w:hint="eastAsia" w:cs="宋体"/>
          <w:b/>
          <w:highlight w:val="none"/>
        </w:rPr>
        <w:t>3、项目负责人</w:t>
      </w:r>
    </w:p>
    <w:p>
      <w:pPr>
        <w:snapToGrid w:val="0"/>
        <w:spacing w:line="480" w:lineRule="auto"/>
        <w:ind w:firstLine="480" w:firstLineChars="200"/>
        <w:rPr>
          <w:rFonts w:cs="宋体"/>
          <w:highlight w:val="none"/>
        </w:rPr>
      </w:pPr>
      <w:r>
        <w:rPr>
          <w:rFonts w:hint="eastAsia" w:cs="宋体"/>
          <w:highlight w:val="none"/>
        </w:rPr>
        <w:t>拟派本项目负责人同时配备有国家餐饮行业“高级职业经理人”、“高级食品安全管理师”、“公共营养师”、“中式烹调师（三级以上）”、“厨政管理”、“营养配餐”证书的。</w:t>
      </w:r>
    </w:p>
    <w:p>
      <w:pPr>
        <w:snapToGrid w:val="0"/>
        <w:spacing w:line="480" w:lineRule="auto"/>
        <w:rPr>
          <w:rFonts w:cs="宋体"/>
          <w:highlight w:val="none"/>
        </w:rPr>
        <w:sectPr>
          <w:pgSz w:w="11906" w:h="16838"/>
          <w:pgMar w:top="1247" w:right="1247" w:bottom="1247" w:left="1247" w:header="850" w:footer="850" w:gutter="0"/>
          <w:cols w:space="425" w:num="1"/>
          <w:docGrid w:type="lines" w:linePitch="312" w:charSpace="0"/>
        </w:sectPr>
      </w:pPr>
      <w:r>
        <w:rPr>
          <w:rFonts w:hint="eastAsia" w:cs="宋体"/>
          <w:highlight w:val="none"/>
        </w:rPr>
        <w:t>注：提供投标供应商项目负责人证书的须同时提供该项目负责人投标截止日期前6个月任意三个月（不含投标截止当月）的社保证明材料，投标文件中附复印件。</w:t>
      </w:r>
    </w:p>
    <w:p>
      <w:pPr>
        <w:spacing w:beforeLines="50" w:afterLines="100" w:line="440" w:lineRule="exact"/>
        <w:jc w:val="center"/>
        <w:rPr>
          <w:rFonts w:cs="宋体"/>
          <w:b/>
          <w:highlight w:val="none"/>
        </w:rPr>
      </w:pPr>
      <w:r>
        <w:rPr>
          <w:rFonts w:hint="eastAsia" w:cs="宋体"/>
          <w:b/>
          <w:highlight w:val="none"/>
        </w:rPr>
        <w:t>4、企业荣誉</w:t>
      </w:r>
    </w:p>
    <w:p>
      <w:pPr>
        <w:snapToGrid w:val="0"/>
        <w:spacing w:line="480" w:lineRule="auto"/>
        <w:ind w:firstLine="480" w:firstLineChars="200"/>
        <w:rPr>
          <w:rFonts w:cs="宋体"/>
          <w:highlight w:val="none"/>
        </w:rPr>
      </w:pPr>
      <w:r>
        <w:rPr>
          <w:rFonts w:hint="eastAsia" w:cs="宋体"/>
          <w:highlight w:val="none"/>
        </w:rPr>
        <w:t>（1）供应商近三年（2022年7月至今）获得省级市场监督管理局授予“守合同重信用”荣誉奖项提供复印件作为证明材料。</w:t>
      </w:r>
    </w:p>
    <w:p>
      <w:pPr>
        <w:snapToGrid w:val="0"/>
        <w:spacing w:line="480" w:lineRule="auto"/>
        <w:ind w:firstLine="480" w:firstLineChars="200"/>
        <w:rPr>
          <w:rFonts w:cs="宋体"/>
          <w:highlight w:val="none"/>
        </w:rPr>
      </w:pPr>
      <w:r>
        <w:rPr>
          <w:rFonts w:hint="eastAsia" w:cs="宋体"/>
          <w:highlight w:val="none"/>
        </w:rPr>
        <w:t>（2）供应商近三年（2022年7月至今）获得市级市场监督管理局授予“守合同重信用”荣誉奖项提供复印件作为证明材料。</w:t>
      </w:r>
    </w:p>
    <w:p>
      <w:pPr>
        <w:tabs>
          <w:tab w:val="center" w:pos="4153"/>
          <w:tab w:val="right" w:pos="8306"/>
        </w:tabs>
        <w:snapToGrid w:val="0"/>
        <w:spacing w:line="480" w:lineRule="auto"/>
        <w:ind w:firstLine="480" w:firstLineChars="200"/>
        <w:jc w:val="left"/>
        <w:rPr>
          <w:rFonts w:cs="宋体"/>
          <w:highlight w:val="none"/>
        </w:rPr>
      </w:pPr>
      <w:r>
        <w:rPr>
          <w:rFonts w:hint="eastAsia" w:cs="宋体"/>
          <w:highlight w:val="none"/>
          <w:lang w:val="zh-CN" w:bidi="zh-CN"/>
        </w:rPr>
        <w:t>（</w:t>
      </w:r>
      <w:r>
        <w:rPr>
          <w:rFonts w:hint="eastAsia" w:cs="宋体"/>
          <w:highlight w:val="none"/>
          <w:lang w:bidi="zh-CN"/>
        </w:rPr>
        <w:t>3</w:t>
      </w:r>
      <w:r>
        <w:rPr>
          <w:rFonts w:hint="eastAsia" w:cs="宋体"/>
          <w:highlight w:val="none"/>
          <w:lang w:val="zh-CN" w:bidi="zh-CN"/>
        </w:rPr>
        <w:t>）供应商获得餐饮行业其他荣誉奖项提供复印件作为证明材料。</w:t>
      </w:r>
    </w:p>
    <w:p>
      <w:pPr>
        <w:tabs>
          <w:tab w:val="center" w:pos="4153"/>
          <w:tab w:val="right" w:pos="8306"/>
        </w:tabs>
        <w:snapToGrid w:val="0"/>
        <w:spacing w:line="480" w:lineRule="auto"/>
        <w:ind w:firstLine="480" w:firstLineChars="200"/>
        <w:jc w:val="left"/>
        <w:rPr>
          <w:rFonts w:cs="宋体"/>
          <w:highlight w:val="none"/>
        </w:rPr>
      </w:pPr>
    </w:p>
    <w:p>
      <w:pPr>
        <w:tabs>
          <w:tab w:val="center" w:pos="4153"/>
          <w:tab w:val="right" w:pos="8306"/>
        </w:tabs>
        <w:snapToGrid w:val="0"/>
        <w:spacing w:line="360" w:lineRule="auto"/>
        <w:jc w:val="left"/>
        <w:rPr>
          <w:rFonts w:cs="宋体"/>
          <w:sz w:val="18"/>
          <w:highlight w:val="none"/>
        </w:rPr>
      </w:pPr>
    </w:p>
    <w:p>
      <w:pPr>
        <w:numPr>
          <w:ilvl w:val="0"/>
          <w:numId w:val="16"/>
        </w:numPr>
        <w:spacing w:beforeLines="50" w:afterLines="100" w:line="440" w:lineRule="exact"/>
        <w:ind w:firstLine="964" w:firstLineChars="400"/>
        <w:jc w:val="left"/>
        <w:rPr>
          <w:rFonts w:cs="宋体"/>
          <w:b/>
          <w:highlight w:val="none"/>
        </w:rPr>
        <w:sectPr>
          <w:pgSz w:w="11906" w:h="16838"/>
          <w:pgMar w:top="1247" w:right="1247" w:bottom="1247" w:left="1247" w:header="850" w:footer="850" w:gutter="0"/>
          <w:cols w:space="425" w:num="1"/>
          <w:docGrid w:type="lines" w:linePitch="312" w:charSpace="0"/>
        </w:sectPr>
      </w:pPr>
    </w:p>
    <w:p>
      <w:pPr>
        <w:spacing w:beforeLines="50" w:afterLines="100" w:line="440" w:lineRule="exact"/>
        <w:jc w:val="center"/>
        <w:rPr>
          <w:rFonts w:cs="宋体"/>
          <w:b/>
          <w:highlight w:val="none"/>
        </w:rPr>
      </w:pPr>
      <w:r>
        <w:rPr>
          <w:rFonts w:hint="eastAsia" w:cs="宋体"/>
          <w:b/>
          <w:highlight w:val="none"/>
        </w:rPr>
        <w:t>5、企业实力</w:t>
      </w:r>
    </w:p>
    <w:p>
      <w:pPr>
        <w:snapToGrid w:val="0"/>
        <w:spacing w:line="480" w:lineRule="auto"/>
        <w:ind w:firstLine="480" w:firstLineChars="200"/>
        <w:rPr>
          <w:rFonts w:cs="宋体"/>
          <w:highlight w:val="none"/>
        </w:rPr>
      </w:pPr>
      <w:r>
        <w:rPr>
          <w:rFonts w:hint="eastAsia" w:cs="宋体"/>
          <w:highlight w:val="none"/>
        </w:rPr>
        <w:t>供应商已通过质量管理体系认证、环境管理体系认证、职业健康安全管理体系认证。</w:t>
      </w:r>
    </w:p>
    <w:p>
      <w:pPr>
        <w:tabs>
          <w:tab w:val="center" w:pos="4153"/>
          <w:tab w:val="right" w:pos="8306"/>
        </w:tabs>
        <w:snapToGrid w:val="0"/>
        <w:spacing w:line="480" w:lineRule="auto"/>
        <w:jc w:val="left"/>
        <w:rPr>
          <w:rFonts w:cs="宋体"/>
          <w:highlight w:val="none"/>
        </w:rPr>
      </w:pPr>
    </w:p>
    <w:p>
      <w:pPr>
        <w:tabs>
          <w:tab w:val="center" w:pos="4153"/>
          <w:tab w:val="right" w:pos="8306"/>
        </w:tabs>
        <w:snapToGrid w:val="0"/>
        <w:spacing w:line="480" w:lineRule="auto"/>
        <w:jc w:val="left"/>
        <w:rPr>
          <w:rFonts w:cs="宋体"/>
          <w:highlight w:val="none"/>
        </w:rPr>
      </w:pPr>
      <w:r>
        <w:rPr>
          <w:rFonts w:hint="eastAsia" w:cs="宋体"/>
          <w:highlight w:val="none"/>
        </w:rPr>
        <w:t>注：须提供证书复印件并加盖公章，并附全国认证认可信息公共服务平台【http://cx.cnca.cn/】网页查询截面图加盖供应商公章。</w:t>
      </w:r>
    </w:p>
    <w:p>
      <w:pPr>
        <w:adjustRightInd w:val="0"/>
        <w:snapToGrid w:val="0"/>
        <w:spacing w:line="480" w:lineRule="auto"/>
        <w:ind w:firstLine="482" w:firstLineChars="200"/>
        <w:jc w:val="center"/>
        <w:outlineLvl w:val="0"/>
        <w:rPr>
          <w:rFonts w:cs="宋体"/>
          <w:b/>
          <w:highlight w:val="none"/>
        </w:rPr>
        <w:sectPr>
          <w:pgSz w:w="11906" w:h="16838"/>
          <w:pgMar w:top="1247" w:right="1247" w:bottom="1247" w:left="1247" w:header="850" w:footer="850" w:gutter="0"/>
          <w:cols w:space="425" w:num="1"/>
          <w:docGrid w:type="lines" w:linePitch="312" w:charSpace="0"/>
        </w:sectPr>
      </w:pPr>
      <w:bookmarkStart w:id="165" w:name="_Toc4926_WPSOffice_Level1"/>
      <w:bookmarkStart w:id="166" w:name="_Toc11399"/>
      <w:bookmarkStart w:id="167" w:name="_Toc23656"/>
      <w:bookmarkStart w:id="168" w:name="_Toc28107"/>
      <w:bookmarkStart w:id="169" w:name="_Toc19249"/>
      <w:bookmarkStart w:id="170" w:name="_Toc13274"/>
    </w:p>
    <w:p>
      <w:pPr>
        <w:snapToGrid w:val="0"/>
        <w:spacing w:line="360" w:lineRule="auto"/>
        <w:ind w:firstLine="562" w:firstLineChars="200"/>
        <w:jc w:val="center"/>
        <w:rPr>
          <w:rFonts w:cs="宋体"/>
          <w:b/>
          <w:sz w:val="28"/>
          <w:szCs w:val="28"/>
          <w:highlight w:val="none"/>
        </w:rPr>
      </w:pPr>
      <w:r>
        <w:rPr>
          <w:rFonts w:hint="eastAsia" w:cs="宋体"/>
          <w:b/>
          <w:sz w:val="28"/>
          <w:szCs w:val="28"/>
          <w:highlight w:val="none"/>
        </w:rPr>
        <w:t>九、商务偏离表</w:t>
      </w:r>
    </w:p>
    <w:p>
      <w:pPr>
        <w:spacing w:before="22" w:line="360" w:lineRule="auto"/>
        <w:rPr>
          <w:rFonts w:cs="宋体"/>
          <w:highlight w:val="none"/>
        </w:rPr>
      </w:pPr>
    </w:p>
    <w:tbl>
      <w:tblPr>
        <w:tblStyle w:val="35"/>
        <w:tblW w:w="9478" w:type="dxa"/>
        <w:tblInd w:w="4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7"/>
        <w:gridCol w:w="2270"/>
        <w:gridCol w:w="2192"/>
        <w:gridCol w:w="1906"/>
        <w:gridCol w:w="1433"/>
        <w:gridCol w:w="86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58" w:hRule="atLeast"/>
        </w:trPr>
        <w:tc>
          <w:tcPr>
            <w:tcW w:w="817" w:type="dxa"/>
            <w:shd w:val="clear" w:color="auto" w:fill="E7E6E6"/>
          </w:tcPr>
          <w:p>
            <w:pPr>
              <w:spacing w:line="301" w:lineRule="auto"/>
              <w:jc w:val="center"/>
              <w:rPr>
                <w:rFonts w:cs="宋体"/>
                <w:sz w:val="21"/>
                <w:highlight w:val="none"/>
              </w:rPr>
            </w:pPr>
          </w:p>
          <w:p>
            <w:pPr>
              <w:spacing w:before="65" w:line="229" w:lineRule="auto"/>
              <w:ind w:left="198"/>
              <w:jc w:val="center"/>
              <w:rPr>
                <w:rFonts w:cs="宋体"/>
                <w:highlight w:val="none"/>
                <w:lang w:eastAsia="en-US"/>
              </w:rPr>
            </w:pPr>
            <w:r>
              <w:rPr>
                <w:rFonts w:hint="eastAsia" w:cs="宋体"/>
                <w:b/>
                <w:bCs/>
                <w:spacing w:val="4"/>
                <w:highlight w:val="none"/>
                <w:lang w:eastAsia="en-US"/>
              </w:rPr>
              <w:t>序号</w:t>
            </w:r>
          </w:p>
        </w:tc>
        <w:tc>
          <w:tcPr>
            <w:tcW w:w="2270" w:type="dxa"/>
            <w:shd w:val="clear" w:color="auto" w:fill="E7E6E6"/>
          </w:tcPr>
          <w:p>
            <w:pPr>
              <w:spacing w:line="301" w:lineRule="auto"/>
              <w:jc w:val="center"/>
              <w:rPr>
                <w:rFonts w:cs="宋体"/>
                <w:sz w:val="21"/>
                <w:highlight w:val="none"/>
              </w:rPr>
            </w:pPr>
          </w:p>
          <w:p>
            <w:pPr>
              <w:spacing w:before="65" w:line="228" w:lineRule="auto"/>
              <w:ind w:left="266"/>
              <w:jc w:val="center"/>
              <w:rPr>
                <w:rFonts w:cs="宋体"/>
                <w:highlight w:val="none"/>
                <w:lang w:eastAsia="en-US"/>
              </w:rPr>
            </w:pPr>
            <w:r>
              <w:rPr>
                <w:rFonts w:hint="eastAsia" w:cs="宋体"/>
                <w:b/>
                <w:bCs/>
                <w:spacing w:val="7"/>
                <w:highlight w:val="none"/>
                <w:lang w:eastAsia="en-US"/>
              </w:rPr>
              <w:t>招标文件条目号</w:t>
            </w:r>
          </w:p>
        </w:tc>
        <w:tc>
          <w:tcPr>
            <w:tcW w:w="2192" w:type="dxa"/>
            <w:shd w:val="clear" w:color="auto" w:fill="E7E6E6"/>
          </w:tcPr>
          <w:p>
            <w:pPr>
              <w:spacing w:before="133" w:line="370" w:lineRule="auto"/>
              <w:ind w:left="373" w:right="364" w:hanging="3"/>
              <w:jc w:val="center"/>
              <w:rPr>
                <w:rFonts w:cs="宋体"/>
                <w:b/>
                <w:bCs/>
                <w:spacing w:val="6"/>
                <w:highlight w:val="none"/>
                <w:lang w:eastAsia="en-US"/>
              </w:rPr>
            </w:pPr>
            <w:r>
              <w:rPr>
                <w:rFonts w:hint="eastAsia" w:cs="宋体"/>
                <w:b/>
                <w:bCs/>
                <w:spacing w:val="6"/>
                <w:highlight w:val="none"/>
                <w:lang w:eastAsia="en-US"/>
              </w:rPr>
              <w:t>招标文件</w:t>
            </w:r>
          </w:p>
          <w:p>
            <w:pPr>
              <w:spacing w:before="133" w:line="370" w:lineRule="auto"/>
              <w:ind w:left="373" w:right="364" w:hanging="3"/>
              <w:jc w:val="center"/>
              <w:rPr>
                <w:rFonts w:cs="宋体"/>
                <w:highlight w:val="none"/>
                <w:lang w:eastAsia="en-US"/>
              </w:rPr>
            </w:pPr>
            <w:r>
              <w:rPr>
                <w:rFonts w:hint="eastAsia" w:cs="宋体"/>
                <w:b/>
                <w:bCs/>
                <w:spacing w:val="5"/>
                <w:highlight w:val="none"/>
                <w:lang w:eastAsia="en-US"/>
              </w:rPr>
              <w:t>商务条款</w:t>
            </w:r>
          </w:p>
        </w:tc>
        <w:tc>
          <w:tcPr>
            <w:tcW w:w="1906" w:type="dxa"/>
            <w:shd w:val="clear" w:color="auto" w:fill="E7E6E6"/>
          </w:tcPr>
          <w:p>
            <w:pPr>
              <w:spacing w:before="133" w:line="370" w:lineRule="auto"/>
              <w:ind w:left="376" w:right="362" w:hanging="1"/>
              <w:jc w:val="center"/>
              <w:rPr>
                <w:rFonts w:cs="宋体"/>
                <w:b/>
                <w:bCs/>
                <w:spacing w:val="5"/>
                <w:highlight w:val="none"/>
                <w:lang w:eastAsia="en-US"/>
              </w:rPr>
            </w:pPr>
            <w:r>
              <w:rPr>
                <w:rFonts w:hint="eastAsia" w:cs="宋体"/>
                <w:b/>
                <w:bCs/>
                <w:spacing w:val="5"/>
                <w:highlight w:val="none"/>
                <w:lang w:eastAsia="en-US"/>
              </w:rPr>
              <w:t>投标文件</w:t>
            </w:r>
          </w:p>
          <w:p>
            <w:pPr>
              <w:spacing w:before="133" w:line="370" w:lineRule="auto"/>
              <w:ind w:left="376" w:right="362" w:hanging="1"/>
              <w:jc w:val="center"/>
              <w:rPr>
                <w:rFonts w:cs="宋体"/>
                <w:highlight w:val="none"/>
                <w:lang w:eastAsia="en-US"/>
              </w:rPr>
            </w:pPr>
            <w:r>
              <w:rPr>
                <w:rFonts w:hint="eastAsia" w:cs="宋体"/>
                <w:b/>
                <w:bCs/>
                <w:spacing w:val="5"/>
                <w:highlight w:val="none"/>
                <w:lang w:eastAsia="en-US"/>
              </w:rPr>
              <w:t>商务条款</w:t>
            </w:r>
          </w:p>
        </w:tc>
        <w:tc>
          <w:tcPr>
            <w:tcW w:w="1433" w:type="dxa"/>
            <w:shd w:val="clear" w:color="auto" w:fill="E7E6E6"/>
          </w:tcPr>
          <w:p>
            <w:pPr>
              <w:spacing w:line="301" w:lineRule="auto"/>
              <w:jc w:val="center"/>
              <w:rPr>
                <w:rFonts w:cs="宋体"/>
                <w:sz w:val="21"/>
                <w:highlight w:val="none"/>
              </w:rPr>
            </w:pPr>
          </w:p>
          <w:p>
            <w:pPr>
              <w:spacing w:before="65" w:line="228" w:lineRule="auto"/>
              <w:ind w:left="161"/>
              <w:jc w:val="center"/>
              <w:rPr>
                <w:rFonts w:cs="宋体"/>
                <w:highlight w:val="none"/>
                <w:lang w:eastAsia="en-US"/>
              </w:rPr>
            </w:pPr>
            <w:r>
              <w:rPr>
                <w:rFonts w:hint="eastAsia" w:cs="宋体"/>
                <w:b/>
                <w:bCs/>
                <w:spacing w:val="6"/>
                <w:highlight w:val="none"/>
                <w:lang w:eastAsia="en-US"/>
              </w:rPr>
              <w:t>偏离情况</w:t>
            </w:r>
          </w:p>
        </w:tc>
        <w:tc>
          <w:tcPr>
            <w:tcW w:w="860" w:type="dxa"/>
            <w:shd w:val="clear" w:color="auto" w:fill="E7E6E6"/>
          </w:tcPr>
          <w:p>
            <w:pPr>
              <w:spacing w:line="301" w:lineRule="auto"/>
              <w:jc w:val="center"/>
              <w:rPr>
                <w:rFonts w:cs="宋体"/>
                <w:sz w:val="21"/>
                <w:highlight w:val="none"/>
              </w:rPr>
            </w:pPr>
          </w:p>
          <w:p>
            <w:pPr>
              <w:spacing w:before="65" w:line="228" w:lineRule="auto"/>
              <w:jc w:val="center"/>
              <w:rPr>
                <w:rFonts w:cs="宋体"/>
                <w:highlight w:val="none"/>
                <w:lang w:eastAsia="en-US"/>
              </w:rPr>
            </w:pPr>
            <w:r>
              <w:rPr>
                <w:rFonts w:hint="eastAsia" w:cs="宋体"/>
                <w:b/>
                <w:bCs/>
                <w:spacing w:val="2"/>
                <w:highlight w:val="none"/>
                <w:lang w:eastAsia="en-US"/>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817" w:type="dxa"/>
          </w:tcPr>
          <w:p>
            <w:pPr>
              <w:spacing w:before="211" w:line="189" w:lineRule="auto"/>
              <w:ind w:left="371"/>
              <w:rPr>
                <w:rFonts w:cs="宋体"/>
                <w:highlight w:val="none"/>
                <w:lang w:eastAsia="en-US"/>
              </w:rPr>
            </w:pPr>
            <w:r>
              <w:rPr>
                <w:rFonts w:hint="eastAsia" w:cs="宋体"/>
                <w:highlight w:val="none"/>
                <w:lang w:eastAsia="en-US"/>
              </w:rPr>
              <w:t>1</w:t>
            </w:r>
          </w:p>
        </w:tc>
        <w:tc>
          <w:tcPr>
            <w:tcW w:w="2270" w:type="dxa"/>
          </w:tcPr>
          <w:p>
            <w:pPr>
              <w:spacing w:line="360" w:lineRule="auto"/>
              <w:rPr>
                <w:rFonts w:cs="宋体"/>
                <w:sz w:val="21"/>
                <w:highlight w:val="none"/>
              </w:rPr>
            </w:pPr>
          </w:p>
        </w:tc>
        <w:tc>
          <w:tcPr>
            <w:tcW w:w="2192" w:type="dxa"/>
          </w:tcPr>
          <w:p>
            <w:pPr>
              <w:spacing w:line="360" w:lineRule="auto"/>
              <w:rPr>
                <w:rFonts w:cs="宋体"/>
                <w:sz w:val="21"/>
                <w:highlight w:val="none"/>
              </w:rPr>
            </w:pPr>
          </w:p>
        </w:tc>
        <w:tc>
          <w:tcPr>
            <w:tcW w:w="1906" w:type="dxa"/>
          </w:tcPr>
          <w:p>
            <w:pPr>
              <w:spacing w:line="360" w:lineRule="auto"/>
              <w:rPr>
                <w:rFonts w:cs="宋体"/>
                <w:sz w:val="21"/>
                <w:highlight w:val="none"/>
              </w:rPr>
            </w:pPr>
          </w:p>
        </w:tc>
        <w:tc>
          <w:tcPr>
            <w:tcW w:w="1433" w:type="dxa"/>
          </w:tcPr>
          <w:p>
            <w:pPr>
              <w:spacing w:line="360" w:lineRule="auto"/>
              <w:rPr>
                <w:rFonts w:cs="宋体"/>
                <w:sz w:val="21"/>
                <w:highlight w:val="none"/>
              </w:rPr>
            </w:pPr>
          </w:p>
        </w:tc>
        <w:tc>
          <w:tcPr>
            <w:tcW w:w="860" w:type="dxa"/>
          </w:tcPr>
          <w:p>
            <w:pPr>
              <w:spacing w:line="360" w:lineRule="auto"/>
              <w:rPr>
                <w:rFonts w:cs="宋体"/>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817" w:type="dxa"/>
          </w:tcPr>
          <w:p>
            <w:pPr>
              <w:spacing w:before="211" w:line="189" w:lineRule="auto"/>
              <w:ind w:left="358"/>
              <w:rPr>
                <w:rFonts w:cs="宋体"/>
                <w:highlight w:val="none"/>
                <w:lang w:eastAsia="en-US"/>
              </w:rPr>
            </w:pPr>
            <w:r>
              <w:rPr>
                <w:rFonts w:hint="eastAsia" w:cs="宋体"/>
                <w:highlight w:val="none"/>
                <w:lang w:eastAsia="en-US"/>
              </w:rPr>
              <w:t>2</w:t>
            </w:r>
          </w:p>
        </w:tc>
        <w:tc>
          <w:tcPr>
            <w:tcW w:w="2270" w:type="dxa"/>
          </w:tcPr>
          <w:p>
            <w:pPr>
              <w:spacing w:line="360" w:lineRule="auto"/>
              <w:rPr>
                <w:rFonts w:cs="宋体"/>
                <w:sz w:val="21"/>
                <w:highlight w:val="none"/>
              </w:rPr>
            </w:pPr>
          </w:p>
        </w:tc>
        <w:tc>
          <w:tcPr>
            <w:tcW w:w="2192" w:type="dxa"/>
          </w:tcPr>
          <w:p>
            <w:pPr>
              <w:spacing w:line="360" w:lineRule="auto"/>
              <w:rPr>
                <w:rFonts w:cs="宋体"/>
                <w:sz w:val="21"/>
                <w:highlight w:val="none"/>
              </w:rPr>
            </w:pPr>
          </w:p>
        </w:tc>
        <w:tc>
          <w:tcPr>
            <w:tcW w:w="1906" w:type="dxa"/>
          </w:tcPr>
          <w:p>
            <w:pPr>
              <w:spacing w:line="360" w:lineRule="auto"/>
              <w:rPr>
                <w:rFonts w:cs="宋体"/>
                <w:sz w:val="21"/>
                <w:highlight w:val="none"/>
              </w:rPr>
            </w:pPr>
          </w:p>
        </w:tc>
        <w:tc>
          <w:tcPr>
            <w:tcW w:w="1433" w:type="dxa"/>
          </w:tcPr>
          <w:p>
            <w:pPr>
              <w:spacing w:line="360" w:lineRule="auto"/>
              <w:rPr>
                <w:rFonts w:cs="宋体"/>
                <w:sz w:val="21"/>
                <w:highlight w:val="none"/>
              </w:rPr>
            </w:pPr>
          </w:p>
        </w:tc>
        <w:tc>
          <w:tcPr>
            <w:tcW w:w="860" w:type="dxa"/>
          </w:tcPr>
          <w:p>
            <w:pPr>
              <w:spacing w:line="360" w:lineRule="auto"/>
              <w:rPr>
                <w:rFonts w:cs="宋体"/>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817" w:type="dxa"/>
          </w:tcPr>
          <w:p>
            <w:pPr>
              <w:spacing w:before="214" w:line="189" w:lineRule="auto"/>
              <w:ind w:left="359"/>
              <w:rPr>
                <w:rFonts w:cs="宋体"/>
                <w:highlight w:val="none"/>
                <w:lang w:eastAsia="en-US"/>
              </w:rPr>
            </w:pPr>
            <w:r>
              <w:rPr>
                <w:rFonts w:hint="eastAsia" w:cs="宋体"/>
                <w:highlight w:val="none"/>
                <w:lang w:eastAsia="en-US"/>
              </w:rPr>
              <w:t>3</w:t>
            </w:r>
          </w:p>
        </w:tc>
        <w:tc>
          <w:tcPr>
            <w:tcW w:w="2270" w:type="dxa"/>
          </w:tcPr>
          <w:p>
            <w:pPr>
              <w:spacing w:line="360" w:lineRule="auto"/>
              <w:rPr>
                <w:rFonts w:cs="宋体"/>
                <w:sz w:val="21"/>
                <w:highlight w:val="none"/>
              </w:rPr>
            </w:pPr>
          </w:p>
        </w:tc>
        <w:tc>
          <w:tcPr>
            <w:tcW w:w="2192" w:type="dxa"/>
          </w:tcPr>
          <w:p>
            <w:pPr>
              <w:spacing w:line="360" w:lineRule="auto"/>
              <w:rPr>
                <w:rFonts w:cs="宋体"/>
                <w:sz w:val="21"/>
                <w:highlight w:val="none"/>
              </w:rPr>
            </w:pPr>
          </w:p>
        </w:tc>
        <w:tc>
          <w:tcPr>
            <w:tcW w:w="1906" w:type="dxa"/>
          </w:tcPr>
          <w:p>
            <w:pPr>
              <w:spacing w:line="360" w:lineRule="auto"/>
              <w:rPr>
                <w:rFonts w:cs="宋体"/>
                <w:sz w:val="21"/>
                <w:highlight w:val="none"/>
              </w:rPr>
            </w:pPr>
          </w:p>
        </w:tc>
        <w:tc>
          <w:tcPr>
            <w:tcW w:w="1433" w:type="dxa"/>
          </w:tcPr>
          <w:p>
            <w:pPr>
              <w:spacing w:line="360" w:lineRule="auto"/>
              <w:rPr>
                <w:rFonts w:cs="宋体"/>
                <w:sz w:val="21"/>
                <w:highlight w:val="none"/>
              </w:rPr>
            </w:pPr>
          </w:p>
        </w:tc>
        <w:tc>
          <w:tcPr>
            <w:tcW w:w="860" w:type="dxa"/>
          </w:tcPr>
          <w:p>
            <w:pPr>
              <w:spacing w:line="360" w:lineRule="auto"/>
              <w:rPr>
                <w:rFonts w:cs="宋体"/>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87" w:hRule="atLeast"/>
        </w:trPr>
        <w:tc>
          <w:tcPr>
            <w:tcW w:w="817" w:type="dxa"/>
          </w:tcPr>
          <w:p>
            <w:pPr>
              <w:spacing w:before="214" w:line="189" w:lineRule="auto"/>
              <w:ind w:left="354"/>
              <w:rPr>
                <w:rFonts w:cs="宋体"/>
                <w:highlight w:val="none"/>
                <w:lang w:eastAsia="en-US"/>
              </w:rPr>
            </w:pPr>
            <w:r>
              <w:rPr>
                <w:rFonts w:hint="eastAsia" w:cs="宋体"/>
                <w:highlight w:val="none"/>
                <w:lang w:eastAsia="en-US"/>
              </w:rPr>
              <w:t>4</w:t>
            </w:r>
          </w:p>
        </w:tc>
        <w:tc>
          <w:tcPr>
            <w:tcW w:w="2270" w:type="dxa"/>
          </w:tcPr>
          <w:p>
            <w:pPr>
              <w:spacing w:line="360" w:lineRule="auto"/>
              <w:rPr>
                <w:rFonts w:cs="宋体"/>
                <w:sz w:val="21"/>
                <w:highlight w:val="none"/>
              </w:rPr>
            </w:pPr>
          </w:p>
        </w:tc>
        <w:tc>
          <w:tcPr>
            <w:tcW w:w="2192" w:type="dxa"/>
          </w:tcPr>
          <w:p>
            <w:pPr>
              <w:spacing w:line="360" w:lineRule="auto"/>
              <w:rPr>
                <w:rFonts w:cs="宋体"/>
                <w:sz w:val="21"/>
                <w:highlight w:val="none"/>
              </w:rPr>
            </w:pPr>
          </w:p>
        </w:tc>
        <w:tc>
          <w:tcPr>
            <w:tcW w:w="1906" w:type="dxa"/>
          </w:tcPr>
          <w:p>
            <w:pPr>
              <w:spacing w:line="360" w:lineRule="auto"/>
              <w:rPr>
                <w:rFonts w:cs="宋体"/>
                <w:sz w:val="21"/>
                <w:highlight w:val="none"/>
              </w:rPr>
            </w:pPr>
          </w:p>
        </w:tc>
        <w:tc>
          <w:tcPr>
            <w:tcW w:w="1433" w:type="dxa"/>
          </w:tcPr>
          <w:p>
            <w:pPr>
              <w:spacing w:line="360" w:lineRule="auto"/>
              <w:rPr>
                <w:rFonts w:cs="宋体"/>
                <w:sz w:val="21"/>
                <w:highlight w:val="none"/>
              </w:rPr>
            </w:pPr>
          </w:p>
        </w:tc>
        <w:tc>
          <w:tcPr>
            <w:tcW w:w="860" w:type="dxa"/>
          </w:tcPr>
          <w:p>
            <w:pPr>
              <w:spacing w:line="360" w:lineRule="auto"/>
              <w:rPr>
                <w:rFonts w:cs="宋体"/>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97" w:hRule="atLeast"/>
        </w:trPr>
        <w:tc>
          <w:tcPr>
            <w:tcW w:w="817" w:type="dxa"/>
          </w:tcPr>
          <w:p>
            <w:pPr>
              <w:spacing w:line="360" w:lineRule="auto"/>
              <w:jc w:val="center"/>
              <w:rPr>
                <w:rFonts w:cs="宋体"/>
                <w:sz w:val="21"/>
                <w:highlight w:val="none"/>
              </w:rPr>
            </w:pPr>
            <w:r>
              <w:rPr>
                <w:rFonts w:hint="eastAsia" w:cs="宋体"/>
                <w:sz w:val="21"/>
                <w:highlight w:val="none"/>
              </w:rPr>
              <w:t>...</w:t>
            </w:r>
          </w:p>
        </w:tc>
        <w:tc>
          <w:tcPr>
            <w:tcW w:w="2270" w:type="dxa"/>
          </w:tcPr>
          <w:p>
            <w:pPr>
              <w:spacing w:line="360" w:lineRule="auto"/>
              <w:rPr>
                <w:rFonts w:cs="宋体"/>
                <w:sz w:val="21"/>
                <w:highlight w:val="none"/>
              </w:rPr>
            </w:pPr>
          </w:p>
        </w:tc>
        <w:tc>
          <w:tcPr>
            <w:tcW w:w="2192" w:type="dxa"/>
          </w:tcPr>
          <w:p>
            <w:pPr>
              <w:spacing w:line="360" w:lineRule="auto"/>
              <w:rPr>
                <w:rFonts w:cs="宋体"/>
                <w:sz w:val="21"/>
                <w:highlight w:val="none"/>
              </w:rPr>
            </w:pPr>
          </w:p>
        </w:tc>
        <w:tc>
          <w:tcPr>
            <w:tcW w:w="1906" w:type="dxa"/>
          </w:tcPr>
          <w:p>
            <w:pPr>
              <w:spacing w:line="360" w:lineRule="auto"/>
              <w:rPr>
                <w:rFonts w:cs="宋体"/>
                <w:sz w:val="21"/>
                <w:highlight w:val="none"/>
              </w:rPr>
            </w:pPr>
          </w:p>
        </w:tc>
        <w:tc>
          <w:tcPr>
            <w:tcW w:w="1433" w:type="dxa"/>
          </w:tcPr>
          <w:p>
            <w:pPr>
              <w:spacing w:line="360" w:lineRule="auto"/>
              <w:rPr>
                <w:rFonts w:cs="宋体"/>
                <w:sz w:val="21"/>
                <w:highlight w:val="none"/>
              </w:rPr>
            </w:pPr>
          </w:p>
        </w:tc>
        <w:tc>
          <w:tcPr>
            <w:tcW w:w="860" w:type="dxa"/>
          </w:tcPr>
          <w:p>
            <w:pPr>
              <w:spacing w:line="360" w:lineRule="auto"/>
              <w:rPr>
                <w:rFonts w:cs="宋体"/>
                <w:sz w:val="21"/>
                <w:highlight w:val="none"/>
              </w:rPr>
            </w:pPr>
          </w:p>
        </w:tc>
      </w:tr>
    </w:tbl>
    <w:p>
      <w:pPr>
        <w:spacing w:before="32" w:line="362" w:lineRule="auto"/>
        <w:ind w:left="23" w:right="15" w:hanging="1"/>
        <w:rPr>
          <w:rFonts w:hint="eastAsia" w:cs="宋体"/>
          <w:spacing w:val="7"/>
          <w:sz w:val="20"/>
          <w:szCs w:val="20"/>
          <w:highlight w:val="none"/>
        </w:rPr>
      </w:pPr>
      <w:r>
        <w:rPr>
          <w:rFonts w:hint="eastAsia" w:cs="宋体"/>
          <w:spacing w:val="7"/>
          <w:sz w:val="20"/>
          <w:szCs w:val="20"/>
          <w:highlight w:val="none"/>
        </w:rPr>
        <w:t>特别说明：</w:t>
      </w:r>
    </w:p>
    <w:p>
      <w:pPr>
        <w:spacing w:before="32" w:line="362" w:lineRule="auto"/>
        <w:ind w:left="226" w:leftChars="94" w:right="15" w:firstLine="425" w:firstLineChars="199"/>
        <w:rPr>
          <w:rFonts w:hint="eastAsia" w:cs="宋体"/>
          <w:spacing w:val="7"/>
          <w:sz w:val="20"/>
          <w:szCs w:val="20"/>
          <w:highlight w:val="none"/>
        </w:rPr>
      </w:pPr>
      <w:r>
        <w:rPr>
          <w:rFonts w:hint="eastAsia" w:cs="宋体"/>
          <w:spacing w:val="7"/>
          <w:sz w:val="20"/>
          <w:szCs w:val="20"/>
          <w:highlight w:val="none"/>
        </w:rPr>
        <w:t>1.商务条款无需条对条应答，如无偏离，请在此表中填写“无偏离”；如有偏离，请在此表中应答为“正/负偏离”并说明偏离情况。</w:t>
      </w:r>
    </w:p>
    <w:p>
      <w:pPr>
        <w:spacing w:before="32" w:line="362" w:lineRule="auto"/>
        <w:ind w:left="226" w:leftChars="94" w:right="15" w:firstLine="425" w:firstLineChars="199"/>
        <w:rPr>
          <w:rFonts w:hint="eastAsia" w:cs="宋体"/>
          <w:spacing w:val="7"/>
          <w:sz w:val="20"/>
          <w:szCs w:val="20"/>
          <w:highlight w:val="none"/>
        </w:rPr>
      </w:pPr>
      <w:r>
        <w:rPr>
          <w:rFonts w:hint="eastAsia" w:cs="宋体"/>
          <w:spacing w:val="7"/>
          <w:sz w:val="20"/>
          <w:szCs w:val="20"/>
          <w:highlight w:val="none"/>
        </w:rPr>
        <w:t>2.如《招标文件-商务部分》中有标注★号的，则为实质性要求，必须满足，如应答为“负偏离”，将导致投标无效。</w:t>
      </w:r>
    </w:p>
    <w:p>
      <w:pPr>
        <w:spacing w:before="32" w:line="362" w:lineRule="auto"/>
        <w:ind w:left="226" w:leftChars="94" w:right="15" w:firstLine="425" w:firstLineChars="199"/>
        <w:rPr>
          <w:rFonts w:hint="eastAsia" w:cs="宋体"/>
          <w:spacing w:val="7"/>
          <w:sz w:val="20"/>
          <w:szCs w:val="20"/>
          <w:highlight w:val="none"/>
        </w:rPr>
      </w:pPr>
      <w:r>
        <w:rPr>
          <w:rFonts w:hint="eastAsia" w:cs="宋体"/>
          <w:spacing w:val="7"/>
          <w:sz w:val="20"/>
          <w:szCs w:val="20"/>
          <w:highlight w:val="none"/>
        </w:rPr>
        <w:t>3.本表可扩展。</w:t>
      </w:r>
    </w:p>
    <w:p>
      <w:pPr>
        <w:spacing w:line="360" w:lineRule="auto"/>
        <w:rPr>
          <w:rFonts w:cs="宋体"/>
          <w:sz w:val="21"/>
          <w:szCs w:val="21"/>
          <w:highlight w:val="none"/>
        </w:rPr>
      </w:pPr>
    </w:p>
    <w:p>
      <w:pPr>
        <w:spacing w:line="360" w:lineRule="auto"/>
        <w:rPr>
          <w:rFonts w:cs="宋体"/>
          <w:sz w:val="21"/>
          <w:szCs w:val="21"/>
          <w:highlight w:val="none"/>
        </w:rPr>
      </w:pPr>
    </w:p>
    <w:p>
      <w:pPr>
        <w:spacing w:line="241" w:lineRule="auto"/>
        <w:rPr>
          <w:rFonts w:cs="宋体"/>
          <w:sz w:val="21"/>
          <w:szCs w:val="21"/>
          <w:highlight w:val="none"/>
        </w:rPr>
      </w:pPr>
    </w:p>
    <w:p>
      <w:pPr>
        <w:spacing w:line="241" w:lineRule="auto"/>
        <w:rPr>
          <w:rFonts w:cs="宋体"/>
          <w:sz w:val="21"/>
          <w:szCs w:val="21"/>
          <w:highlight w:val="none"/>
        </w:rPr>
      </w:pPr>
    </w:p>
    <w:p>
      <w:pPr>
        <w:spacing w:line="241" w:lineRule="auto"/>
        <w:rPr>
          <w:rFonts w:cs="宋体"/>
          <w:sz w:val="21"/>
          <w:szCs w:val="21"/>
          <w:highlight w:val="none"/>
        </w:rPr>
      </w:pPr>
    </w:p>
    <w:p>
      <w:pPr>
        <w:adjustRightInd w:val="0"/>
        <w:snapToGrid w:val="0"/>
        <w:spacing w:line="360" w:lineRule="auto"/>
        <w:rPr>
          <w:rFonts w:cs="宋体"/>
          <w:kern w:val="0"/>
          <w:highlight w:val="none"/>
        </w:rPr>
      </w:pPr>
      <w:r>
        <w:rPr>
          <w:rFonts w:hint="eastAsia" w:cs="宋体"/>
          <w:kern w:val="0"/>
          <w:highlight w:val="none"/>
        </w:rPr>
        <w:t>供应商名称（公章）：</w:t>
      </w:r>
    </w:p>
    <w:p>
      <w:pPr>
        <w:adjustRightInd w:val="0"/>
        <w:snapToGrid w:val="0"/>
        <w:spacing w:line="360" w:lineRule="auto"/>
        <w:rPr>
          <w:rFonts w:cs="宋体"/>
          <w:kern w:val="0"/>
          <w:highlight w:val="none"/>
          <w:u w:val="single"/>
        </w:rPr>
      </w:pPr>
      <w:r>
        <w:rPr>
          <w:rFonts w:hint="eastAsia" w:cs="宋体"/>
          <w:kern w:val="0"/>
          <w:highlight w:val="none"/>
        </w:rPr>
        <w:t>法定代表人（签字或盖章）或</w:t>
      </w:r>
      <w:r>
        <w:rPr>
          <w:rFonts w:hint="eastAsia" w:cs="宋体"/>
          <w:highlight w:val="none"/>
        </w:rPr>
        <w:t>授权委托人</w:t>
      </w:r>
      <w:r>
        <w:rPr>
          <w:rFonts w:hint="eastAsia" w:cs="宋体"/>
          <w:kern w:val="0"/>
          <w:highlight w:val="none"/>
        </w:rPr>
        <w:t>（签字）：</w:t>
      </w:r>
    </w:p>
    <w:p>
      <w:pPr>
        <w:spacing w:line="360" w:lineRule="auto"/>
        <w:rPr>
          <w:rFonts w:cs="宋体"/>
          <w:b/>
          <w:bCs/>
          <w:highlight w:val="none"/>
        </w:rPr>
      </w:pPr>
      <w:r>
        <w:rPr>
          <w:rFonts w:hint="eastAsia" w:cs="宋体"/>
          <w:highlight w:val="none"/>
        </w:rPr>
        <w:t>日期：年月</w:t>
      </w:r>
      <w:r>
        <w:rPr>
          <w:rFonts w:hint="eastAsia" w:cs="宋体"/>
          <w:kern w:val="0"/>
          <w:highlight w:val="none"/>
        </w:rPr>
        <w:t>日</w:t>
      </w:r>
    </w:p>
    <w:p>
      <w:pPr>
        <w:spacing w:before="221" w:line="228" w:lineRule="auto"/>
        <w:ind w:left="478"/>
        <w:rPr>
          <w:rFonts w:cs="宋体"/>
          <w:sz w:val="20"/>
          <w:szCs w:val="20"/>
          <w:highlight w:val="none"/>
        </w:rPr>
      </w:pPr>
    </w:p>
    <w:p>
      <w:pPr>
        <w:jc w:val="center"/>
        <w:outlineLvl w:val="0"/>
        <w:rPr>
          <w:rFonts w:cs="宋体"/>
          <w:b/>
          <w:sz w:val="28"/>
          <w:szCs w:val="28"/>
          <w:highlight w:val="none"/>
        </w:rPr>
        <w:sectPr>
          <w:pgSz w:w="11906" w:h="16838"/>
          <w:pgMar w:top="1247" w:right="1247" w:bottom="1247" w:left="1247" w:header="850" w:footer="850" w:gutter="0"/>
          <w:cols w:space="425" w:num="1"/>
          <w:docGrid w:type="lines" w:linePitch="312" w:charSpace="0"/>
        </w:sectPr>
      </w:pPr>
    </w:p>
    <w:p>
      <w:pPr>
        <w:snapToGrid w:val="0"/>
        <w:spacing w:line="360" w:lineRule="auto"/>
        <w:ind w:firstLine="562" w:firstLineChars="200"/>
        <w:jc w:val="center"/>
        <w:rPr>
          <w:rFonts w:cs="宋体"/>
          <w:b/>
          <w:sz w:val="28"/>
          <w:szCs w:val="28"/>
          <w:highlight w:val="none"/>
        </w:rPr>
      </w:pPr>
      <w:bookmarkStart w:id="171" w:name="_Toc4840"/>
      <w:bookmarkStart w:id="172" w:name="_Toc6516"/>
      <w:bookmarkStart w:id="173" w:name="_Toc5001"/>
      <w:r>
        <w:rPr>
          <w:rFonts w:hint="eastAsia" w:cs="宋体"/>
          <w:b/>
          <w:sz w:val="28"/>
          <w:szCs w:val="28"/>
          <w:highlight w:val="none"/>
        </w:rPr>
        <w:t>十、政府采购相关政策（如适用）</w:t>
      </w:r>
      <w:bookmarkEnd w:id="171"/>
      <w:bookmarkEnd w:id="172"/>
      <w:bookmarkEnd w:id="173"/>
    </w:p>
    <w:p>
      <w:pPr>
        <w:spacing w:line="480" w:lineRule="exact"/>
        <w:rPr>
          <w:rFonts w:cs="宋体"/>
          <w:b/>
          <w:bCs/>
          <w:highlight w:val="none"/>
        </w:rPr>
      </w:pPr>
      <w:r>
        <w:rPr>
          <w:rFonts w:hint="eastAsia" w:cs="宋体"/>
          <w:b/>
          <w:bCs/>
          <w:highlight w:val="none"/>
        </w:rPr>
        <w:t>1、中小企业声明函</w:t>
      </w:r>
    </w:p>
    <w:p>
      <w:pPr>
        <w:spacing w:line="360" w:lineRule="auto"/>
        <w:jc w:val="center"/>
        <w:rPr>
          <w:rFonts w:cs="宋体"/>
          <w:b/>
          <w:bCs/>
          <w:highlight w:val="none"/>
        </w:rPr>
      </w:pPr>
      <w:bookmarkStart w:id="174" w:name="_Toc156490374"/>
      <w:r>
        <w:rPr>
          <w:rFonts w:hint="eastAsia" w:cs="宋体"/>
          <w:b/>
          <w:bCs/>
          <w:highlight w:val="none"/>
        </w:rPr>
        <w:t>中小企业声明函（服务）</w:t>
      </w:r>
      <w:bookmarkEnd w:id="174"/>
    </w:p>
    <w:p>
      <w:pPr>
        <w:spacing w:line="360" w:lineRule="auto"/>
        <w:ind w:firstLine="504" w:firstLineChars="200"/>
        <w:rPr>
          <w:rFonts w:cs="宋体"/>
          <w:spacing w:val="6"/>
          <w:highlight w:val="none"/>
        </w:rPr>
      </w:pPr>
      <w:r>
        <w:rPr>
          <w:rFonts w:hint="eastAsia" w:cs="宋体"/>
          <w:spacing w:val="6"/>
          <w:highlight w:val="none"/>
        </w:rPr>
        <w:t>本公司（联合体）郑重声明，根据《政府采购促进中小企业发展管理办法》（财库﹝2020﹞46 号）的规定，本公司（联合体）参加 （单位名称） 的 （项目名称） 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504" w:firstLineChars="200"/>
        <w:rPr>
          <w:rFonts w:cs="宋体"/>
          <w:spacing w:val="6"/>
          <w:highlight w:val="none"/>
          <w:u w:val="single"/>
        </w:rPr>
      </w:pPr>
      <w:r>
        <w:rPr>
          <w:rFonts w:hint="eastAsia" w:cs="宋体"/>
          <w:spacing w:val="6"/>
          <w:highlight w:val="none"/>
        </w:rPr>
        <w:t>1.</w:t>
      </w:r>
      <w:r>
        <w:rPr>
          <w:rFonts w:hint="eastAsia" w:cs="宋体"/>
          <w:spacing w:val="6"/>
          <w:highlight w:val="none"/>
          <w:u w:val="single"/>
        </w:rPr>
        <w:t xml:space="preserve"> （标的名称） </w:t>
      </w:r>
      <w:r>
        <w:rPr>
          <w:rFonts w:hint="eastAsia" w:cs="宋体"/>
          <w:spacing w:val="6"/>
          <w:highlight w:val="none"/>
        </w:rPr>
        <w:t>，属于</w:t>
      </w:r>
      <w:r>
        <w:rPr>
          <w:rFonts w:hint="eastAsia" w:cs="宋体"/>
          <w:spacing w:val="6"/>
          <w:highlight w:val="none"/>
          <w:u w:val="single"/>
        </w:rPr>
        <w:t xml:space="preserve"> （采购文件中明确的所属行业） </w:t>
      </w:r>
      <w:r>
        <w:rPr>
          <w:rFonts w:hint="eastAsia" w:cs="宋体"/>
          <w:spacing w:val="6"/>
          <w:highlight w:val="none"/>
        </w:rPr>
        <w:t>；承建（承接）企业为</w:t>
      </w:r>
      <w:r>
        <w:rPr>
          <w:rFonts w:hint="eastAsia" w:cs="宋体"/>
          <w:spacing w:val="6"/>
          <w:highlight w:val="none"/>
          <w:u w:val="single"/>
        </w:rPr>
        <w:t xml:space="preserve"> （企业名称）  </w:t>
      </w:r>
      <w:r>
        <w:rPr>
          <w:rFonts w:hint="eastAsia" w:cs="宋体"/>
          <w:spacing w:val="6"/>
          <w:highlight w:val="none"/>
        </w:rPr>
        <w:t>，从业人员人，营业收入为万元，资产总额为万元，属于</w:t>
      </w:r>
      <w:r>
        <w:rPr>
          <w:rFonts w:hint="eastAsia" w:cs="宋体"/>
          <w:spacing w:val="6"/>
          <w:highlight w:val="none"/>
          <w:u w:val="single"/>
        </w:rPr>
        <w:t>（中型企业、小型企业、微型企业）</w:t>
      </w:r>
      <w:r>
        <w:rPr>
          <w:rFonts w:hint="eastAsia" w:cs="宋体"/>
          <w:spacing w:val="6"/>
          <w:highlight w:val="none"/>
        </w:rPr>
        <w:t>；</w:t>
      </w:r>
    </w:p>
    <w:p>
      <w:pPr>
        <w:spacing w:line="360" w:lineRule="auto"/>
        <w:ind w:firstLine="504" w:firstLineChars="200"/>
        <w:rPr>
          <w:rFonts w:cs="宋体"/>
          <w:spacing w:val="6"/>
          <w:highlight w:val="none"/>
          <w:u w:val="single"/>
        </w:rPr>
      </w:pPr>
      <w:r>
        <w:rPr>
          <w:rFonts w:hint="eastAsia" w:cs="宋体"/>
          <w:spacing w:val="6"/>
          <w:highlight w:val="none"/>
        </w:rPr>
        <w:t>2.</w:t>
      </w:r>
      <w:r>
        <w:rPr>
          <w:rFonts w:hint="eastAsia" w:cs="宋体"/>
          <w:spacing w:val="6"/>
          <w:highlight w:val="none"/>
          <w:u w:val="single"/>
        </w:rPr>
        <w:t xml:space="preserve"> （标的名称） </w:t>
      </w:r>
      <w:r>
        <w:rPr>
          <w:rFonts w:hint="eastAsia" w:cs="宋体"/>
          <w:spacing w:val="6"/>
          <w:highlight w:val="none"/>
        </w:rPr>
        <w:t>，属于</w:t>
      </w:r>
      <w:r>
        <w:rPr>
          <w:rFonts w:hint="eastAsia" w:cs="宋体"/>
          <w:spacing w:val="6"/>
          <w:highlight w:val="none"/>
          <w:u w:val="single"/>
        </w:rPr>
        <w:t xml:space="preserve"> （采购文件中明确的所属行业） </w:t>
      </w:r>
      <w:r>
        <w:rPr>
          <w:rFonts w:hint="eastAsia" w:cs="宋体"/>
          <w:spacing w:val="6"/>
          <w:highlight w:val="none"/>
        </w:rPr>
        <w:t>；承建（承接）企业为</w:t>
      </w:r>
      <w:r>
        <w:rPr>
          <w:rFonts w:hint="eastAsia" w:cs="宋体"/>
          <w:spacing w:val="6"/>
          <w:highlight w:val="none"/>
          <w:u w:val="single"/>
        </w:rPr>
        <w:t xml:space="preserve"> （企业名称）  </w:t>
      </w:r>
      <w:r>
        <w:rPr>
          <w:rFonts w:hint="eastAsia" w:cs="宋体"/>
          <w:spacing w:val="6"/>
          <w:highlight w:val="none"/>
        </w:rPr>
        <w:t>，从业人员人，营业收入为万元，资产总额为万元，属于</w:t>
      </w:r>
      <w:r>
        <w:rPr>
          <w:rFonts w:hint="eastAsia" w:cs="宋体"/>
          <w:spacing w:val="6"/>
          <w:highlight w:val="none"/>
          <w:u w:val="single"/>
        </w:rPr>
        <w:t>（中型企业、小型企业、微型企业）</w:t>
      </w:r>
      <w:r>
        <w:rPr>
          <w:rFonts w:hint="eastAsia" w:cs="宋体"/>
          <w:spacing w:val="6"/>
          <w:highlight w:val="none"/>
        </w:rPr>
        <w:t>；</w:t>
      </w:r>
    </w:p>
    <w:p>
      <w:pPr>
        <w:spacing w:line="360" w:lineRule="auto"/>
        <w:ind w:firstLine="504" w:firstLineChars="200"/>
        <w:rPr>
          <w:rFonts w:cs="宋体"/>
          <w:spacing w:val="6"/>
          <w:highlight w:val="none"/>
        </w:rPr>
      </w:pPr>
      <w:r>
        <w:rPr>
          <w:rFonts w:hint="eastAsia" w:cs="宋体"/>
          <w:spacing w:val="6"/>
          <w:highlight w:val="none"/>
        </w:rPr>
        <w:t>……</w:t>
      </w:r>
    </w:p>
    <w:p>
      <w:pPr>
        <w:spacing w:line="360" w:lineRule="auto"/>
        <w:ind w:firstLine="504" w:firstLineChars="200"/>
        <w:rPr>
          <w:rFonts w:cs="宋体"/>
          <w:spacing w:val="6"/>
          <w:highlight w:val="none"/>
        </w:rPr>
      </w:pPr>
      <w:r>
        <w:rPr>
          <w:rFonts w:hint="eastAsia" w:cs="宋体"/>
          <w:spacing w:val="6"/>
          <w:highlight w:val="none"/>
        </w:rPr>
        <w:t>以上企业，不属于大企业的分支机构，不存在控股股东为大企业的情形，也不存在与大企业的负责人为同一人的情形。</w:t>
      </w:r>
    </w:p>
    <w:p>
      <w:pPr>
        <w:spacing w:line="360" w:lineRule="auto"/>
        <w:ind w:firstLine="504" w:firstLineChars="200"/>
        <w:rPr>
          <w:rFonts w:cs="宋体"/>
          <w:spacing w:val="6"/>
          <w:highlight w:val="none"/>
        </w:rPr>
      </w:pPr>
      <w:r>
        <w:rPr>
          <w:rFonts w:hint="eastAsia" w:cs="宋体"/>
          <w:spacing w:val="6"/>
          <w:highlight w:val="none"/>
        </w:rPr>
        <w:t>本企业对上述声明内容的真实性负责。如有虚假，将依法承担相应责任。</w:t>
      </w:r>
    </w:p>
    <w:p>
      <w:pPr>
        <w:spacing w:line="360" w:lineRule="auto"/>
        <w:ind w:right="1008" w:firstLine="4788" w:firstLineChars="1900"/>
        <w:rPr>
          <w:rFonts w:cs="宋体"/>
          <w:spacing w:val="6"/>
          <w:highlight w:val="none"/>
        </w:rPr>
      </w:pPr>
    </w:p>
    <w:p>
      <w:pPr>
        <w:spacing w:line="360" w:lineRule="auto"/>
        <w:rPr>
          <w:rFonts w:cs="宋体"/>
          <w:sz w:val="21"/>
          <w:szCs w:val="21"/>
          <w:highlight w:val="none"/>
        </w:rPr>
      </w:pPr>
    </w:p>
    <w:p>
      <w:pPr>
        <w:adjustRightInd w:val="0"/>
        <w:snapToGrid w:val="0"/>
        <w:spacing w:line="384" w:lineRule="auto"/>
        <w:rPr>
          <w:rFonts w:cs="宋体"/>
          <w:kern w:val="0"/>
          <w:highlight w:val="none"/>
        </w:rPr>
      </w:pPr>
      <w:r>
        <w:rPr>
          <w:rFonts w:hint="eastAsia" w:cs="宋体"/>
          <w:kern w:val="0"/>
          <w:highlight w:val="none"/>
        </w:rPr>
        <w:t>供应商名称（公章）：</w:t>
      </w:r>
    </w:p>
    <w:p>
      <w:pPr>
        <w:adjustRightInd w:val="0"/>
        <w:snapToGrid w:val="0"/>
        <w:spacing w:line="384" w:lineRule="auto"/>
        <w:rPr>
          <w:rFonts w:cs="宋体"/>
          <w:kern w:val="0"/>
          <w:highlight w:val="none"/>
          <w:u w:val="single"/>
        </w:rPr>
      </w:pPr>
      <w:r>
        <w:rPr>
          <w:rFonts w:hint="eastAsia" w:cs="宋体"/>
          <w:kern w:val="0"/>
          <w:highlight w:val="none"/>
        </w:rPr>
        <w:t>法定代表人（签字或盖章）或</w:t>
      </w:r>
      <w:r>
        <w:rPr>
          <w:rFonts w:hint="eastAsia" w:cs="宋体"/>
          <w:highlight w:val="none"/>
        </w:rPr>
        <w:t>授权委托人</w:t>
      </w:r>
      <w:r>
        <w:rPr>
          <w:rFonts w:hint="eastAsia" w:cs="宋体"/>
          <w:kern w:val="0"/>
          <w:highlight w:val="none"/>
        </w:rPr>
        <w:t>（签字）：</w:t>
      </w:r>
    </w:p>
    <w:p>
      <w:pPr>
        <w:snapToGrid w:val="0"/>
        <w:spacing w:line="384" w:lineRule="auto"/>
        <w:rPr>
          <w:rFonts w:cs="宋体"/>
          <w:b/>
          <w:bCs/>
          <w:highlight w:val="none"/>
        </w:rPr>
      </w:pPr>
      <w:r>
        <w:rPr>
          <w:rFonts w:hint="eastAsia" w:cs="宋体"/>
          <w:highlight w:val="none"/>
        </w:rPr>
        <w:t>日期：年</w:t>
      </w:r>
      <w:r>
        <w:rPr>
          <w:rFonts w:hint="eastAsia" w:cs="宋体"/>
          <w:highlight w:val="none"/>
          <w:lang w:val="en-US" w:eastAsia="zh-CN"/>
        </w:rPr>
        <w:t xml:space="preserve">  </w:t>
      </w:r>
      <w:r>
        <w:rPr>
          <w:rFonts w:hint="eastAsia" w:cs="宋体"/>
          <w:highlight w:val="none"/>
        </w:rPr>
        <w:t>月</w:t>
      </w:r>
      <w:r>
        <w:rPr>
          <w:rFonts w:hint="eastAsia" w:cs="宋体"/>
          <w:highlight w:val="none"/>
          <w:lang w:val="en-US" w:eastAsia="zh-CN"/>
        </w:rPr>
        <w:t xml:space="preserve">   </w:t>
      </w:r>
      <w:r>
        <w:rPr>
          <w:rFonts w:hint="eastAsia" w:cs="宋体"/>
          <w:kern w:val="0"/>
          <w:highlight w:val="none"/>
        </w:rPr>
        <w:t>日</w:t>
      </w:r>
    </w:p>
    <w:p>
      <w:pPr>
        <w:spacing w:line="360" w:lineRule="auto"/>
        <w:rPr>
          <w:rFonts w:cs="宋体"/>
          <w:sz w:val="21"/>
          <w:szCs w:val="21"/>
          <w:highlight w:val="none"/>
        </w:rPr>
      </w:pPr>
    </w:p>
    <w:p>
      <w:pPr>
        <w:spacing w:line="360" w:lineRule="auto"/>
        <w:ind w:firstLine="506" w:firstLineChars="200"/>
        <w:rPr>
          <w:rFonts w:cs="宋体"/>
          <w:highlight w:val="none"/>
        </w:rPr>
      </w:pPr>
      <w:r>
        <w:rPr>
          <w:rFonts w:hint="eastAsia" w:cs="宋体"/>
          <w:b/>
          <w:bCs/>
          <w:spacing w:val="6"/>
          <w:szCs w:val="21"/>
          <w:highlight w:val="none"/>
        </w:rPr>
        <w:t>说明：</w:t>
      </w:r>
      <w:r>
        <w:rPr>
          <w:rFonts w:hint="eastAsia" w:cs="宋体"/>
          <w:spacing w:val="6"/>
          <w:szCs w:val="21"/>
          <w:highlight w:val="none"/>
        </w:rPr>
        <w:t>从业人员、营业收入、资产总额填报上一年度数据，无上一年度数据的新成立企业可不填报。</w:t>
      </w:r>
    </w:p>
    <w:p>
      <w:pPr>
        <w:spacing w:line="360" w:lineRule="auto"/>
        <w:rPr>
          <w:rFonts w:cs="宋体"/>
          <w:b/>
          <w:bCs/>
          <w:highlight w:val="none"/>
        </w:rPr>
      </w:pPr>
      <w:r>
        <w:rPr>
          <w:rFonts w:hint="eastAsia" w:cs="宋体"/>
          <w:b/>
          <w:bCs/>
          <w:highlight w:val="none"/>
        </w:rPr>
        <w:br w:type="page"/>
      </w:r>
    </w:p>
    <w:p>
      <w:pPr>
        <w:spacing w:line="480" w:lineRule="exact"/>
        <w:rPr>
          <w:rFonts w:cs="宋体"/>
          <w:b/>
          <w:bCs/>
          <w:highlight w:val="none"/>
        </w:rPr>
      </w:pPr>
      <w:r>
        <w:rPr>
          <w:rFonts w:hint="eastAsia" w:cs="宋体"/>
          <w:b/>
          <w:bCs/>
          <w:highlight w:val="none"/>
        </w:rPr>
        <w:t>2、监狱企业证明文件（如适用）</w:t>
      </w:r>
    </w:p>
    <w:p>
      <w:pPr>
        <w:spacing w:before="100" w:beforeAutospacing="1" w:after="100" w:afterAutospacing="1" w:line="360" w:lineRule="auto"/>
        <w:jc w:val="center"/>
        <w:rPr>
          <w:rFonts w:cs="宋体"/>
          <w:highlight w:val="none"/>
        </w:rPr>
      </w:pPr>
    </w:p>
    <w:p>
      <w:pPr>
        <w:spacing w:before="100" w:beforeAutospacing="1" w:after="100" w:afterAutospacing="1" w:line="360" w:lineRule="auto"/>
        <w:jc w:val="center"/>
        <w:rPr>
          <w:rFonts w:cs="宋体"/>
          <w:highlight w:val="none"/>
        </w:rPr>
      </w:pPr>
    </w:p>
    <w:p>
      <w:pPr>
        <w:spacing w:before="100" w:beforeAutospacing="1" w:after="100" w:afterAutospacing="1" w:line="360" w:lineRule="auto"/>
        <w:jc w:val="center"/>
        <w:rPr>
          <w:rFonts w:cs="宋体"/>
          <w:highlight w:val="none"/>
        </w:rPr>
      </w:pPr>
      <w:r>
        <w:rPr>
          <w:rFonts w:hint="eastAsia" w:cs="宋体"/>
          <w:highlight w:val="none"/>
        </w:rPr>
        <w:t>供应商如是监狱企业，提供相关证明文件。</w:t>
      </w:r>
    </w:p>
    <w:p>
      <w:pPr>
        <w:spacing w:line="360" w:lineRule="auto"/>
        <w:rPr>
          <w:rFonts w:cs="宋体"/>
          <w:highlight w:val="none"/>
        </w:rPr>
      </w:pPr>
    </w:p>
    <w:p>
      <w:pPr>
        <w:spacing w:line="360" w:lineRule="auto"/>
        <w:rPr>
          <w:rFonts w:cs="宋体"/>
          <w:highlight w:val="none"/>
        </w:rPr>
      </w:pPr>
    </w:p>
    <w:p>
      <w:pPr>
        <w:autoSpaceDE w:val="0"/>
        <w:autoSpaceDN w:val="0"/>
        <w:adjustRightInd w:val="0"/>
        <w:snapToGrid w:val="0"/>
        <w:spacing w:line="360" w:lineRule="auto"/>
        <w:ind w:firstLine="480" w:firstLineChars="200"/>
        <w:rPr>
          <w:rFonts w:cs="宋体"/>
          <w:szCs w:val="22"/>
          <w:highlight w:val="none"/>
        </w:rPr>
      </w:pPr>
    </w:p>
    <w:p>
      <w:pPr>
        <w:spacing w:line="360" w:lineRule="auto"/>
        <w:rPr>
          <w:rFonts w:cs="宋体"/>
          <w:highlight w:val="none"/>
        </w:rPr>
      </w:pPr>
    </w:p>
    <w:p>
      <w:pPr>
        <w:autoSpaceDE w:val="0"/>
        <w:autoSpaceDN w:val="0"/>
        <w:adjustRightInd w:val="0"/>
        <w:snapToGrid w:val="0"/>
        <w:spacing w:line="360" w:lineRule="auto"/>
        <w:ind w:firstLine="480" w:firstLineChars="200"/>
        <w:rPr>
          <w:rFonts w:cs="宋体"/>
          <w:szCs w:val="22"/>
          <w:highlight w:val="none"/>
        </w:rPr>
      </w:pPr>
    </w:p>
    <w:p>
      <w:pPr>
        <w:spacing w:line="360" w:lineRule="auto"/>
        <w:rPr>
          <w:rFonts w:cs="宋体"/>
          <w:highlight w:val="none"/>
        </w:rPr>
      </w:pPr>
    </w:p>
    <w:p>
      <w:pPr>
        <w:autoSpaceDE w:val="0"/>
        <w:autoSpaceDN w:val="0"/>
        <w:adjustRightInd w:val="0"/>
        <w:snapToGrid w:val="0"/>
        <w:spacing w:line="360" w:lineRule="auto"/>
        <w:ind w:firstLine="480" w:firstLineChars="200"/>
        <w:rPr>
          <w:rFonts w:cs="宋体"/>
          <w:szCs w:val="22"/>
          <w:highlight w:val="none"/>
        </w:rPr>
      </w:pPr>
    </w:p>
    <w:p>
      <w:pPr>
        <w:spacing w:line="360" w:lineRule="auto"/>
        <w:rPr>
          <w:rFonts w:cs="宋体"/>
          <w:highlight w:val="none"/>
        </w:rPr>
      </w:pPr>
    </w:p>
    <w:p>
      <w:pPr>
        <w:autoSpaceDE w:val="0"/>
        <w:autoSpaceDN w:val="0"/>
        <w:adjustRightInd w:val="0"/>
        <w:snapToGrid w:val="0"/>
        <w:spacing w:line="360" w:lineRule="auto"/>
        <w:ind w:firstLine="480" w:firstLineChars="200"/>
        <w:rPr>
          <w:rFonts w:cs="宋体"/>
          <w:szCs w:val="22"/>
          <w:highlight w:val="none"/>
        </w:rPr>
      </w:pPr>
    </w:p>
    <w:p>
      <w:pPr>
        <w:spacing w:line="360" w:lineRule="auto"/>
        <w:rPr>
          <w:rFonts w:cs="宋体"/>
          <w:highlight w:val="none"/>
        </w:rPr>
      </w:pPr>
    </w:p>
    <w:p>
      <w:pPr>
        <w:autoSpaceDE w:val="0"/>
        <w:autoSpaceDN w:val="0"/>
        <w:adjustRightInd w:val="0"/>
        <w:snapToGrid w:val="0"/>
        <w:spacing w:line="360" w:lineRule="auto"/>
        <w:ind w:firstLine="480" w:firstLineChars="200"/>
        <w:rPr>
          <w:rFonts w:cs="宋体"/>
          <w:szCs w:val="22"/>
          <w:highlight w:val="none"/>
        </w:rPr>
      </w:pPr>
    </w:p>
    <w:p>
      <w:pPr>
        <w:spacing w:line="360" w:lineRule="auto"/>
        <w:rPr>
          <w:rFonts w:cs="宋体"/>
          <w:highlight w:val="none"/>
        </w:rPr>
      </w:pPr>
    </w:p>
    <w:p>
      <w:pPr>
        <w:autoSpaceDE w:val="0"/>
        <w:autoSpaceDN w:val="0"/>
        <w:adjustRightInd w:val="0"/>
        <w:snapToGrid w:val="0"/>
        <w:spacing w:line="360" w:lineRule="auto"/>
        <w:ind w:firstLine="480" w:firstLineChars="200"/>
        <w:rPr>
          <w:rFonts w:cs="宋体"/>
          <w:szCs w:val="22"/>
          <w:highlight w:val="none"/>
        </w:rPr>
      </w:pPr>
    </w:p>
    <w:p>
      <w:pPr>
        <w:spacing w:line="360" w:lineRule="auto"/>
        <w:rPr>
          <w:rFonts w:cs="宋体"/>
          <w:highlight w:val="none"/>
        </w:rPr>
      </w:pPr>
    </w:p>
    <w:p>
      <w:pPr>
        <w:adjustRightInd w:val="0"/>
        <w:snapToGrid w:val="0"/>
        <w:spacing w:line="360" w:lineRule="auto"/>
        <w:rPr>
          <w:rFonts w:cs="宋体"/>
          <w:kern w:val="0"/>
          <w:highlight w:val="none"/>
        </w:rPr>
      </w:pPr>
      <w:r>
        <w:rPr>
          <w:rFonts w:hint="eastAsia" w:cs="宋体"/>
          <w:kern w:val="0"/>
          <w:highlight w:val="none"/>
        </w:rPr>
        <w:t>供应商名称（公章）：</w:t>
      </w:r>
    </w:p>
    <w:p>
      <w:pPr>
        <w:adjustRightInd w:val="0"/>
        <w:snapToGrid w:val="0"/>
        <w:spacing w:line="360" w:lineRule="auto"/>
        <w:rPr>
          <w:rFonts w:cs="宋体"/>
          <w:kern w:val="0"/>
          <w:highlight w:val="none"/>
          <w:u w:val="single"/>
        </w:rPr>
      </w:pPr>
      <w:r>
        <w:rPr>
          <w:rFonts w:hint="eastAsia" w:cs="宋体"/>
          <w:kern w:val="0"/>
          <w:highlight w:val="none"/>
        </w:rPr>
        <w:t>法定代表人（签字或盖章）或</w:t>
      </w:r>
      <w:r>
        <w:rPr>
          <w:rFonts w:hint="eastAsia" w:cs="宋体"/>
          <w:highlight w:val="none"/>
        </w:rPr>
        <w:t>授权委托人</w:t>
      </w:r>
      <w:r>
        <w:rPr>
          <w:rFonts w:hint="eastAsia" w:cs="宋体"/>
          <w:kern w:val="0"/>
          <w:highlight w:val="none"/>
        </w:rPr>
        <w:t>（签字）：</w:t>
      </w:r>
    </w:p>
    <w:p>
      <w:pPr>
        <w:spacing w:line="360" w:lineRule="auto"/>
        <w:rPr>
          <w:rFonts w:cs="宋体"/>
          <w:b/>
          <w:bCs/>
          <w:highlight w:val="none"/>
        </w:rPr>
      </w:pPr>
      <w:r>
        <w:rPr>
          <w:rFonts w:hint="eastAsia" w:cs="宋体"/>
          <w:highlight w:val="none"/>
        </w:rPr>
        <w:t>日期：年月</w:t>
      </w:r>
      <w:r>
        <w:rPr>
          <w:rFonts w:hint="eastAsia" w:cs="宋体"/>
          <w:kern w:val="0"/>
          <w:highlight w:val="none"/>
        </w:rPr>
        <w:t>日</w:t>
      </w:r>
    </w:p>
    <w:p>
      <w:pPr>
        <w:spacing w:line="480" w:lineRule="exact"/>
        <w:rPr>
          <w:rFonts w:cs="宋体"/>
          <w:highlight w:val="none"/>
        </w:rPr>
      </w:pPr>
    </w:p>
    <w:p>
      <w:pPr>
        <w:spacing w:line="480" w:lineRule="exact"/>
        <w:rPr>
          <w:rFonts w:cs="宋体"/>
          <w:highlight w:val="none"/>
        </w:rPr>
      </w:pPr>
    </w:p>
    <w:p>
      <w:pPr>
        <w:numPr>
          <w:ilvl w:val="0"/>
          <w:numId w:val="17"/>
        </w:numPr>
        <w:spacing w:line="480" w:lineRule="exact"/>
        <w:rPr>
          <w:rFonts w:cs="宋体"/>
          <w:b/>
          <w:bCs/>
          <w:highlight w:val="none"/>
        </w:rPr>
      </w:pPr>
      <w:r>
        <w:rPr>
          <w:rFonts w:hint="eastAsia" w:cs="宋体"/>
          <w:b/>
          <w:bCs/>
          <w:highlight w:val="none"/>
        </w:rPr>
        <w:br w:type="page"/>
      </w:r>
      <w:r>
        <w:rPr>
          <w:rFonts w:hint="eastAsia" w:cs="宋体"/>
          <w:b/>
          <w:bCs/>
          <w:highlight w:val="none"/>
        </w:rPr>
        <w:t>残疾人福利性单位声明函（如适用）</w:t>
      </w:r>
    </w:p>
    <w:p>
      <w:pPr>
        <w:spacing w:line="360" w:lineRule="auto"/>
        <w:rPr>
          <w:rFonts w:cs="宋体"/>
          <w:highlight w:val="none"/>
        </w:rPr>
      </w:pPr>
    </w:p>
    <w:p>
      <w:pPr>
        <w:snapToGrid w:val="0"/>
        <w:spacing w:line="384" w:lineRule="auto"/>
        <w:jc w:val="center"/>
        <w:rPr>
          <w:rFonts w:cs="宋体"/>
          <w:b/>
          <w:bCs/>
          <w:spacing w:val="6"/>
          <w:highlight w:val="none"/>
        </w:rPr>
      </w:pPr>
      <w:r>
        <w:rPr>
          <w:rFonts w:hint="eastAsia" w:cs="宋体"/>
          <w:b/>
          <w:bCs/>
          <w:spacing w:val="6"/>
          <w:highlight w:val="none"/>
        </w:rPr>
        <w:t>残疾人福利性单位声明函</w:t>
      </w:r>
    </w:p>
    <w:p>
      <w:pPr>
        <w:snapToGrid w:val="0"/>
        <w:spacing w:line="384" w:lineRule="auto"/>
        <w:rPr>
          <w:rFonts w:cs="宋体"/>
          <w:b/>
          <w:bCs/>
          <w:spacing w:val="6"/>
          <w:highlight w:val="none"/>
        </w:rPr>
      </w:pPr>
      <w:r>
        <w:rPr>
          <w:rFonts w:hint="eastAsia" w:cs="宋体"/>
          <w:spacing w:val="6"/>
          <w:highlight w:val="none"/>
        </w:rPr>
        <w:t>本单位郑重声明，根据《财政部 民政部 中国残疾人联合会关于促进残疾人就业政府采购政策的通知》（财库</w:t>
      </w:r>
      <w:r>
        <w:rPr>
          <w:rFonts w:hint="eastAsia" w:cs="宋体"/>
          <w:highlight w:val="none"/>
        </w:rPr>
        <w:t>〔2017〕 141</w:t>
      </w:r>
      <w:r>
        <w:rPr>
          <w:rFonts w:hint="eastAsia" w:cs="宋体"/>
          <w:spacing w:val="6"/>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napToGrid w:val="0"/>
        <w:spacing w:line="384" w:lineRule="auto"/>
        <w:ind w:firstLine="504" w:firstLineChars="200"/>
        <w:rPr>
          <w:rFonts w:cs="宋体"/>
          <w:spacing w:val="6"/>
          <w:highlight w:val="none"/>
        </w:rPr>
      </w:pPr>
      <w:r>
        <w:rPr>
          <w:rFonts w:hint="eastAsia" w:cs="宋体"/>
          <w:spacing w:val="6"/>
          <w:highlight w:val="none"/>
        </w:rPr>
        <w:t>本单位对上述声明的真实性负责。如有虚假，将依法承担相应责任。</w:t>
      </w:r>
    </w:p>
    <w:p>
      <w:pPr>
        <w:snapToGrid w:val="0"/>
        <w:spacing w:line="384" w:lineRule="auto"/>
        <w:ind w:right="2004"/>
        <w:rPr>
          <w:rFonts w:cs="宋体"/>
          <w:spacing w:val="6"/>
          <w:highlight w:val="none"/>
        </w:rPr>
      </w:pPr>
    </w:p>
    <w:p>
      <w:pPr>
        <w:snapToGrid w:val="0"/>
        <w:spacing w:line="384" w:lineRule="auto"/>
        <w:rPr>
          <w:rFonts w:cs="宋体"/>
          <w:highlight w:val="none"/>
        </w:rPr>
      </w:pPr>
      <w:r>
        <w:rPr>
          <w:rFonts w:hint="eastAsia" w:cs="宋体"/>
          <w:highlight w:val="none"/>
        </w:rPr>
        <w:t>备注：享受政府采购支持政策的残疾人福利性单位应当同时满足以下条件：</w:t>
      </w:r>
    </w:p>
    <w:p>
      <w:pPr>
        <w:snapToGrid w:val="0"/>
        <w:spacing w:line="384" w:lineRule="auto"/>
        <w:ind w:firstLine="480" w:firstLineChars="200"/>
        <w:rPr>
          <w:rFonts w:cs="宋体"/>
          <w:highlight w:val="none"/>
        </w:rPr>
      </w:pPr>
      <w:r>
        <w:rPr>
          <w:rFonts w:hint="eastAsia" w:cs="宋体"/>
          <w:highlight w:val="none"/>
        </w:rPr>
        <w:t>（1）安置的残疾人占本单位在职职工人数的比例不低于25%（含25%），并且安置的残疾人人数不少于10人（含10人）；</w:t>
      </w:r>
    </w:p>
    <w:p>
      <w:pPr>
        <w:snapToGrid w:val="0"/>
        <w:spacing w:line="384" w:lineRule="auto"/>
        <w:ind w:firstLine="480" w:firstLineChars="200"/>
        <w:rPr>
          <w:rFonts w:cs="宋体"/>
          <w:highlight w:val="none"/>
        </w:rPr>
      </w:pPr>
      <w:r>
        <w:rPr>
          <w:rFonts w:hint="eastAsia" w:cs="宋体"/>
          <w:highlight w:val="none"/>
        </w:rPr>
        <w:t>（2）依法与安置的每位残疾人签订了一年以上（含一年）的劳动合同或服务协议；</w:t>
      </w:r>
    </w:p>
    <w:p>
      <w:pPr>
        <w:snapToGrid w:val="0"/>
        <w:spacing w:line="384" w:lineRule="auto"/>
        <w:ind w:firstLine="480" w:firstLineChars="200"/>
        <w:rPr>
          <w:rFonts w:cs="宋体"/>
          <w:highlight w:val="none"/>
        </w:rPr>
      </w:pPr>
      <w:r>
        <w:rPr>
          <w:rFonts w:hint="eastAsia" w:cs="宋体"/>
          <w:highlight w:val="none"/>
        </w:rPr>
        <w:t>（3）为安置的每位残疾人按月足额缴纳了基本养老保险、基本医疗保险、失业保险、工伤保险和生育保险等社会保险费；</w:t>
      </w:r>
    </w:p>
    <w:p>
      <w:pPr>
        <w:snapToGrid w:val="0"/>
        <w:spacing w:line="384" w:lineRule="auto"/>
        <w:ind w:firstLine="480" w:firstLineChars="200"/>
        <w:rPr>
          <w:rFonts w:cs="宋体"/>
          <w:highlight w:val="none"/>
        </w:rPr>
      </w:pPr>
      <w:r>
        <w:rPr>
          <w:rFonts w:hint="eastAsia" w:cs="宋体"/>
          <w:highlight w:val="none"/>
        </w:rPr>
        <w:t>（4）通过银行等金融机构向安置的每位残疾人，按月支付了不低于单位所在区县适用的经省级人民政府批准的月最低工资标准的工资；</w:t>
      </w:r>
    </w:p>
    <w:p>
      <w:pPr>
        <w:snapToGrid w:val="0"/>
        <w:spacing w:line="384" w:lineRule="auto"/>
        <w:ind w:firstLine="480" w:firstLineChars="200"/>
        <w:rPr>
          <w:rFonts w:cs="宋体"/>
          <w:highlight w:val="none"/>
        </w:rPr>
      </w:pPr>
      <w:r>
        <w:rPr>
          <w:rFonts w:hint="eastAsia" w:cs="宋体"/>
          <w:highlight w:val="none"/>
        </w:rPr>
        <w:t>（5）提供本单位制造的货物、承担的工程或者服务（以下简称产品），或者提供其他残疾人福利性单位制造的货物（不包括使用非残疾人福利性单位注册商标的货物）。</w:t>
      </w:r>
    </w:p>
    <w:p>
      <w:pPr>
        <w:snapToGrid w:val="0"/>
        <w:spacing w:line="384" w:lineRule="auto"/>
        <w:ind w:firstLine="480" w:firstLineChars="200"/>
        <w:rPr>
          <w:rFonts w:cs="宋体"/>
          <w:highlight w:val="none"/>
        </w:rPr>
      </w:pPr>
      <w:r>
        <w:rPr>
          <w:rFonts w:hint="eastAsia" w:cs="宋体"/>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adjustRightInd w:val="0"/>
        <w:snapToGrid w:val="0"/>
        <w:spacing w:line="384" w:lineRule="auto"/>
        <w:ind w:firstLine="480" w:firstLineChars="200"/>
        <w:rPr>
          <w:rFonts w:cs="宋体"/>
          <w:highlight w:val="none"/>
        </w:rPr>
      </w:pPr>
    </w:p>
    <w:p>
      <w:pPr>
        <w:adjustRightInd w:val="0"/>
        <w:snapToGrid w:val="0"/>
        <w:spacing w:line="384" w:lineRule="auto"/>
        <w:rPr>
          <w:rFonts w:cs="宋体"/>
          <w:kern w:val="0"/>
          <w:highlight w:val="none"/>
        </w:rPr>
      </w:pPr>
      <w:r>
        <w:rPr>
          <w:rFonts w:hint="eastAsia" w:cs="宋体"/>
          <w:kern w:val="0"/>
          <w:highlight w:val="none"/>
        </w:rPr>
        <w:t>供应商名称（公章）：</w:t>
      </w:r>
    </w:p>
    <w:p>
      <w:pPr>
        <w:adjustRightInd w:val="0"/>
        <w:snapToGrid w:val="0"/>
        <w:spacing w:line="384" w:lineRule="auto"/>
        <w:rPr>
          <w:rFonts w:cs="宋体"/>
          <w:kern w:val="0"/>
          <w:highlight w:val="none"/>
          <w:u w:val="single"/>
        </w:rPr>
      </w:pPr>
      <w:r>
        <w:rPr>
          <w:rFonts w:hint="eastAsia" w:cs="宋体"/>
          <w:kern w:val="0"/>
          <w:highlight w:val="none"/>
        </w:rPr>
        <w:t>法定代表人（签字或盖章）或</w:t>
      </w:r>
      <w:r>
        <w:rPr>
          <w:rFonts w:hint="eastAsia" w:cs="宋体"/>
          <w:highlight w:val="none"/>
        </w:rPr>
        <w:t>授权委托人</w:t>
      </w:r>
      <w:r>
        <w:rPr>
          <w:rFonts w:hint="eastAsia" w:cs="宋体"/>
          <w:kern w:val="0"/>
          <w:highlight w:val="none"/>
        </w:rPr>
        <w:t>（签字）：</w:t>
      </w:r>
    </w:p>
    <w:p>
      <w:pPr>
        <w:snapToGrid w:val="0"/>
        <w:spacing w:line="384" w:lineRule="auto"/>
        <w:rPr>
          <w:rFonts w:cs="宋体"/>
          <w:b/>
          <w:bCs/>
          <w:highlight w:val="none"/>
        </w:rPr>
      </w:pPr>
      <w:r>
        <w:rPr>
          <w:rFonts w:hint="eastAsia" w:cs="宋体"/>
          <w:highlight w:val="none"/>
        </w:rPr>
        <w:t>日期：年月</w:t>
      </w:r>
      <w:r>
        <w:rPr>
          <w:rFonts w:hint="eastAsia" w:cs="宋体"/>
          <w:kern w:val="0"/>
          <w:highlight w:val="none"/>
        </w:rPr>
        <w:t>日</w:t>
      </w:r>
    </w:p>
    <w:p>
      <w:pPr>
        <w:snapToGrid w:val="0"/>
        <w:spacing w:line="384" w:lineRule="auto"/>
        <w:rPr>
          <w:rFonts w:cs="宋体"/>
          <w:szCs w:val="21"/>
          <w:highlight w:val="none"/>
        </w:rPr>
      </w:pPr>
      <w:r>
        <w:rPr>
          <w:rFonts w:hint="eastAsia" w:cs="宋体"/>
          <w:b/>
          <w:bCs/>
          <w:highlight w:val="none"/>
        </w:rPr>
        <w:br w:type="page"/>
      </w:r>
      <w:r>
        <w:rPr>
          <w:rFonts w:hint="eastAsia" w:cs="宋体"/>
          <w:b/>
          <w:bCs/>
          <w:highlight w:val="none"/>
        </w:rPr>
        <w:t>4、节能、环境标志产品品目清单及认证机构（如适用）</w:t>
      </w:r>
    </w:p>
    <w:p>
      <w:pPr>
        <w:spacing w:line="360" w:lineRule="auto"/>
        <w:rPr>
          <w:rFonts w:cs="宋体"/>
          <w:highlight w:val="none"/>
        </w:rPr>
      </w:pPr>
    </w:p>
    <w:p>
      <w:pPr>
        <w:spacing w:line="360" w:lineRule="auto"/>
        <w:rPr>
          <w:rFonts w:cs="宋体"/>
          <w:highlight w:val="none"/>
        </w:rPr>
      </w:pPr>
      <w:r>
        <w:rPr>
          <w:rFonts w:hint="eastAsia" w:cs="宋体"/>
          <w:highlight w:val="none"/>
        </w:rPr>
        <w:t>项目名称：</w:t>
      </w:r>
    </w:p>
    <w:p>
      <w:pPr>
        <w:spacing w:line="360" w:lineRule="auto"/>
        <w:jc w:val="left"/>
        <w:rPr>
          <w:rFonts w:cs="宋体"/>
          <w:kern w:val="0"/>
          <w:highlight w:val="none"/>
        </w:rPr>
      </w:pPr>
      <w:r>
        <w:rPr>
          <w:rFonts w:hint="eastAsia" w:cs="宋体"/>
          <w:kern w:val="0"/>
          <w:highlight w:val="none"/>
        </w:rPr>
        <w:t>1）节能产品</w:t>
      </w:r>
    </w:p>
    <w:tbl>
      <w:tblPr>
        <w:tblStyle w:val="20"/>
        <w:tblW w:w="0" w:type="auto"/>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994"/>
        <w:gridCol w:w="992"/>
        <w:gridCol w:w="709"/>
        <w:gridCol w:w="707"/>
        <w:gridCol w:w="709"/>
        <w:gridCol w:w="1073"/>
        <w:gridCol w:w="945"/>
        <w:gridCol w:w="1241"/>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cs="宋体"/>
                <w:highlight w:val="none"/>
              </w:rPr>
            </w:pPr>
            <w:r>
              <w:rPr>
                <w:rFonts w:hint="eastAsia" w:cs="宋体"/>
                <w:highlight w:val="none"/>
              </w:rPr>
              <w:t>序号</w:t>
            </w:r>
          </w:p>
        </w:tc>
        <w:tc>
          <w:tcPr>
            <w:tcW w:w="994" w:type="dxa"/>
            <w:tcBorders>
              <w:top w:val="single" w:color="auto" w:sz="4" w:space="0"/>
              <w:left w:val="nil"/>
              <w:bottom w:val="single" w:color="auto" w:sz="4" w:space="0"/>
              <w:right w:val="single" w:color="auto" w:sz="4" w:space="0"/>
            </w:tcBorders>
            <w:noWrap/>
            <w:vAlign w:val="center"/>
          </w:tcPr>
          <w:p>
            <w:pPr>
              <w:spacing w:line="360" w:lineRule="auto"/>
              <w:jc w:val="center"/>
              <w:rPr>
                <w:rFonts w:cs="宋体"/>
                <w:highlight w:val="none"/>
              </w:rPr>
            </w:pPr>
            <w:r>
              <w:rPr>
                <w:rFonts w:hint="eastAsia" w:cs="宋体"/>
                <w:highlight w:val="none"/>
              </w:rPr>
              <w:t>设备名称</w:t>
            </w:r>
          </w:p>
        </w:tc>
        <w:tc>
          <w:tcPr>
            <w:tcW w:w="992" w:type="dxa"/>
            <w:tcBorders>
              <w:top w:val="single" w:color="auto" w:sz="4" w:space="0"/>
              <w:left w:val="nil"/>
              <w:bottom w:val="single" w:color="auto" w:sz="4" w:space="0"/>
              <w:right w:val="single" w:color="auto" w:sz="4" w:space="0"/>
            </w:tcBorders>
            <w:noWrap/>
            <w:vAlign w:val="center"/>
          </w:tcPr>
          <w:p>
            <w:pPr>
              <w:spacing w:line="360" w:lineRule="auto"/>
              <w:jc w:val="center"/>
              <w:rPr>
                <w:rFonts w:cs="宋体"/>
                <w:highlight w:val="none"/>
              </w:rPr>
            </w:pPr>
            <w:r>
              <w:rPr>
                <w:rFonts w:hint="eastAsia" w:cs="宋体"/>
                <w:highlight w:val="none"/>
              </w:rPr>
              <w:t>制造商名称</w:t>
            </w:r>
          </w:p>
        </w:tc>
        <w:tc>
          <w:tcPr>
            <w:tcW w:w="709" w:type="dxa"/>
            <w:tcBorders>
              <w:top w:val="single" w:color="auto" w:sz="4" w:space="0"/>
              <w:left w:val="nil"/>
              <w:bottom w:val="single" w:color="auto" w:sz="4" w:space="0"/>
              <w:right w:val="single" w:color="auto" w:sz="4" w:space="0"/>
            </w:tcBorders>
            <w:noWrap/>
            <w:vAlign w:val="center"/>
          </w:tcPr>
          <w:p>
            <w:pPr>
              <w:spacing w:line="360" w:lineRule="auto"/>
              <w:jc w:val="center"/>
              <w:rPr>
                <w:rFonts w:cs="宋体"/>
                <w:highlight w:val="none"/>
              </w:rPr>
            </w:pPr>
            <w:r>
              <w:rPr>
                <w:rFonts w:hint="eastAsia" w:cs="宋体"/>
                <w:highlight w:val="none"/>
              </w:rPr>
              <w:t>品牌</w:t>
            </w:r>
          </w:p>
        </w:tc>
        <w:tc>
          <w:tcPr>
            <w:tcW w:w="707" w:type="dxa"/>
            <w:tcBorders>
              <w:top w:val="single" w:color="auto" w:sz="4" w:space="0"/>
              <w:left w:val="nil"/>
              <w:bottom w:val="single" w:color="auto" w:sz="4" w:space="0"/>
              <w:right w:val="single" w:color="auto" w:sz="4" w:space="0"/>
            </w:tcBorders>
            <w:noWrap/>
            <w:vAlign w:val="center"/>
          </w:tcPr>
          <w:p>
            <w:pPr>
              <w:spacing w:line="360" w:lineRule="auto"/>
              <w:jc w:val="center"/>
              <w:rPr>
                <w:rFonts w:cs="宋体"/>
                <w:highlight w:val="none"/>
              </w:rPr>
            </w:pPr>
            <w:r>
              <w:rPr>
                <w:rFonts w:hint="eastAsia" w:cs="宋体"/>
                <w:highlight w:val="none"/>
              </w:rPr>
              <w:t>型号</w:t>
            </w:r>
          </w:p>
        </w:tc>
        <w:tc>
          <w:tcPr>
            <w:tcW w:w="709" w:type="dxa"/>
            <w:tcBorders>
              <w:top w:val="single" w:color="auto" w:sz="4" w:space="0"/>
              <w:left w:val="nil"/>
              <w:bottom w:val="single" w:color="auto" w:sz="4" w:space="0"/>
              <w:right w:val="single" w:color="auto" w:sz="4" w:space="0"/>
            </w:tcBorders>
            <w:noWrap/>
            <w:vAlign w:val="center"/>
          </w:tcPr>
          <w:p>
            <w:pPr>
              <w:spacing w:line="360" w:lineRule="auto"/>
              <w:jc w:val="center"/>
              <w:rPr>
                <w:rFonts w:cs="宋体"/>
                <w:highlight w:val="none"/>
              </w:rPr>
            </w:pPr>
            <w:r>
              <w:rPr>
                <w:rFonts w:hint="eastAsia" w:cs="宋体"/>
                <w:highlight w:val="none"/>
              </w:rPr>
              <w:t>数量</w:t>
            </w:r>
          </w:p>
        </w:tc>
        <w:tc>
          <w:tcPr>
            <w:tcW w:w="1073" w:type="dxa"/>
            <w:tcBorders>
              <w:top w:val="single" w:color="auto" w:sz="4" w:space="0"/>
              <w:left w:val="nil"/>
              <w:bottom w:val="single" w:color="auto" w:sz="4" w:space="0"/>
              <w:right w:val="single" w:color="auto" w:sz="4" w:space="0"/>
            </w:tcBorders>
            <w:noWrap/>
            <w:vAlign w:val="center"/>
          </w:tcPr>
          <w:p>
            <w:pPr>
              <w:spacing w:line="360" w:lineRule="auto"/>
              <w:jc w:val="center"/>
              <w:rPr>
                <w:rFonts w:cs="宋体"/>
                <w:highlight w:val="none"/>
              </w:rPr>
            </w:pPr>
            <w:r>
              <w:rPr>
                <w:rFonts w:hint="eastAsia" w:cs="宋体"/>
                <w:highlight w:val="none"/>
              </w:rPr>
              <w:t>单价</w:t>
            </w:r>
          </w:p>
          <w:p>
            <w:pPr>
              <w:spacing w:line="360" w:lineRule="auto"/>
              <w:jc w:val="center"/>
              <w:rPr>
                <w:rFonts w:cs="宋体"/>
                <w:highlight w:val="none"/>
              </w:rPr>
            </w:pPr>
            <w:r>
              <w:rPr>
                <w:rFonts w:hint="eastAsia" w:cs="宋体"/>
                <w:highlight w:val="none"/>
              </w:rPr>
              <w:t>(万元)</w:t>
            </w:r>
          </w:p>
        </w:tc>
        <w:tc>
          <w:tcPr>
            <w:tcW w:w="945" w:type="dxa"/>
            <w:tcBorders>
              <w:top w:val="single" w:color="auto" w:sz="4" w:space="0"/>
              <w:left w:val="nil"/>
              <w:bottom w:val="single" w:color="auto" w:sz="4" w:space="0"/>
              <w:right w:val="single" w:color="auto" w:sz="4" w:space="0"/>
            </w:tcBorders>
            <w:noWrap/>
            <w:vAlign w:val="center"/>
          </w:tcPr>
          <w:p>
            <w:pPr>
              <w:spacing w:line="360" w:lineRule="auto"/>
              <w:jc w:val="center"/>
              <w:rPr>
                <w:rFonts w:cs="宋体"/>
                <w:highlight w:val="none"/>
              </w:rPr>
            </w:pPr>
            <w:r>
              <w:rPr>
                <w:rFonts w:hint="eastAsia" w:cs="宋体"/>
                <w:highlight w:val="none"/>
              </w:rPr>
              <w:t>总价</w:t>
            </w:r>
          </w:p>
          <w:p>
            <w:pPr>
              <w:spacing w:line="360" w:lineRule="auto"/>
              <w:jc w:val="center"/>
              <w:rPr>
                <w:rFonts w:cs="宋体"/>
                <w:highlight w:val="none"/>
              </w:rPr>
            </w:pPr>
            <w:r>
              <w:rPr>
                <w:rFonts w:hint="eastAsia" w:cs="宋体"/>
                <w:highlight w:val="none"/>
              </w:rPr>
              <w:t>(万元)</w:t>
            </w:r>
          </w:p>
        </w:tc>
        <w:tc>
          <w:tcPr>
            <w:tcW w:w="1241" w:type="dxa"/>
            <w:tcBorders>
              <w:top w:val="single" w:color="auto" w:sz="4" w:space="0"/>
              <w:left w:val="nil"/>
              <w:bottom w:val="single" w:color="auto" w:sz="4" w:space="0"/>
              <w:right w:val="single" w:color="auto" w:sz="4" w:space="0"/>
            </w:tcBorders>
            <w:noWrap/>
            <w:vAlign w:val="center"/>
          </w:tcPr>
          <w:p>
            <w:pPr>
              <w:spacing w:line="360" w:lineRule="auto"/>
              <w:jc w:val="center"/>
              <w:rPr>
                <w:rFonts w:cs="宋体"/>
                <w:highlight w:val="none"/>
              </w:rPr>
            </w:pPr>
            <w:r>
              <w:rPr>
                <w:rFonts w:hint="eastAsia" w:cs="宋体"/>
                <w:highlight w:val="none"/>
              </w:rPr>
              <w:t>认证机构</w:t>
            </w:r>
          </w:p>
        </w:tc>
        <w:tc>
          <w:tcPr>
            <w:tcW w:w="1070" w:type="dxa"/>
            <w:tcBorders>
              <w:top w:val="single" w:color="auto" w:sz="4" w:space="0"/>
              <w:left w:val="nil"/>
              <w:bottom w:val="single" w:color="auto" w:sz="4" w:space="0"/>
              <w:right w:val="single" w:color="auto" w:sz="4" w:space="0"/>
            </w:tcBorders>
            <w:noWrap/>
            <w:vAlign w:val="center"/>
          </w:tcPr>
          <w:p>
            <w:pPr>
              <w:spacing w:line="360" w:lineRule="auto"/>
              <w:jc w:val="center"/>
              <w:rPr>
                <w:rFonts w:cs="宋体"/>
                <w:highlight w:val="none"/>
              </w:rPr>
            </w:pPr>
            <w:r>
              <w:rPr>
                <w:rFonts w:hint="eastAsia" w:cs="宋体"/>
                <w:highlight w:val="none"/>
              </w:rPr>
              <w:t>认证证书所在页码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cs="宋体"/>
                <w:highlight w:val="none"/>
              </w:rPr>
            </w:pPr>
            <w:r>
              <w:rPr>
                <w:rFonts w:hint="eastAsia" w:cs="宋体"/>
                <w:highlight w:val="none"/>
              </w:rPr>
              <w:t>1</w:t>
            </w:r>
          </w:p>
        </w:tc>
        <w:tc>
          <w:tcPr>
            <w:tcW w:w="994" w:type="dxa"/>
            <w:tcBorders>
              <w:top w:val="single" w:color="auto" w:sz="4" w:space="0"/>
              <w:left w:val="nil"/>
              <w:bottom w:val="single" w:color="auto" w:sz="4" w:space="0"/>
              <w:right w:val="single" w:color="auto" w:sz="4" w:space="0"/>
            </w:tcBorders>
            <w:noWrap/>
            <w:vAlign w:val="center"/>
          </w:tcPr>
          <w:p>
            <w:pPr>
              <w:spacing w:line="360" w:lineRule="auto"/>
              <w:jc w:val="center"/>
              <w:rPr>
                <w:rFonts w:cs="宋体"/>
                <w:highlight w:val="none"/>
              </w:rPr>
            </w:pPr>
          </w:p>
        </w:tc>
        <w:tc>
          <w:tcPr>
            <w:tcW w:w="992" w:type="dxa"/>
            <w:tcBorders>
              <w:top w:val="single" w:color="auto" w:sz="4" w:space="0"/>
              <w:left w:val="nil"/>
              <w:bottom w:val="single" w:color="auto" w:sz="4" w:space="0"/>
              <w:right w:val="single" w:color="auto" w:sz="4" w:space="0"/>
            </w:tcBorders>
            <w:noWrap/>
            <w:vAlign w:val="center"/>
          </w:tcPr>
          <w:p>
            <w:pPr>
              <w:spacing w:line="360" w:lineRule="auto"/>
              <w:jc w:val="center"/>
              <w:rPr>
                <w:rFonts w:cs="宋体"/>
                <w:highlight w:val="none"/>
              </w:rPr>
            </w:pPr>
          </w:p>
        </w:tc>
        <w:tc>
          <w:tcPr>
            <w:tcW w:w="709" w:type="dxa"/>
            <w:tcBorders>
              <w:top w:val="single" w:color="auto" w:sz="4" w:space="0"/>
              <w:left w:val="nil"/>
              <w:bottom w:val="single" w:color="auto" w:sz="4" w:space="0"/>
              <w:right w:val="single" w:color="auto" w:sz="4" w:space="0"/>
            </w:tcBorders>
            <w:noWrap/>
            <w:vAlign w:val="center"/>
          </w:tcPr>
          <w:p>
            <w:pPr>
              <w:spacing w:line="360" w:lineRule="auto"/>
              <w:jc w:val="center"/>
              <w:rPr>
                <w:rFonts w:cs="宋体"/>
                <w:highlight w:val="none"/>
              </w:rPr>
            </w:pPr>
          </w:p>
        </w:tc>
        <w:tc>
          <w:tcPr>
            <w:tcW w:w="707" w:type="dxa"/>
            <w:tcBorders>
              <w:top w:val="single" w:color="auto" w:sz="4" w:space="0"/>
              <w:left w:val="nil"/>
              <w:bottom w:val="single" w:color="auto" w:sz="4" w:space="0"/>
              <w:right w:val="single" w:color="auto" w:sz="4" w:space="0"/>
            </w:tcBorders>
            <w:noWrap/>
            <w:vAlign w:val="center"/>
          </w:tcPr>
          <w:p>
            <w:pPr>
              <w:spacing w:line="360" w:lineRule="auto"/>
              <w:jc w:val="center"/>
              <w:rPr>
                <w:rFonts w:cs="宋体"/>
                <w:highlight w:val="none"/>
              </w:rPr>
            </w:pPr>
          </w:p>
        </w:tc>
        <w:tc>
          <w:tcPr>
            <w:tcW w:w="709" w:type="dxa"/>
            <w:tcBorders>
              <w:top w:val="single" w:color="auto" w:sz="4" w:space="0"/>
              <w:left w:val="nil"/>
              <w:bottom w:val="single" w:color="auto" w:sz="4" w:space="0"/>
              <w:right w:val="single" w:color="auto" w:sz="4" w:space="0"/>
            </w:tcBorders>
            <w:noWrap/>
            <w:vAlign w:val="center"/>
          </w:tcPr>
          <w:p>
            <w:pPr>
              <w:spacing w:line="360" w:lineRule="auto"/>
              <w:jc w:val="center"/>
              <w:rPr>
                <w:rFonts w:cs="宋体"/>
                <w:highlight w:val="none"/>
              </w:rPr>
            </w:pPr>
          </w:p>
        </w:tc>
        <w:tc>
          <w:tcPr>
            <w:tcW w:w="1073" w:type="dxa"/>
            <w:tcBorders>
              <w:top w:val="single" w:color="auto" w:sz="4" w:space="0"/>
              <w:left w:val="nil"/>
              <w:bottom w:val="single" w:color="auto" w:sz="4" w:space="0"/>
              <w:right w:val="single" w:color="auto" w:sz="4" w:space="0"/>
            </w:tcBorders>
            <w:noWrap/>
            <w:vAlign w:val="center"/>
          </w:tcPr>
          <w:p>
            <w:pPr>
              <w:spacing w:line="360" w:lineRule="auto"/>
              <w:jc w:val="center"/>
              <w:rPr>
                <w:rFonts w:cs="宋体"/>
                <w:highlight w:val="none"/>
              </w:rPr>
            </w:pPr>
          </w:p>
        </w:tc>
        <w:tc>
          <w:tcPr>
            <w:tcW w:w="945" w:type="dxa"/>
            <w:tcBorders>
              <w:top w:val="single" w:color="auto" w:sz="4" w:space="0"/>
              <w:left w:val="nil"/>
              <w:bottom w:val="single" w:color="auto" w:sz="4" w:space="0"/>
              <w:right w:val="single" w:color="auto" w:sz="4" w:space="0"/>
            </w:tcBorders>
            <w:noWrap/>
            <w:vAlign w:val="center"/>
          </w:tcPr>
          <w:p>
            <w:pPr>
              <w:spacing w:line="360" w:lineRule="auto"/>
              <w:jc w:val="center"/>
              <w:rPr>
                <w:rFonts w:cs="宋体"/>
                <w:highlight w:val="none"/>
              </w:rPr>
            </w:pPr>
          </w:p>
        </w:tc>
        <w:tc>
          <w:tcPr>
            <w:tcW w:w="1241" w:type="dxa"/>
            <w:tcBorders>
              <w:top w:val="single" w:color="auto" w:sz="4" w:space="0"/>
              <w:left w:val="nil"/>
              <w:bottom w:val="single" w:color="auto" w:sz="4" w:space="0"/>
              <w:right w:val="single" w:color="auto" w:sz="4" w:space="0"/>
            </w:tcBorders>
            <w:noWrap/>
            <w:vAlign w:val="center"/>
          </w:tcPr>
          <w:p>
            <w:pPr>
              <w:spacing w:line="360" w:lineRule="auto"/>
              <w:jc w:val="center"/>
              <w:rPr>
                <w:rFonts w:cs="宋体"/>
                <w:highlight w:val="none"/>
              </w:rPr>
            </w:pPr>
          </w:p>
        </w:tc>
        <w:tc>
          <w:tcPr>
            <w:tcW w:w="1070" w:type="dxa"/>
            <w:tcBorders>
              <w:top w:val="single" w:color="auto" w:sz="4" w:space="0"/>
              <w:left w:val="nil"/>
              <w:bottom w:val="single" w:color="auto" w:sz="4" w:space="0"/>
              <w:right w:val="single" w:color="auto" w:sz="4" w:space="0"/>
            </w:tcBorders>
            <w:noWrap/>
            <w:vAlign w:val="center"/>
          </w:tcPr>
          <w:p>
            <w:pPr>
              <w:spacing w:line="360" w:lineRule="auto"/>
              <w:jc w:val="center"/>
              <w:rPr>
                <w:rFonts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cs="宋体"/>
                <w:highlight w:val="none"/>
              </w:rPr>
            </w:pPr>
            <w:r>
              <w:rPr>
                <w:rFonts w:hint="eastAsia" w:cs="宋体"/>
                <w:highlight w:val="none"/>
              </w:rPr>
              <w:t>2</w:t>
            </w:r>
          </w:p>
        </w:tc>
        <w:tc>
          <w:tcPr>
            <w:tcW w:w="994" w:type="dxa"/>
            <w:tcBorders>
              <w:top w:val="single" w:color="auto" w:sz="4" w:space="0"/>
              <w:left w:val="nil"/>
              <w:bottom w:val="single" w:color="auto" w:sz="4" w:space="0"/>
              <w:right w:val="single" w:color="auto" w:sz="4" w:space="0"/>
            </w:tcBorders>
            <w:noWrap/>
            <w:vAlign w:val="center"/>
          </w:tcPr>
          <w:p>
            <w:pPr>
              <w:spacing w:line="360" w:lineRule="auto"/>
              <w:jc w:val="center"/>
              <w:rPr>
                <w:rFonts w:cs="宋体"/>
                <w:highlight w:val="none"/>
              </w:rPr>
            </w:pPr>
          </w:p>
        </w:tc>
        <w:tc>
          <w:tcPr>
            <w:tcW w:w="992" w:type="dxa"/>
            <w:tcBorders>
              <w:top w:val="single" w:color="auto" w:sz="4" w:space="0"/>
              <w:left w:val="nil"/>
              <w:bottom w:val="single" w:color="auto" w:sz="4" w:space="0"/>
              <w:right w:val="single" w:color="auto" w:sz="4" w:space="0"/>
            </w:tcBorders>
            <w:noWrap/>
            <w:vAlign w:val="center"/>
          </w:tcPr>
          <w:p>
            <w:pPr>
              <w:spacing w:line="360" w:lineRule="auto"/>
              <w:jc w:val="center"/>
              <w:rPr>
                <w:rFonts w:cs="宋体"/>
                <w:highlight w:val="none"/>
              </w:rPr>
            </w:pPr>
          </w:p>
        </w:tc>
        <w:tc>
          <w:tcPr>
            <w:tcW w:w="709" w:type="dxa"/>
            <w:tcBorders>
              <w:top w:val="single" w:color="auto" w:sz="4" w:space="0"/>
              <w:left w:val="nil"/>
              <w:bottom w:val="single" w:color="auto" w:sz="4" w:space="0"/>
              <w:right w:val="single" w:color="auto" w:sz="4" w:space="0"/>
            </w:tcBorders>
            <w:noWrap/>
            <w:vAlign w:val="center"/>
          </w:tcPr>
          <w:p>
            <w:pPr>
              <w:spacing w:line="360" w:lineRule="auto"/>
              <w:jc w:val="center"/>
              <w:rPr>
                <w:rFonts w:cs="宋体"/>
                <w:highlight w:val="none"/>
              </w:rPr>
            </w:pPr>
          </w:p>
        </w:tc>
        <w:tc>
          <w:tcPr>
            <w:tcW w:w="707" w:type="dxa"/>
            <w:tcBorders>
              <w:top w:val="single" w:color="auto" w:sz="4" w:space="0"/>
              <w:left w:val="nil"/>
              <w:bottom w:val="single" w:color="auto" w:sz="4" w:space="0"/>
              <w:right w:val="single" w:color="auto" w:sz="4" w:space="0"/>
            </w:tcBorders>
            <w:noWrap/>
            <w:vAlign w:val="center"/>
          </w:tcPr>
          <w:p>
            <w:pPr>
              <w:spacing w:line="360" w:lineRule="auto"/>
              <w:jc w:val="center"/>
              <w:rPr>
                <w:rFonts w:cs="宋体"/>
                <w:highlight w:val="none"/>
              </w:rPr>
            </w:pPr>
          </w:p>
        </w:tc>
        <w:tc>
          <w:tcPr>
            <w:tcW w:w="709" w:type="dxa"/>
            <w:tcBorders>
              <w:top w:val="single" w:color="auto" w:sz="4" w:space="0"/>
              <w:left w:val="nil"/>
              <w:bottom w:val="single" w:color="auto" w:sz="4" w:space="0"/>
              <w:right w:val="single" w:color="auto" w:sz="4" w:space="0"/>
            </w:tcBorders>
            <w:noWrap/>
            <w:vAlign w:val="center"/>
          </w:tcPr>
          <w:p>
            <w:pPr>
              <w:spacing w:line="360" w:lineRule="auto"/>
              <w:jc w:val="center"/>
              <w:rPr>
                <w:rFonts w:cs="宋体"/>
                <w:highlight w:val="none"/>
              </w:rPr>
            </w:pPr>
          </w:p>
        </w:tc>
        <w:tc>
          <w:tcPr>
            <w:tcW w:w="1073" w:type="dxa"/>
            <w:tcBorders>
              <w:top w:val="single" w:color="auto" w:sz="4" w:space="0"/>
              <w:left w:val="nil"/>
              <w:bottom w:val="single" w:color="auto" w:sz="4" w:space="0"/>
              <w:right w:val="single" w:color="auto" w:sz="4" w:space="0"/>
            </w:tcBorders>
            <w:noWrap/>
            <w:vAlign w:val="center"/>
          </w:tcPr>
          <w:p>
            <w:pPr>
              <w:spacing w:line="360" w:lineRule="auto"/>
              <w:jc w:val="center"/>
              <w:rPr>
                <w:rFonts w:cs="宋体"/>
                <w:highlight w:val="none"/>
              </w:rPr>
            </w:pPr>
          </w:p>
        </w:tc>
        <w:tc>
          <w:tcPr>
            <w:tcW w:w="945" w:type="dxa"/>
            <w:tcBorders>
              <w:top w:val="single" w:color="auto" w:sz="4" w:space="0"/>
              <w:left w:val="nil"/>
              <w:bottom w:val="single" w:color="auto" w:sz="4" w:space="0"/>
              <w:right w:val="single" w:color="auto" w:sz="4" w:space="0"/>
            </w:tcBorders>
            <w:noWrap/>
            <w:vAlign w:val="center"/>
          </w:tcPr>
          <w:p>
            <w:pPr>
              <w:spacing w:line="360" w:lineRule="auto"/>
              <w:jc w:val="center"/>
              <w:rPr>
                <w:rFonts w:cs="宋体"/>
                <w:highlight w:val="none"/>
              </w:rPr>
            </w:pPr>
          </w:p>
        </w:tc>
        <w:tc>
          <w:tcPr>
            <w:tcW w:w="1241" w:type="dxa"/>
            <w:tcBorders>
              <w:top w:val="single" w:color="auto" w:sz="4" w:space="0"/>
              <w:left w:val="nil"/>
              <w:bottom w:val="single" w:color="auto" w:sz="4" w:space="0"/>
              <w:right w:val="single" w:color="auto" w:sz="4" w:space="0"/>
            </w:tcBorders>
            <w:noWrap/>
            <w:vAlign w:val="center"/>
          </w:tcPr>
          <w:p>
            <w:pPr>
              <w:spacing w:line="360" w:lineRule="auto"/>
              <w:jc w:val="center"/>
              <w:rPr>
                <w:rFonts w:cs="宋体"/>
                <w:highlight w:val="none"/>
              </w:rPr>
            </w:pPr>
          </w:p>
        </w:tc>
        <w:tc>
          <w:tcPr>
            <w:tcW w:w="1070" w:type="dxa"/>
            <w:tcBorders>
              <w:top w:val="single" w:color="auto" w:sz="4" w:space="0"/>
              <w:left w:val="nil"/>
              <w:bottom w:val="single" w:color="auto" w:sz="4" w:space="0"/>
              <w:right w:val="single" w:color="auto" w:sz="4" w:space="0"/>
            </w:tcBorders>
            <w:noWrap/>
            <w:vAlign w:val="center"/>
          </w:tcPr>
          <w:p>
            <w:pPr>
              <w:spacing w:line="360" w:lineRule="auto"/>
              <w:jc w:val="center"/>
              <w:rPr>
                <w:rFonts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cs="宋体"/>
                <w:highlight w:val="none"/>
              </w:rPr>
            </w:pPr>
            <w:r>
              <w:rPr>
                <w:rFonts w:hint="eastAsia" w:cs="宋体"/>
                <w:highlight w:val="none"/>
              </w:rPr>
              <w:t>3</w:t>
            </w:r>
          </w:p>
        </w:tc>
        <w:tc>
          <w:tcPr>
            <w:tcW w:w="994" w:type="dxa"/>
            <w:tcBorders>
              <w:top w:val="single" w:color="auto" w:sz="4" w:space="0"/>
              <w:left w:val="nil"/>
              <w:bottom w:val="single" w:color="auto" w:sz="4" w:space="0"/>
              <w:right w:val="single" w:color="auto" w:sz="4" w:space="0"/>
            </w:tcBorders>
            <w:noWrap/>
            <w:vAlign w:val="center"/>
          </w:tcPr>
          <w:p>
            <w:pPr>
              <w:spacing w:line="360" w:lineRule="auto"/>
              <w:jc w:val="center"/>
              <w:rPr>
                <w:rFonts w:cs="宋体"/>
                <w:highlight w:val="none"/>
              </w:rPr>
            </w:pPr>
            <w:r>
              <w:rPr>
                <w:rFonts w:hint="eastAsia" w:cs="宋体"/>
                <w:highlight w:val="none"/>
              </w:rPr>
              <w:t>……</w:t>
            </w:r>
          </w:p>
        </w:tc>
        <w:tc>
          <w:tcPr>
            <w:tcW w:w="992" w:type="dxa"/>
            <w:tcBorders>
              <w:top w:val="single" w:color="auto" w:sz="4" w:space="0"/>
              <w:left w:val="nil"/>
              <w:bottom w:val="single" w:color="auto" w:sz="4" w:space="0"/>
              <w:right w:val="single" w:color="auto" w:sz="4" w:space="0"/>
            </w:tcBorders>
            <w:noWrap/>
            <w:vAlign w:val="center"/>
          </w:tcPr>
          <w:p>
            <w:pPr>
              <w:spacing w:line="360" w:lineRule="auto"/>
              <w:jc w:val="center"/>
              <w:rPr>
                <w:rFonts w:cs="宋体"/>
                <w:highlight w:val="none"/>
              </w:rPr>
            </w:pPr>
          </w:p>
        </w:tc>
        <w:tc>
          <w:tcPr>
            <w:tcW w:w="709" w:type="dxa"/>
            <w:tcBorders>
              <w:top w:val="single" w:color="auto" w:sz="4" w:space="0"/>
              <w:left w:val="nil"/>
              <w:bottom w:val="single" w:color="auto" w:sz="4" w:space="0"/>
              <w:right w:val="single" w:color="auto" w:sz="4" w:space="0"/>
            </w:tcBorders>
            <w:noWrap/>
            <w:vAlign w:val="center"/>
          </w:tcPr>
          <w:p>
            <w:pPr>
              <w:spacing w:line="360" w:lineRule="auto"/>
              <w:jc w:val="center"/>
              <w:rPr>
                <w:rFonts w:cs="宋体"/>
                <w:highlight w:val="none"/>
              </w:rPr>
            </w:pPr>
          </w:p>
        </w:tc>
        <w:tc>
          <w:tcPr>
            <w:tcW w:w="707" w:type="dxa"/>
            <w:tcBorders>
              <w:top w:val="single" w:color="auto" w:sz="4" w:space="0"/>
              <w:left w:val="nil"/>
              <w:bottom w:val="single" w:color="auto" w:sz="4" w:space="0"/>
              <w:right w:val="single" w:color="auto" w:sz="4" w:space="0"/>
            </w:tcBorders>
            <w:noWrap/>
            <w:vAlign w:val="center"/>
          </w:tcPr>
          <w:p>
            <w:pPr>
              <w:spacing w:line="360" w:lineRule="auto"/>
              <w:jc w:val="center"/>
              <w:rPr>
                <w:rFonts w:cs="宋体"/>
                <w:highlight w:val="none"/>
              </w:rPr>
            </w:pPr>
          </w:p>
        </w:tc>
        <w:tc>
          <w:tcPr>
            <w:tcW w:w="709" w:type="dxa"/>
            <w:tcBorders>
              <w:top w:val="single" w:color="auto" w:sz="4" w:space="0"/>
              <w:left w:val="nil"/>
              <w:bottom w:val="single" w:color="auto" w:sz="4" w:space="0"/>
              <w:right w:val="single" w:color="auto" w:sz="4" w:space="0"/>
            </w:tcBorders>
            <w:noWrap/>
            <w:vAlign w:val="center"/>
          </w:tcPr>
          <w:p>
            <w:pPr>
              <w:spacing w:line="360" w:lineRule="auto"/>
              <w:jc w:val="center"/>
              <w:rPr>
                <w:rFonts w:cs="宋体"/>
                <w:highlight w:val="none"/>
              </w:rPr>
            </w:pPr>
          </w:p>
        </w:tc>
        <w:tc>
          <w:tcPr>
            <w:tcW w:w="1073" w:type="dxa"/>
            <w:tcBorders>
              <w:top w:val="single" w:color="auto" w:sz="4" w:space="0"/>
              <w:left w:val="nil"/>
              <w:bottom w:val="single" w:color="auto" w:sz="4" w:space="0"/>
              <w:right w:val="single" w:color="auto" w:sz="4" w:space="0"/>
            </w:tcBorders>
            <w:noWrap/>
            <w:vAlign w:val="center"/>
          </w:tcPr>
          <w:p>
            <w:pPr>
              <w:spacing w:line="360" w:lineRule="auto"/>
              <w:jc w:val="center"/>
              <w:rPr>
                <w:rFonts w:cs="宋体"/>
                <w:highlight w:val="none"/>
              </w:rPr>
            </w:pPr>
          </w:p>
        </w:tc>
        <w:tc>
          <w:tcPr>
            <w:tcW w:w="945" w:type="dxa"/>
            <w:tcBorders>
              <w:top w:val="single" w:color="auto" w:sz="4" w:space="0"/>
              <w:left w:val="nil"/>
              <w:bottom w:val="single" w:color="auto" w:sz="4" w:space="0"/>
              <w:right w:val="single" w:color="auto" w:sz="4" w:space="0"/>
            </w:tcBorders>
            <w:noWrap/>
            <w:vAlign w:val="center"/>
          </w:tcPr>
          <w:p>
            <w:pPr>
              <w:spacing w:line="360" w:lineRule="auto"/>
              <w:jc w:val="center"/>
              <w:rPr>
                <w:rFonts w:cs="宋体"/>
                <w:highlight w:val="none"/>
              </w:rPr>
            </w:pPr>
          </w:p>
        </w:tc>
        <w:tc>
          <w:tcPr>
            <w:tcW w:w="1241" w:type="dxa"/>
            <w:tcBorders>
              <w:top w:val="single" w:color="auto" w:sz="4" w:space="0"/>
              <w:left w:val="nil"/>
              <w:bottom w:val="single" w:color="auto" w:sz="4" w:space="0"/>
              <w:right w:val="single" w:color="auto" w:sz="4" w:space="0"/>
            </w:tcBorders>
            <w:noWrap/>
            <w:vAlign w:val="center"/>
          </w:tcPr>
          <w:p>
            <w:pPr>
              <w:spacing w:line="360" w:lineRule="auto"/>
              <w:jc w:val="center"/>
              <w:rPr>
                <w:rFonts w:cs="宋体"/>
                <w:highlight w:val="none"/>
              </w:rPr>
            </w:pPr>
          </w:p>
        </w:tc>
        <w:tc>
          <w:tcPr>
            <w:tcW w:w="1070" w:type="dxa"/>
            <w:tcBorders>
              <w:top w:val="single" w:color="auto" w:sz="4" w:space="0"/>
              <w:left w:val="nil"/>
              <w:bottom w:val="single" w:color="auto" w:sz="4" w:space="0"/>
              <w:right w:val="single" w:color="auto" w:sz="4" w:space="0"/>
            </w:tcBorders>
            <w:noWrap/>
            <w:vAlign w:val="center"/>
          </w:tcPr>
          <w:p>
            <w:pPr>
              <w:spacing w:line="360" w:lineRule="auto"/>
              <w:jc w:val="center"/>
              <w:rPr>
                <w:rFonts w:cs="宋体"/>
                <w:highlight w:val="none"/>
              </w:rPr>
            </w:pPr>
          </w:p>
        </w:tc>
      </w:tr>
    </w:tbl>
    <w:p>
      <w:pPr>
        <w:spacing w:line="360" w:lineRule="auto"/>
        <w:jc w:val="left"/>
        <w:rPr>
          <w:rFonts w:cs="宋体"/>
          <w:highlight w:val="none"/>
        </w:rPr>
      </w:pPr>
      <w:r>
        <w:rPr>
          <w:rFonts w:hint="eastAsia" w:cs="宋体"/>
          <w:kern w:val="0"/>
          <w:highlight w:val="none"/>
        </w:rPr>
        <w:t>2）环境标志产品</w:t>
      </w:r>
    </w:p>
    <w:tbl>
      <w:tblPr>
        <w:tblStyle w:val="20"/>
        <w:tblW w:w="0" w:type="auto"/>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994"/>
        <w:gridCol w:w="992"/>
        <w:gridCol w:w="709"/>
        <w:gridCol w:w="707"/>
        <w:gridCol w:w="709"/>
        <w:gridCol w:w="1058"/>
        <w:gridCol w:w="960"/>
        <w:gridCol w:w="1241"/>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cs="宋体"/>
                <w:highlight w:val="none"/>
              </w:rPr>
            </w:pPr>
            <w:r>
              <w:rPr>
                <w:rFonts w:hint="eastAsia" w:cs="宋体"/>
                <w:highlight w:val="none"/>
              </w:rPr>
              <w:t>序号</w:t>
            </w:r>
          </w:p>
        </w:tc>
        <w:tc>
          <w:tcPr>
            <w:tcW w:w="994" w:type="dxa"/>
            <w:tcBorders>
              <w:top w:val="single" w:color="auto" w:sz="4" w:space="0"/>
              <w:left w:val="nil"/>
              <w:bottom w:val="single" w:color="auto" w:sz="4" w:space="0"/>
              <w:right w:val="single" w:color="auto" w:sz="4" w:space="0"/>
            </w:tcBorders>
            <w:noWrap/>
            <w:vAlign w:val="center"/>
          </w:tcPr>
          <w:p>
            <w:pPr>
              <w:spacing w:line="360" w:lineRule="auto"/>
              <w:jc w:val="center"/>
              <w:rPr>
                <w:rFonts w:cs="宋体"/>
                <w:highlight w:val="none"/>
              </w:rPr>
            </w:pPr>
            <w:r>
              <w:rPr>
                <w:rFonts w:hint="eastAsia" w:cs="宋体"/>
                <w:highlight w:val="none"/>
              </w:rPr>
              <w:t>设备名称</w:t>
            </w:r>
          </w:p>
        </w:tc>
        <w:tc>
          <w:tcPr>
            <w:tcW w:w="992" w:type="dxa"/>
            <w:tcBorders>
              <w:top w:val="single" w:color="auto" w:sz="4" w:space="0"/>
              <w:left w:val="nil"/>
              <w:bottom w:val="single" w:color="auto" w:sz="4" w:space="0"/>
              <w:right w:val="single" w:color="auto" w:sz="4" w:space="0"/>
            </w:tcBorders>
            <w:noWrap/>
            <w:vAlign w:val="center"/>
          </w:tcPr>
          <w:p>
            <w:pPr>
              <w:spacing w:line="360" w:lineRule="auto"/>
              <w:jc w:val="center"/>
              <w:rPr>
                <w:rFonts w:cs="宋体"/>
                <w:highlight w:val="none"/>
              </w:rPr>
            </w:pPr>
            <w:r>
              <w:rPr>
                <w:rFonts w:hint="eastAsia" w:cs="宋体"/>
                <w:highlight w:val="none"/>
              </w:rPr>
              <w:t>制造商名称</w:t>
            </w:r>
          </w:p>
        </w:tc>
        <w:tc>
          <w:tcPr>
            <w:tcW w:w="709" w:type="dxa"/>
            <w:tcBorders>
              <w:top w:val="single" w:color="auto" w:sz="4" w:space="0"/>
              <w:left w:val="nil"/>
              <w:bottom w:val="single" w:color="auto" w:sz="4" w:space="0"/>
              <w:right w:val="single" w:color="auto" w:sz="4" w:space="0"/>
            </w:tcBorders>
            <w:noWrap/>
            <w:vAlign w:val="center"/>
          </w:tcPr>
          <w:p>
            <w:pPr>
              <w:spacing w:line="360" w:lineRule="auto"/>
              <w:jc w:val="center"/>
              <w:rPr>
                <w:rFonts w:cs="宋体"/>
                <w:highlight w:val="none"/>
              </w:rPr>
            </w:pPr>
            <w:r>
              <w:rPr>
                <w:rFonts w:hint="eastAsia" w:cs="宋体"/>
                <w:highlight w:val="none"/>
              </w:rPr>
              <w:t>品牌</w:t>
            </w:r>
          </w:p>
        </w:tc>
        <w:tc>
          <w:tcPr>
            <w:tcW w:w="707" w:type="dxa"/>
            <w:tcBorders>
              <w:top w:val="single" w:color="auto" w:sz="4" w:space="0"/>
              <w:left w:val="nil"/>
              <w:bottom w:val="single" w:color="auto" w:sz="4" w:space="0"/>
              <w:right w:val="single" w:color="auto" w:sz="4" w:space="0"/>
            </w:tcBorders>
            <w:noWrap/>
            <w:vAlign w:val="center"/>
          </w:tcPr>
          <w:p>
            <w:pPr>
              <w:spacing w:line="360" w:lineRule="auto"/>
              <w:jc w:val="center"/>
              <w:rPr>
                <w:rFonts w:cs="宋体"/>
                <w:highlight w:val="none"/>
              </w:rPr>
            </w:pPr>
            <w:r>
              <w:rPr>
                <w:rFonts w:hint="eastAsia" w:cs="宋体"/>
                <w:highlight w:val="none"/>
              </w:rPr>
              <w:t>型号</w:t>
            </w:r>
          </w:p>
        </w:tc>
        <w:tc>
          <w:tcPr>
            <w:tcW w:w="709" w:type="dxa"/>
            <w:tcBorders>
              <w:top w:val="single" w:color="auto" w:sz="4" w:space="0"/>
              <w:left w:val="nil"/>
              <w:bottom w:val="single" w:color="auto" w:sz="4" w:space="0"/>
              <w:right w:val="single" w:color="auto" w:sz="4" w:space="0"/>
            </w:tcBorders>
            <w:noWrap/>
            <w:vAlign w:val="center"/>
          </w:tcPr>
          <w:p>
            <w:pPr>
              <w:spacing w:line="360" w:lineRule="auto"/>
              <w:jc w:val="center"/>
              <w:rPr>
                <w:rFonts w:cs="宋体"/>
                <w:highlight w:val="none"/>
              </w:rPr>
            </w:pPr>
            <w:r>
              <w:rPr>
                <w:rFonts w:hint="eastAsia" w:cs="宋体"/>
                <w:highlight w:val="none"/>
              </w:rPr>
              <w:t>数量</w:t>
            </w:r>
          </w:p>
        </w:tc>
        <w:tc>
          <w:tcPr>
            <w:tcW w:w="1058" w:type="dxa"/>
            <w:tcBorders>
              <w:top w:val="single" w:color="auto" w:sz="4" w:space="0"/>
              <w:left w:val="nil"/>
              <w:bottom w:val="single" w:color="auto" w:sz="4" w:space="0"/>
              <w:right w:val="single" w:color="auto" w:sz="4" w:space="0"/>
            </w:tcBorders>
            <w:noWrap/>
            <w:vAlign w:val="center"/>
          </w:tcPr>
          <w:p>
            <w:pPr>
              <w:spacing w:line="360" w:lineRule="auto"/>
              <w:jc w:val="center"/>
              <w:rPr>
                <w:rFonts w:cs="宋体"/>
                <w:highlight w:val="none"/>
              </w:rPr>
            </w:pPr>
            <w:r>
              <w:rPr>
                <w:rFonts w:hint="eastAsia" w:cs="宋体"/>
                <w:highlight w:val="none"/>
              </w:rPr>
              <w:t>单价</w:t>
            </w:r>
          </w:p>
          <w:p>
            <w:pPr>
              <w:spacing w:line="360" w:lineRule="auto"/>
              <w:jc w:val="center"/>
              <w:rPr>
                <w:rFonts w:cs="宋体"/>
                <w:highlight w:val="none"/>
              </w:rPr>
            </w:pPr>
            <w:r>
              <w:rPr>
                <w:rFonts w:hint="eastAsia" w:cs="宋体"/>
                <w:highlight w:val="none"/>
              </w:rPr>
              <w:t>(万元)</w:t>
            </w:r>
          </w:p>
        </w:tc>
        <w:tc>
          <w:tcPr>
            <w:tcW w:w="960" w:type="dxa"/>
            <w:tcBorders>
              <w:top w:val="single" w:color="auto" w:sz="4" w:space="0"/>
              <w:left w:val="nil"/>
              <w:bottom w:val="single" w:color="auto" w:sz="4" w:space="0"/>
              <w:right w:val="single" w:color="auto" w:sz="4" w:space="0"/>
            </w:tcBorders>
            <w:noWrap/>
            <w:vAlign w:val="center"/>
          </w:tcPr>
          <w:p>
            <w:pPr>
              <w:spacing w:line="360" w:lineRule="auto"/>
              <w:jc w:val="center"/>
              <w:rPr>
                <w:rFonts w:cs="宋体"/>
                <w:highlight w:val="none"/>
              </w:rPr>
            </w:pPr>
            <w:r>
              <w:rPr>
                <w:rFonts w:hint="eastAsia" w:cs="宋体"/>
                <w:highlight w:val="none"/>
              </w:rPr>
              <w:t>总价</w:t>
            </w:r>
          </w:p>
          <w:p>
            <w:pPr>
              <w:spacing w:line="360" w:lineRule="auto"/>
              <w:jc w:val="center"/>
              <w:rPr>
                <w:rFonts w:cs="宋体"/>
                <w:highlight w:val="none"/>
              </w:rPr>
            </w:pPr>
            <w:r>
              <w:rPr>
                <w:rFonts w:hint="eastAsia" w:cs="宋体"/>
                <w:highlight w:val="none"/>
              </w:rPr>
              <w:t>(万元)</w:t>
            </w:r>
          </w:p>
        </w:tc>
        <w:tc>
          <w:tcPr>
            <w:tcW w:w="1241" w:type="dxa"/>
            <w:tcBorders>
              <w:top w:val="single" w:color="auto" w:sz="4" w:space="0"/>
              <w:left w:val="nil"/>
              <w:bottom w:val="single" w:color="auto" w:sz="4" w:space="0"/>
              <w:right w:val="single" w:color="auto" w:sz="4" w:space="0"/>
            </w:tcBorders>
            <w:noWrap/>
            <w:vAlign w:val="center"/>
          </w:tcPr>
          <w:p>
            <w:pPr>
              <w:spacing w:line="360" w:lineRule="auto"/>
              <w:jc w:val="center"/>
              <w:rPr>
                <w:rFonts w:cs="宋体"/>
                <w:highlight w:val="none"/>
              </w:rPr>
            </w:pPr>
            <w:r>
              <w:rPr>
                <w:rFonts w:hint="eastAsia" w:cs="宋体"/>
                <w:highlight w:val="none"/>
              </w:rPr>
              <w:t>认证机构</w:t>
            </w:r>
          </w:p>
        </w:tc>
        <w:tc>
          <w:tcPr>
            <w:tcW w:w="1070" w:type="dxa"/>
            <w:tcBorders>
              <w:top w:val="single" w:color="auto" w:sz="4" w:space="0"/>
              <w:left w:val="nil"/>
              <w:bottom w:val="single" w:color="auto" w:sz="4" w:space="0"/>
              <w:right w:val="single" w:color="auto" w:sz="4" w:space="0"/>
            </w:tcBorders>
            <w:noWrap/>
            <w:vAlign w:val="center"/>
          </w:tcPr>
          <w:p>
            <w:pPr>
              <w:spacing w:line="360" w:lineRule="auto"/>
              <w:jc w:val="center"/>
              <w:rPr>
                <w:rFonts w:cs="宋体"/>
                <w:highlight w:val="none"/>
              </w:rPr>
            </w:pPr>
            <w:r>
              <w:rPr>
                <w:rFonts w:hint="eastAsia" w:cs="宋体"/>
                <w:highlight w:val="none"/>
              </w:rPr>
              <w:t>认证证书所在页码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cs="宋体"/>
                <w:highlight w:val="none"/>
              </w:rPr>
            </w:pPr>
            <w:r>
              <w:rPr>
                <w:rFonts w:hint="eastAsia" w:cs="宋体"/>
                <w:highlight w:val="none"/>
              </w:rPr>
              <w:t>1</w:t>
            </w:r>
          </w:p>
        </w:tc>
        <w:tc>
          <w:tcPr>
            <w:tcW w:w="994" w:type="dxa"/>
            <w:tcBorders>
              <w:top w:val="single" w:color="auto" w:sz="4" w:space="0"/>
              <w:left w:val="nil"/>
              <w:bottom w:val="single" w:color="auto" w:sz="4" w:space="0"/>
              <w:right w:val="single" w:color="auto" w:sz="4" w:space="0"/>
            </w:tcBorders>
            <w:noWrap/>
            <w:vAlign w:val="center"/>
          </w:tcPr>
          <w:p>
            <w:pPr>
              <w:spacing w:line="360" w:lineRule="auto"/>
              <w:jc w:val="center"/>
              <w:rPr>
                <w:rFonts w:cs="宋体"/>
                <w:highlight w:val="none"/>
              </w:rPr>
            </w:pPr>
          </w:p>
        </w:tc>
        <w:tc>
          <w:tcPr>
            <w:tcW w:w="992" w:type="dxa"/>
            <w:tcBorders>
              <w:top w:val="single" w:color="auto" w:sz="4" w:space="0"/>
              <w:left w:val="nil"/>
              <w:bottom w:val="single" w:color="auto" w:sz="4" w:space="0"/>
              <w:right w:val="single" w:color="auto" w:sz="4" w:space="0"/>
            </w:tcBorders>
            <w:noWrap/>
            <w:vAlign w:val="center"/>
          </w:tcPr>
          <w:p>
            <w:pPr>
              <w:spacing w:line="360" w:lineRule="auto"/>
              <w:jc w:val="center"/>
              <w:rPr>
                <w:rFonts w:cs="宋体"/>
                <w:highlight w:val="none"/>
              </w:rPr>
            </w:pPr>
          </w:p>
        </w:tc>
        <w:tc>
          <w:tcPr>
            <w:tcW w:w="709" w:type="dxa"/>
            <w:tcBorders>
              <w:top w:val="single" w:color="auto" w:sz="4" w:space="0"/>
              <w:left w:val="nil"/>
              <w:bottom w:val="single" w:color="auto" w:sz="4" w:space="0"/>
              <w:right w:val="single" w:color="auto" w:sz="4" w:space="0"/>
            </w:tcBorders>
            <w:noWrap/>
            <w:vAlign w:val="center"/>
          </w:tcPr>
          <w:p>
            <w:pPr>
              <w:spacing w:line="360" w:lineRule="auto"/>
              <w:jc w:val="center"/>
              <w:rPr>
                <w:rFonts w:cs="宋体"/>
                <w:highlight w:val="none"/>
              </w:rPr>
            </w:pPr>
          </w:p>
        </w:tc>
        <w:tc>
          <w:tcPr>
            <w:tcW w:w="707" w:type="dxa"/>
            <w:tcBorders>
              <w:top w:val="single" w:color="auto" w:sz="4" w:space="0"/>
              <w:left w:val="nil"/>
              <w:bottom w:val="single" w:color="auto" w:sz="4" w:space="0"/>
              <w:right w:val="single" w:color="auto" w:sz="4" w:space="0"/>
            </w:tcBorders>
            <w:noWrap/>
            <w:vAlign w:val="center"/>
          </w:tcPr>
          <w:p>
            <w:pPr>
              <w:spacing w:line="360" w:lineRule="auto"/>
              <w:jc w:val="center"/>
              <w:rPr>
                <w:rFonts w:cs="宋体"/>
                <w:highlight w:val="none"/>
              </w:rPr>
            </w:pPr>
          </w:p>
        </w:tc>
        <w:tc>
          <w:tcPr>
            <w:tcW w:w="709" w:type="dxa"/>
            <w:tcBorders>
              <w:top w:val="single" w:color="auto" w:sz="4" w:space="0"/>
              <w:left w:val="nil"/>
              <w:bottom w:val="single" w:color="auto" w:sz="4" w:space="0"/>
              <w:right w:val="single" w:color="auto" w:sz="4" w:space="0"/>
            </w:tcBorders>
            <w:noWrap/>
            <w:vAlign w:val="center"/>
          </w:tcPr>
          <w:p>
            <w:pPr>
              <w:spacing w:line="360" w:lineRule="auto"/>
              <w:jc w:val="center"/>
              <w:rPr>
                <w:rFonts w:cs="宋体"/>
                <w:highlight w:val="none"/>
              </w:rPr>
            </w:pPr>
          </w:p>
        </w:tc>
        <w:tc>
          <w:tcPr>
            <w:tcW w:w="1058" w:type="dxa"/>
            <w:tcBorders>
              <w:top w:val="single" w:color="auto" w:sz="4" w:space="0"/>
              <w:left w:val="nil"/>
              <w:bottom w:val="single" w:color="auto" w:sz="4" w:space="0"/>
              <w:right w:val="single" w:color="auto" w:sz="4" w:space="0"/>
            </w:tcBorders>
            <w:noWrap/>
            <w:vAlign w:val="center"/>
          </w:tcPr>
          <w:p>
            <w:pPr>
              <w:spacing w:line="360" w:lineRule="auto"/>
              <w:jc w:val="center"/>
              <w:rPr>
                <w:rFonts w:cs="宋体"/>
                <w:highlight w:val="none"/>
              </w:rPr>
            </w:pPr>
          </w:p>
        </w:tc>
        <w:tc>
          <w:tcPr>
            <w:tcW w:w="960" w:type="dxa"/>
            <w:tcBorders>
              <w:top w:val="single" w:color="auto" w:sz="4" w:space="0"/>
              <w:left w:val="nil"/>
              <w:bottom w:val="single" w:color="auto" w:sz="4" w:space="0"/>
              <w:right w:val="single" w:color="auto" w:sz="4" w:space="0"/>
            </w:tcBorders>
            <w:noWrap/>
            <w:vAlign w:val="center"/>
          </w:tcPr>
          <w:p>
            <w:pPr>
              <w:spacing w:line="360" w:lineRule="auto"/>
              <w:jc w:val="center"/>
              <w:rPr>
                <w:rFonts w:cs="宋体"/>
                <w:highlight w:val="none"/>
              </w:rPr>
            </w:pPr>
          </w:p>
        </w:tc>
        <w:tc>
          <w:tcPr>
            <w:tcW w:w="1241" w:type="dxa"/>
            <w:tcBorders>
              <w:top w:val="single" w:color="auto" w:sz="4" w:space="0"/>
              <w:left w:val="nil"/>
              <w:bottom w:val="single" w:color="auto" w:sz="4" w:space="0"/>
              <w:right w:val="single" w:color="auto" w:sz="4" w:space="0"/>
            </w:tcBorders>
            <w:noWrap/>
            <w:vAlign w:val="center"/>
          </w:tcPr>
          <w:p>
            <w:pPr>
              <w:spacing w:line="360" w:lineRule="auto"/>
              <w:jc w:val="center"/>
              <w:rPr>
                <w:rFonts w:cs="宋体"/>
                <w:highlight w:val="none"/>
              </w:rPr>
            </w:pPr>
          </w:p>
        </w:tc>
        <w:tc>
          <w:tcPr>
            <w:tcW w:w="1070" w:type="dxa"/>
            <w:tcBorders>
              <w:top w:val="single" w:color="auto" w:sz="4" w:space="0"/>
              <w:left w:val="nil"/>
              <w:bottom w:val="single" w:color="auto" w:sz="4" w:space="0"/>
              <w:right w:val="single" w:color="auto" w:sz="4" w:space="0"/>
            </w:tcBorders>
            <w:noWrap/>
            <w:vAlign w:val="center"/>
          </w:tcPr>
          <w:p>
            <w:pPr>
              <w:spacing w:line="360" w:lineRule="auto"/>
              <w:jc w:val="center"/>
              <w:rPr>
                <w:rFonts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cs="宋体"/>
                <w:highlight w:val="none"/>
              </w:rPr>
            </w:pPr>
            <w:r>
              <w:rPr>
                <w:rFonts w:hint="eastAsia" w:cs="宋体"/>
                <w:highlight w:val="none"/>
              </w:rPr>
              <w:t>2</w:t>
            </w:r>
          </w:p>
        </w:tc>
        <w:tc>
          <w:tcPr>
            <w:tcW w:w="994" w:type="dxa"/>
            <w:tcBorders>
              <w:top w:val="single" w:color="auto" w:sz="4" w:space="0"/>
              <w:left w:val="nil"/>
              <w:bottom w:val="single" w:color="auto" w:sz="4" w:space="0"/>
              <w:right w:val="single" w:color="auto" w:sz="4" w:space="0"/>
            </w:tcBorders>
            <w:noWrap/>
            <w:vAlign w:val="center"/>
          </w:tcPr>
          <w:p>
            <w:pPr>
              <w:spacing w:line="360" w:lineRule="auto"/>
              <w:jc w:val="center"/>
              <w:rPr>
                <w:rFonts w:cs="宋体"/>
                <w:highlight w:val="none"/>
              </w:rPr>
            </w:pPr>
          </w:p>
        </w:tc>
        <w:tc>
          <w:tcPr>
            <w:tcW w:w="992" w:type="dxa"/>
            <w:tcBorders>
              <w:top w:val="single" w:color="auto" w:sz="4" w:space="0"/>
              <w:left w:val="nil"/>
              <w:bottom w:val="single" w:color="auto" w:sz="4" w:space="0"/>
              <w:right w:val="single" w:color="auto" w:sz="4" w:space="0"/>
            </w:tcBorders>
            <w:noWrap/>
            <w:vAlign w:val="center"/>
          </w:tcPr>
          <w:p>
            <w:pPr>
              <w:spacing w:line="360" w:lineRule="auto"/>
              <w:jc w:val="center"/>
              <w:rPr>
                <w:rFonts w:cs="宋体"/>
                <w:highlight w:val="none"/>
              </w:rPr>
            </w:pPr>
          </w:p>
        </w:tc>
        <w:tc>
          <w:tcPr>
            <w:tcW w:w="709" w:type="dxa"/>
            <w:tcBorders>
              <w:top w:val="single" w:color="auto" w:sz="4" w:space="0"/>
              <w:left w:val="nil"/>
              <w:bottom w:val="single" w:color="auto" w:sz="4" w:space="0"/>
              <w:right w:val="single" w:color="auto" w:sz="4" w:space="0"/>
            </w:tcBorders>
            <w:noWrap/>
            <w:vAlign w:val="center"/>
          </w:tcPr>
          <w:p>
            <w:pPr>
              <w:spacing w:line="360" w:lineRule="auto"/>
              <w:jc w:val="center"/>
              <w:rPr>
                <w:rFonts w:cs="宋体"/>
                <w:highlight w:val="none"/>
              </w:rPr>
            </w:pPr>
          </w:p>
        </w:tc>
        <w:tc>
          <w:tcPr>
            <w:tcW w:w="707" w:type="dxa"/>
            <w:tcBorders>
              <w:top w:val="single" w:color="auto" w:sz="4" w:space="0"/>
              <w:left w:val="nil"/>
              <w:bottom w:val="single" w:color="auto" w:sz="4" w:space="0"/>
              <w:right w:val="single" w:color="auto" w:sz="4" w:space="0"/>
            </w:tcBorders>
            <w:noWrap/>
            <w:vAlign w:val="center"/>
          </w:tcPr>
          <w:p>
            <w:pPr>
              <w:spacing w:line="360" w:lineRule="auto"/>
              <w:jc w:val="center"/>
              <w:rPr>
                <w:rFonts w:cs="宋体"/>
                <w:highlight w:val="none"/>
              </w:rPr>
            </w:pPr>
          </w:p>
        </w:tc>
        <w:tc>
          <w:tcPr>
            <w:tcW w:w="709" w:type="dxa"/>
            <w:tcBorders>
              <w:top w:val="single" w:color="auto" w:sz="4" w:space="0"/>
              <w:left w:val="nil"/>
              <w:bottom w:val="single" w:color="auto" w:sz="4" w:space="0"/>
              <w:right w:val="single" w:color="auto" w:sz="4" w:space="0"/>
            </w:tcBorders>
            <w:noWrap/>
            <w:vAlign w:val="center"/>
          </w:tcPr>
          <w:p>
            <w:pPr>
              <w:spacing w:line="360" w:lineRule="auto"/>
              <w:jc w:val="center"/>
              <w:rPr>
                <w:rFonts w:cs="宋体"/>
                <w:highlight w:val="none"/>
              </w:rPr>
            </w:pPr>
          </w:p>
        </w:tc>
        <w:tc>
          <w:tcPr>
            <w:tcW w:w="1058" w:type="dxa"/>
            <w:tcBorders>
              <w:top w:val="single" w:color="auto" w:sz="4" w:space="0"/>
              <w:left w:val="nil"/>
              <w:bottom w:val="single" w:color="auto" w:sz="4" w:space="0"/>
              <w:right w:val="single" w:color="auto" w:sz="4" w:space="0"/>
            </w:tcBorders>
            <w:noWrap/>
            <w:vAlign w:val="center"/>
          </w:tcPr>
          <w:p>
            <w:pPr>
              <w:spacing w:line="360" w:lineRule="auto"/>
              <w:jc w:val="center"/>
              <w:rPr>
                <w:rFonts w:cs="宋体"/>
                <w:highlight w:val="none"/>
              </w:rPr>
            </w:pPr>
          </w:p>
        </w:tc>
        <w:tc>
          <w:tcPr>
            <w:tcW w:w="960" w:type="dxa"/>
            <w:tcBorders>
              <w:top w:val="single" w:color="auto" w:sz="4" w:space="0"/>
              <w:left w:val="nil"/>
              <w:bottom w:val="single" w:color="auto" w:sz="4" w:space="0"/>
              <w:right w:val="single" w:color="auto" w:sz="4" w:space="0"/>
            </w:tcBorders>
            <w:noWrap/>
            <w:vAlign w:val="center"/>
          </w:tcPr>
          <w:p>
            <w:pPr>
              <w:spacing w:line="360" w:lineRule="auto"/>
              <w:jc w:val="center"/>
              <w:rPr>
                <w:rFonts w:cs="宋体"/>
                <w:highlight w:val="none"/>
              </w:rPr>
            </w:pPr>
          </w:p>
        </w:tc>
        <w:tc>
          <w:tcPr>
            <w:tcW w:w="1241" w:type="dxa"/>
            <w:tcBorders>
              <w:top w:val="single" w:color="auto" w:sz="4" w:space="0"/>
              <w:left w:val="nil"/>
              <w:bottom w:val="single" w:color="auto" w:sz="4" w:space="0"/>
              <w:right w:val="single" w:color="auto" w:sz="4" w:space="0"/>
            </w:tcBorders>
            <w:noWrap/>
            <w:vAlign w:val="center"/>
          </w:tcPr>
          <w:p>
            <w:pPr>
              <w:spacing w:line="360" w:lineRule="auto"/>
              <w:jc w:val="center"/>
              <w:rPr>
                <w:rFonts w:cs="宋体"/>
                <w:highlight w:val="none"/>
              </w:rPr>
            </w:pPr>
          </w:p>
        </w:tc>
        <w:tc>
          <w:tcPr>
            <w:tcW w:w="1070" w:type="dxa"/>
            <w:tcBorders>
              <w:top w:val="single" w:color="auto" w:sz="4" w:space="0"/>
              <w:left w:val="nil"/>
              <w:bottom w:val="single" w:color="auto" w:sz="4" w:space="0"/>
              <w:right w:val="single" w:color="auto" w:sz="4" w:space="0"/>
            </w:tcBorders>
            <w:noWrap/>
            <w:vAlign w:val="center"/>
          </w:tcPr>
          <w:p>
            <w:pPr>
              <w:spacing w:line="360" w:lineRule="auto"/>
              <w:jc w:val="center"/>
              <w:rPr>
                <w:rFonts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cs="宋体"/>
                <w:highlight w:val="none"/>
              </w:rPr>
            </w:pPr>
            <w:r>
              <w:rPr>
                <w:rFonts w:hint="eastAsia" w:cs="宋体"/>
                <w:highlight w:val="none"/>
              </w:rPr>
              <w:t>3</w:t>
            </w:r>
          </w:p>
        </w:tc>
        <w:tc>
          <w:tcPr>
            <w:tcW w:w="994" w:type="dxa"/>
            <w:tcBorders>
              <w:top w:val="single" w:color="auto" w:sz="4" w:space="0"/>
              <w:left w:val="nil"/>
              <w:bottom w:val="single" w:color="auto" w:sz="4" w:space="0"/>
              <w:right w:val="single" w:color="auto" w:sz="4" w:space="0"/>
            </w:tcBorders>
            <w:noWrap/>
            <w:vAlign w:val="center"/>
          </w:tcPr>
          <w:p>
            <w:pPr>
              <w:spacing w:line="360" w:lineRule="auto"/>
              <w:jc w:val="center"/>
              <w:rPr>
                <w:rFonts w:cs="宋体"/>
                <w:highlight w:val="none"/>
              </w:rPr>
            </w:pPr>
            <w:r>
              <w:rPr>
                <w:rFonts w:hint="eastAsia" w:cs="宋体"/>
                <w:highlight w:val="none"/>
              </w:rPr>
              <w:t>……</w:t>
            </w:r>
          </w:p>
        </w:tc>
        <w:tc>
          <w:tcPr>
            <w:tcW w:w="992" w:type="dxa"/>
            <w:tcBorders>
              <w:top w:val="single" w:color="auto" w:sz="4" w:space="0"/>
              <w:left w:val="nil"/>
              <w:bottom w:val="single" w:color="auto" w:sz="4" w:space="0"/>
              <w:right w:val="single" w:color="auto" w:sz="4" w:space="0"/>
            </w:tcBorders>
            <w:noWrap/>
            <w:vAlign w:val="center"/>
          </w:tcPr>
          <w:p>
            <w:pPr>
              <w:spacing w:line="360" w:lineRule="auto"/>
              <w:jc w:val="center"/>
              <w:rPr>
                <w:rFonts w:cs="宋体"/>
                <w:highlight w:val="none"/>
              </w:rPr>
            </w:pPr>
          </w:p>
        </w:tc>
        <w:tc>
          <w:tcPr>
            <w:tcW w:w="709" w:type="dxa"/>
            <w:tcBorders>
              <w:top w:val="single" w:color="auto" w:sz="4" w:space="0"/>
              <w:left w:val="nil"/>
              <w:bottom w:val="single" w:color="auto" w:sz="4" w:space="0"/>
              <w:right w:val="single" w:color="auto" w:sz="4" w:space="0"/>
            </w:tcBorders>
            <w:noWrap/>
            <w:vAlign w:val="center"/>
          </w:tcPr>
          <w:p>
            <w:pPr>
              <w:spacing w:line="360" w:lineRule="auto"/>
              <w:jc w:val="center"/>
              <w:rPr>
                <w:rFonts w:cs="宋体"/>
                <w:highlight w:val="none"/>
              </w:rPr>
            </w:pPr>
          </w:p>
        </w:tc>
        <w:tc>
          <w:tcPr>
            <w:tcW w:w="707" w:type="dxa"/>
            <w:tcBorders>
              <w:top w:val="single" w:color="auto" w:sz="4" w:space="0"/>
              <w:left w:val="nil"/>
              <w:bottom w:val="single" w:color="auto" w:sz="4" w:space="0"/>
              <w:right w:val="single" w:color="auto" w:sz="4" w:space="0"/>
            </w:tcBorders>
            <w:noWrap/>
            <w:vAlign w:val="center"/>
          </w:tcPr>
          <w:p>
            <w:pPr>
              <w:spacing w:line="360" w:lineRule="auto"/>
              <w:jc w:val="center"/>
              <w:rPr>
                <w:rFonts w:cs="宋体"/>
                <w:highlight w:val="none"/>
              </w:rPr>
            </w:pPr>
          </w:p>
        </w:tc>
        <w:tc>
          <w:tcPr>
            <w:tcW w:w="709" w:type="dxa"/>
            <w:tcBorders>
              <w:top w:val="single" w:color="auto" w:sz="4" w:space="0"/>
              <w:left w:val="nil"/>
              <w:bottom w:val="single" w:color="auto" w:sz="4" w:space="0"/>
              <w:right w:val="single" w:color="auto" w:sz="4" w:space="0"/>
            </w:tcBorders>
            <w:noWrap/>
            <w:vAlign w:val="center"/>
          </w:tcPr>
          <w:p>
            <w:pPr>
              <w:spacing w:line="360" w:lineRule="auto"/>
              <w:jc w:val="center"/>
              <w:rPr>
                <w:rFonts w:cs="宋体"/>
                <w:highlight w:val="none"/>
              </w:rPr>
            </w:pPr>
          </w:p>
        </w:tc>
        <w:tc>
          <w:tcPr>
            <w:tcW w:w="1058" w:type="dxa"/>
            <w:tcBorders>
              <w:top w:val="single" w:color="auto" w:sz="4" w:space="0"/>
              <w:left w:val="nil"/>
              <w:bottom w:val="single" w:color="auto" w:sz="4" w:space="0"/>
              <w:right w:val="single" w:color="auto" w:sz="4" w:space="0"/>
            </w:tcBorders>
            <w:noWrap/>
            <w:vAlign w:val="center"/>
          </w:tcPr>
          <w:p>
            <w:pPr>
              <w:spacing w:line="360" w:lineRule="auto"/>
              <w:jc w:val="center"/>
              <w:rPr>
                <w:rFonts w:cs="宋体"/>
                <w:highlight w:val="none"/>
              </w:rPr>
            </w:pPr>
          </w:p>
        </w:tc>
        <w:tc>
          <w:tcPr>
            <w:tcW w:w="960" w:type="dxa"/>
            <w:tcBorders>
              <w:top w:val="single" w:color="auto" w:sz="4" w:space="0"/>
              <w:left w:val="nil"/>
              <w:bottom w:val="single" w:color="auto" w:sz="4" w:space="0"/>
              <w:right w:val="single" w:color="auto" w:sz="4" w:space="0"/>
            </w:tcBorders>
            <w:noWrap/>
            <w:vAlign w:val="center"/>
          </w:tcPr>
          <w:p>
            <w:pPr>
              <w:spacing w:line="360" w:lineRule="auto"/>
              <w:jc w:val="center"/>
              <w:rPr>
                <w:rFonts w:cs="宋体"/>
                <w:highlight w:val="none"/>
              </w:rPr>
            </w:pPr>
          </w:p>
        </w:tc>
        <w:tc>
          <w:tcPr>
            <w:tcW w:w="1241" w:type="dxa"/>
            <w:tcBorders>
              <w:top w:val="single" w:color="auto" w:sz="4" w:space="0"/>
              <w:left w:val="nil"/>
              <w:bottom w:val="single" w:color="auto" w:sz="4" w:space="0"/>
              <w:right w:val="single" w:color="auto" w:sz="4" w:space="0"/>
            </w:tcBorders>
            <w:noWrap/>
            <w:vAlign w:val="center"/>
          </w:tcPr>
          <w:p>
            <w:pPr>
              <w:spacing w:line="360" w:lineRule="auto"/>
              <w:jc w:val="center"/>
              <w:rPr>
                <w:rFonts w:cs="宋体"/>
                <w:highlight w:val="none"/>
              </w:rPr>
            </w:pPr>
          </w:p>
        </w:tc>
        <w:tc>
          <w:tcPr>
            <w:tcW w:w="1070" w:type="dxa"/>
            <w:tcBorders>
              <w:top w:val="single" w:color="auto" w:sz="4" w:space="0"/>
              <w:left w:val="nil"/>
              <w:bottom w:val="single" w:color="auto" w:sz="4" w:space="0"/>
              <w:right w:val="single" w:color="auto" w:sz="4" w:space="0"/>
            </w:tcBorders>
            <w:noWrap/>
            <w:vAlign w:val="center"/>
          </w:tcPr>
          <w:p>
            <w:pPr>
              <w:spacing w:line="360" w:lineRule="auto"/>
              <w:jc w:val="center"/>
              <w:rPr>
                <w:rFonts w:cs="宋体"/>
                <w:highlight w:val="none"/>
              </w:rPr>
            </w:pPr>
          </w:p>
        </w:tc>
      </w:tr>
    </w:tbl>
    <w:p>
      <w:pPr>
        <w:spacing w:line="360" w:lineRule="auto"/>
        <w:rPr>
          <w:rFonts w:cs="宋体"/>
          <w:highlight w:val="none"/>
        </w:rPr>
      </w:pPr>
    </w:p>
    <w:p>
      <w:pPr>
        <w:spacing w:line="360" w:lineRule="auto"/>
        <w:rPr>
          <w:rFonts w:cs="宋体"/>
          <w:b/>
          <w:bCs/>
          <w:highlight w:val="none"/>
        </w:rPr>
      </w:pPr>
      <w:r>
        <w:rPr>
          <w:rFonts w:hint="eastAsia" w:cs="宋体"/>
          <w:b/>
          <w:bCs/>
          <w:highlight w:val="none"/>
        </w:rPr>
        <w:t>特别说明：供应商应将所投产品中属于节能、环境标志产品分别列入上表中，并提供相关证明文件，未填写本表或证明资料不全的不给予价格扣除。环境标志产品政府采购品目清单，节能产品政府采购品目清单，节能、环境标志产品品目清单及认证机构见附件。</w:t>
      </w:r>
    </w:p>
    <w:p>
      <w:pPr>
        <w:spacing w:line="480" w:lineRule="exact"/>
        <w:jc w:val="center"/>
        <w:rPr>
          <w:rFonts w:cs="宋体"/>
          <w:b/>
          <w:bCs/>
          <w:highlight w:val="none"/>
        </w:rPr>
      </w:pPr>
    </w:p>
    <w:p>
      <w:pPr>
        <w:spacing w:line="480" w:lineRule="exact"/>
        <w:jc w:val="center"/>
        <w:rPr>
          <w:rFonts w:cs="宋体"/>
          <w:b/>
          <w:bCs/>
          <w:sz w:val="28"/>
          <w:szCs w:val="28"/>
          <w:highlight w:val="none"/>
        </w:rPr>
      </w:pPr>
    </w:p>
    <w:bookmarkEnd w:id="165"/>
    <w:bookmarkEnd w:id="166"/>
    <w:bookmarkEnd w:id="167"/>
    <w:bookmarkEnd w:id="168"/>
    <w:bookmarkEnd w:id="169"/>
    <w:bookmarkEnd w:id="170"/>
    <w:p>
      <w:pPr>
        <w:adjustRightInd w:val="0"/>
        <w:snapToGrid w:val="0"/>
        <w:spacing w:line="360" w:lineRule="auto"/>
        <w:rPr>
          <w:rFonts w:cs="宋体"/>
          <w:kern w:val="0"/>
          <w:highlight w:val="none"/>
        </w:rPr>
      </w:pPr>
      <w:r>
        <w:rPr>
          <w:rFonts w:hint="eastAsia" w:cs="宋体"/>
          <w:kern w:val="0"/>
          <w:highlight w:val="none"/>
        </w:rPr>
        <w:t>供应商名称（公章）：</w:t>
      </w:r>
    </w:p>
    <w:p>
      <w:pPr>
        <w:adjustRightInd w:val="0"/>
        <w:snapToGrid w:val="0"/>
        <w:spacing w:line="360" w:lineRule="auto"/>
        <w:rPr>
          <w:rFonts w:cs="宋体"/>
          <w:kern w:val="0"/>
          <w:highlight w:val="none"/>
          <w:u w:val="single"/>
        </w:rPr>
      </w:pPr>
      <w:r>
        <w:rPr>
          <w:rFonts w:hint="eastAsia" w:cs="宋体"/>
          <w:kern w:val="0"/>
          <w:highlight w:val="none"/>
        </w:rPr>
        <w:t>法定代表人（签字或盖章）或</w:t>
      </w:r>
      <w:r>
        <w:rPr>
          <w:rFonts w:hint="eastAsia" w:cs="宋体"/>
          <w:highlight w:val="none"/>
        </w:rPr>
        <w:t>授权委托人</w:t>
      </w:r>
      <w:r>
        <w:rPr>
          <w:rFonts w:hint="eastAsia" w:cs="宋体"/>
          <w:kern w:val="0"/>
          <w:highlight w:val="none"/>
        </w:rPr>
        <w:t>（签字）：</w:t>
      </w:r>
    </w:p>
    <w:p>
      <w:pPr>
        <w:spacing w:line="360" w:lineRule="auto"/>
        <w:rPr>
          <w:rFonts w:cs="宋体"/>
          <w:b/>
          <w:bCs/>
          <w:highlight w:val="none"/>
        </w:rPr>
      </w:pPr>
      <w:r>
        <w:rPr>
          <w:rFonts w:hint="eastAsia" w:cs="宋体"/>
          <w:highlight w:val="none"/>
        </w:rPr>
        <w:t>日期：年月</w:t>
      </w:r>
      <w:r>
        <w:rPr>
          <w:rFonts w:hint="eastAsia" w:cs="宋体"/>
          <w:kern w:val="0"/>
          <w:highlight w:val="none"/>
        </w:rPr>
        <w:t>日</w:t>
      </w:r>
    </w:p>
    <w:p>
      <w:pPr>
        <w:spacing w:line="500" w:lineRule="exact"/>
        <w:ind w:right="420"/>
        <w:jc w:val="center"/>
        <w:rPr>
          <w:rFonts w:cs="宋体"/>
          <w:b/>
          <w:sz w:val="28"/>
          <w:szCs w:val="28"/>
          <w:highlight w:val="none"/>
        </w:rPr>
      </w:pPr>
      <w:r>
        <w:rPr>
          <w:rFonts w:hint="eastAsia" w:cs="宋体"/>
          <w:highlight w:val="none"/>
        </w:rPr>
        <w:br w:type="page"/>
      </w:r>
      <w:bookmarkStart w:id="175" w:name="_Toc6097"/>
      <w:bookmarkStart w:id="176" w:name="_Toc6679_WPSOffice_Level1"/>
      <w:bookmarkStart w:id="177" w:name="_Toc3630"/>
      <w:bookmarkStart w:id="178" w:name="_Toc15360_WPSOffice_Level1"/>
      <w:bookmarkStart w:id="179" w:name="_Toc29876"/>
      <w:bookmarkStart w:id="180" w:name="_Toc11699"/>
      <w:bookmarkStart w:id="181" w:name="_Toc19253"/>
      <w:bookmarkStart w:id="182" w:name="_Toc4234"/>
      <w:bookmarkStart w:id="183" w:name="_Toc18925"/>
      <w:bookmarkStart w:id="184" w:name="_Toc5594"/>
      <w:bookmarkStart w:id="185" w:name="_Toc16370"/>
      <w:bookmarkStart w:id="186" w:name="_Toc16223"/>
      <w:bookmarkStart w:id="187" w:name="_Toc1824"/>
      <w:r>
        <w:rPr>
          <w:rFonts w:hint="eastAsia" w:cs="宋体"/>
          <w:b/>
          <w:sz w:val="28"/>
          <w:szCs w:val="28"/>
          <w:highlight w:val="none"/>
        </w:rPr>
        <w:t>十一、技术文件</w:t>
      </w:r>
    </w:p>
    <w:p>
      <w:pPr>
        <w:tabs>
          <w:tab w:val="center" w:pos="4153"/>
          <w:tab w:val="right" w:pos="8306"/>
        </w:tabs>
        <w:snapToGrid w:val="0"/>
        <w:spacing w:line="360" w:lineRule="auto"/>
        <w:jc w:val="left"/>
        <w:rPr>
          <w:rFonts w:cs="宋体"/>
          <w:sz w:val="18"/>
          <w:highlight w:val="none"/>
        </w:rPr>
      </w:pPr>
    </w:p>
    <w:p>
      <w:pPr>
        <w:spacing w:line="360" w:lineRule="auto"/>
        <w:ind w:firstLine="528" w:firstLineChars="200"/>
        <w:jc w:val="left"/>
        <w:rPr>
          <w:rFonts w:cs="宋体"/>
          <w:spacing w:val="-8"/>
          <w:sz w:val="28"/>
          <w:szCs w:val="28"/>
          <w:highlight w:val="none"/>
        </w:rPr>
      </w:pPr>
      <w:bookmarkStart w:id="188" w:name="_Toc23104"/>
      <w:bookmarkStart w:id="189" w:name="_Toc10229"/>
      <w:r>
        <w:rPr>
          <w:rFonts w:hint="eastAsia" w:cs="宋体"/>
          <w:spacing w:val="-8"/>
          <w:sz w:val="28"/>
          <w:szCs w:val="28"/>
          <w:highlight w:val="none"/>
        </w:rPr>
        <w:t>包括但不限于以下内容：</w:t>
      </w:r>
    </w:p>
    <w:bookmarkEnd w:id="188"/>
    <w:bookmarkEnd w:id="189"/>
    <w:p>
      <w:pPr>
        <w:spacing w:beforeLines="50" w:afterLines="100" w:line="440" w:lineRule="exact"/>
        <w:ind w:firstLine="964" w:firstLineChars="400"/>
        <w:rPr>
          <w:rFonts w:cs="宋体"/>
          <w:b/>
          <w:highlight w:val="none"/>
        </w:rPr>
      </w:pPr>
      <w:r>
        <w:rPr>
          <w:rFonts w:hint="eastAsia" w:cs="宋体"/>
          <w:b/>
          <w:highlight w:val="none"/>
        </w:rPr>
        <w:t>1、服务方案</w:t>
      </w:r>
    </w:p>
    <w:p>
      <w:pPr>
        <w:spacing w:beforeLines="50" w:afterLines="100" w:line="440" w:lineRule="exact"/>
        <w:ind w:firstLine="964" w:firstLineChars="400"/>
        <w:rPr>
          <w:rFonts w:cs="宋体"/>
          <w:b/>
          <w:highlight w:val="none"/>
        </w:rPr>
      </w:pPr>
      <w:r>
        <w:rPr>
          <w:rFonts w:hint="eastAsia" w:cs="宋体"/>
          <w:b/>
          <w:highlight w:val="none"/>
        </w:rPr>
        <w:t>2、餐饮菜品内容规划与设计方案</w:t>
      </w:r>
    </w:p>
    <w:p>
      <w:pPr>
        <w:spacing w:beforeLines="50" w:afterLines="100" w:line="440" w:lineRule="exact"/>
        <w:ind w:firstLine="964" w:firstLineChars="400"/>
        <w:rPr>
          <w:rFonts w:cs="宋体"/>
          <w:b/>
          <w:highlight w:val="none"/>
        </w:rPr>
      </w:pPr>
      <w:r>
        <w:rPr>
          <w:rFonts w:hint="eastAsia" w:cs="宋体"/>
          <w:b/>
          <w:highlight w:val="none"/>
        </w:rPr>
        <w:t>3、特色服务</w:t>
      </w:r>
    </w:p>
    <w:p>
      <w:pPr>
        <w:spacing w:beforeLines="50" w:afterLines="100" w:line="440" w:lineRule="exact"/>
        <w:ind w:firstLine="964" w:firstLineChars="400"/>
        <w:rPr>
          <w:rFonts w:cs="宋体"/>
          <w:b/>
          <w:highlight w:val="none"/>
        </w:rPr>
      </w:pPr>
      <w:r>
        <w:rPr>
          <w:rFonts w:hint="eastAsia" w:cs="宋体"/>
          <w:b/>
          <w:highlight w:val="none"/>
        </w:rPr>
        <w:t>4、项目团队人员</w:t>
      </w:r>
    </w:p>
    <w:p>
      <w:pPr>
        <w:spacing w:beforeLines="50" w:afterLines="100" w:line="440" w:lineRule="exact"/>
        <w:ind w:firstLine="964" w:firstLineChars="400"/>
        <w:rPr>
          <w:rFonts w:cs="宋体"/>
          <w:b/>
          <w:highlight w:val="none"/>
        </w:rPr>
      </w:pPr>
      <w:r>
        <w:rPr>
          <w:rFonts w:hint="eastAsia" w:cs="宋体"/>
          <w:b/>
          <w:highlight w:val="none"/>
        </w:rPr>
        <w:t>5、员工管理方案</w:t>
      </w:r>
    </w:p>
    <w:p>
      <w:pPr>
        <w:spacing w:beforeLines="50" w:afterLines="100" w:line="440" w:lineRule="exact"/>
        <w:ind w:firstLine="964" w:firstLineChars="400"/>
        <w:rPr>
          <w:rFonts w:cs="宋体"/>
          <w:b/>
          <w:highlight w:val="none"/>
        </w:rPr>
      </w:pPr>
      <w:r>
        <w:rPr>
          <w:rFonts w:hint="eastAsia" w:cs="宋体"/>
          <w:b/>
          <w:highlight w:val="none"/>
        </w:rPr>
        <w:t>6、食堂运营管理制度</w:t>
      </w:r>
    </w:p>
    <w:p>
      <w:pPr>
        <w:spacing w:beforeLines="50" w:afterLines="100" w:line="440" w:lineRule="exact"/>
        <w:ind w:firstLine="964" w:firstLineChars="400"/>
        <w:rPr>
          <w:rFonts w:cs="宋体"/>
          <w:b/>
          <w:highlight w:val="none"/>
        </w:rPr>
      </w:pPr>
      <w:r>
        <w:rPr>
          <w:rFonts w:hint="eastAsia" w:cs="宋体"/>
          <w:b/>
          <w:highlight w:val="none"/>
        </w:rPr>
        <w:t>7、食堂餐具消毒管理</w:t>
      </w:r>
    </w:p>
    <w:p>
      <w:pPr>
        <w:spacing w:beforeLines="50" w:afterLines="100" w:line="440" w:lineRule="exact"/>
        <w:ind w:firstLine="964" w:firstLineChars="400"/>
        <w:rPr>
          <w:rFonts w:cs="宋体"/>
          <w:b/>
          <w:highlight w:val="none"/>
        </w:rPr>
      </w:pPr>
      <w:r>
        <w:rPr>
          <w:rFonts w:hint="eastAsia" w:cs="宋体"/>
          <w:b/>
          <w:highlight w:val="none"/>
        </w:rPr>
        <w:t>8、服务质量与投诉解决发方案</w:t>
      </w:r>
    </w:p>
    <w:p>
      <w:pPr>
        <w:spacing w:beforeLines="50" w:afterLines="100" w:line="440" w:lineRule="exact"/>
        <w:ind w:firstLine="964" w:firstLineChars="400"/>
        <w:rPr>
          <w:rFonts w:cs="宋体"/>
          <w:b/>
          <w:highlight w:val="none"/>
        </w:rPr>
      </w:pPr>
      <w:r>
        <w:rPr>
          <w:rFonts w:hint="eastAsia" w:cs="宋体"/>
          <w:b/>
          <w:highlight w:val="none"/>
        </w:rPr>
        <w:t>9、应急预案</w:t>
      </w:r>
    </w:p>
    <w:p>
      <w:pPr>
        <w:tabs>
          <w:tab w:val="center" w:pos="4153"/>
          <w:tab w:val="right" w:pos="8306"/>
        </w:tabs>
        <w:snapToGrid w:val="0"/>
        <w:spacing w:line="360" w:lineRule="auto"/>
        <w:jc w:val="left"/>
        <w:rPr>
          <w:rFonts w:cs="宋体"/>
          <w:sz w:val="18"/>
          <w:highlight w:val="none"/>
        </w:rPr>
      </w:pPr>
    </w:p>
    <w:p>
      <w:pPr>
        <w:rPr>
          <w:rFonts w:cs="宋体"/>
          <w:highlight w:val="none"/>
        </w:rPr>
        <w:sectPr>
          <w:pgSz w:w="11906" w:h="16838"/>
          <w:pgMar w:top="1247" w:right="1247" w:bottom="1247" w:left="1247" w:header="850" w:footer="850" w:gutter="0"/>
          <w:cols w:space="425" w:num="1"/>
          <w:docGrid w:type="lines" w:linePitch="312" w:charSpace="0"/>
        </w:sectPr>
      </w:pPr>
    </w:p>
    <w:p>
      <w:pPr>
        <w:adjustRightInd w:val="0"/>
        <w:snapToGrid w:val="0"/>
        <w:spacing w:line="360" w:lineRule="auto"/>
        <w:ind w:firstLine="562" w:firstLineChars="200"/>
        <w:jc w:val="center"/>
        <w:rPr>
          <w:rFonts w:cs="宋体"/>
          <w:b/>
          <w:sz w:val="28"/>
          <w:szCs w:val="28"/>
          <w:highlight w:val="none"/>
        </w:rPr>
      </w:pPr>
      <w:r>
        <w:rPr>
          <w:rFonts w:hint="eastAsia" w:cs="宋体"/>
          <w:b/>
          <w:sz w:val="28"/>
          <w:szCs w:val="28"/>
          <w:highlight w:val="none"/>
        </w:rPr>
        <w:t>十二、技术偏离表</w:t>
      </w:r>
    </w:p>
    <w:p>
      <w:pPr>
        <w:spacing w:before="22" w:line="360" w:lineRule="auto"/>
        <w:rPr>
          <w:rFonts w:cs="宋体"/>
          <w:highlight w:val="none"/>
        </w:rPr>
      </w:pPr>
    </w:p>
    <w:tbl>
      <w:tblPr>
        <w:tblStyle w:val="35"/>
        <w:tblW w:w="9367" w:type="dxa"/>
        <w:tblInd w:w="4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8"/>
        <w:gridCol w:w="2243"/>
        <w:gridCol w:w="2166"/>
        <w:gridCol w:w="1884"/>
        <w:gridCol w:w="1416"/>
        <w:gridCol w:w="8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45" w:hRule="atLeast"/>
        </w:trPr>
        <w:tc>
          <w:tcPr>
            <w:tcW w:w="808" w:type="dxa"/>
            <w:shd w:val="clear" w:color="auto" w:fill="E7E6E6"/>
          </w:tcPr>
          <w:p>
            <w:pPr>
              <w:spacing w:line="301" w:lineRule="auto"/>
              <w:jc w:val="center"/>
              <w:rPr>
                <w:rFonts w:cs="宋体"/>
                <w:sz w:val="21"/>
                <w:highlight w:val="none"/>
              </w:rPr>
            </w:pPr>
          </w:p>
          <w:p>
            <w:pPr>
              <w:spacing w:before="65" w:line="229" w:lineRule="auto"/>
              <w:ind w:left="198"/>
              <w:jc w:val="center"/>
              <w:rPr>
                <w:rFonts w:cs="宋体"/>
                <w:highlight w:val="none"/>
                <w:lang w:eastAsia="en-US"/>
              </w:rPr>
            </w:pPr>
            <w:r>
              <w:rPr>
                <w:rFonts w:hint="eastAsia" w:cs="宋体"/>
                <w:b/>
                <w:bCs/>
                <w:spacing w:val="4"/>
                <w:highlight w:val="none"/>
                <w:lang w:eastAsia="en-US"/>
              </w:rPr>
              <w:t>序号</w:t>
            </w:r>
          </w:p>
        </w:tc>
        <w:tc>
          <w:tcPr>
            <w:tcW w:w="2243" w:type="dxa"/>
            <w:shd w:val="clear" w:color="auto" w:fill="E7E6E6"/>
          </w:tcPr>
          <w:p>
            <w:pPr>
              <w:spacing w:line="301" w:lineRule="auto"/>
              <w:jc w:val="center"/>
              <w:rPr>
                <w:rFonts w:cs="宋体"/>
                <w:sz w:val="21"/>
                <w:highlight w:val="none"/>
              </w:rPr>
            </w:pPr>
          </w:p>
          <w:p>
            <w:pPr>
              <w:spacing w:before="65" w:line="228" w:lineRule="auto"/>
              <w:ind w:left="266"/>
              <w:jc w:val="center"/>
              <w:rPr>
                <w:rFonts w:cs="宋体"/>
                <w:highlight w:val="none"/>
                <w:lang w:eastAsia="en-US"/>
              </w:rPr>
            </w:pPr>
            <w:r>
              <w:rPr>
                <w:rFonts w:hint="eastAsia" w:cs="宋体"/>
                <w:b/>
                <w:bCs/>
                <w:spacing w:val="7"/>
                <w:highlight w:val="none"/>
                <w:lang w:eastAsia="en-US"/>
              </w:rPr>
              <w:t>招标文件条目号</w:t>
            </w:r>
          </w:p>
        </w:tc>
        <w:tc>
          <w:tcPr>
            <w:tcW w:w="2166" w:type="dxa"/>
            <w:shd w:val="clear" w:color="auto" w:fill="E7E6E6"/>
          </w:tcPr>
          <w:p>
            <w:pPr>
              <w:spacing w:before="133" w:line="370" w:lineRule="auto"/>
              <w:ind w:left="373" w:right="364" w:hanging="3"/>
              <w:jc w:val="center"/>
              <w:rPr>
                <w:rFonts w:cs="宋体"/>
                <w:b/>
                <w:bCs/>
                <w:spacing w:val="6"/>
                <w:highlight w:val="none"/>
                <w:lang w:eastAsia="en-US"/>
              </w:rPr>
            </w:pPr>
            <w:r>
              <w:rPr>
                <w:rFonts w:hint="eastAsia" w:cs="宋体"/>
                <w:b/>
                <w:bCs/>
                <w:spacing w:val="6"/>
                <w:highlight w:val="none"/>
                <w:lang w:eastAsia="en-US"/>
              </w:rPr>
              <w:t>招标文件</w:t>
            </w:r>
          </w:p>
          <w:p>
            <w:pPr>
              <w:spacing w:before="133" w:line="370" w:lineRule="auto"/>
              <w:ind w:left="373" w:right="364" w:hanging="3"/>
              <w:jc w:val="center"/>
              <w:rPr>
                <w:rFonts w:cs="宋体"/>
                <w:highlight w:val="none"/>
                <w:lang w:eastAsia="en-US"/>
              </w:rPr>
            </w:pPr>
            <w:r>
              <w:rPr>
                <w:rFonts w:hint="eastAsia" w:cs="宋体"/>
                <w:b/>
                <w:bCs/>
                <w:spacing w:val="5"/>
                <w:highlight w:val="none"/>
              </w:rPr>
              <w:t>技术</w:t>
            </w:r>
            <w:r>
              <w:rPr>
                <w:rFonts w:hint="eastAsia" w:cs="宋体"/>
                <w:b/>
                <w:bCs/>
                <w:spacing w:val="5"/>
                <w:highlight w:val="none"/>
                <w:lang w:eastAsia="en-US"/>
              </w:rPr>
              <w:t>条款</w:t>
            </w:r>
          </w:p>
        </w:tc>
        <w:tc>
          <w:tcPr>
            <w:tcW w:w="1884" w:type="dxa"/>
            <w:shd w:val="clear" w:color="auto" w:fill="E7E6E6"/>
          </w:tcPr>
          <w:p>
            <w:pPr>
              <w:spacing w:before="133" w:line="370" w:lineRule="auto"/>
              <w:ind w:left="376" w:right="362" w:hanging="1"/>
              <w:jc w:val="center"/>
              <w:rPr>
                <w:rFonts w:cs="宋体"/>
                <w:b/>
                <w:bCs/>
                <w:spacing w:val="5"/>
                <w:highlight w:val="none"/>
                <w:lang w:eastAsia="en-US"/>
              </w:rPr>
            </w:pPr>
            <w:r>
              <w:rPr>
                <w:rFonts w:hint="eastAsia" w:cs="宋体"/>
                <w:b/>
                <w:bCs/>
                <w:spacing w:val="5"/>
                <w:highlight w:val="none"/>
                <w:lang w:eastAsia="en-US"/>
              </w:rPr>
              <w:t>投标文件</w:t>
            </w:r>
          </w:p>
          <w:p>
            <w:pPr>
              <w:spacing w:before="133" w:line="370" w:lineRule="auto"/>
              <w:ind w:left="376" w:right="362" w:hanging="1"/>
              <w:jc w:val="center"/>
              <w:rPr>
                <w:rFonts w:cs="宋体"/>
                <w:highlight w:val="none"/>
                <w:lang w:eastAsia="en-US"/>
              </w:rPr>
            </w:pPr>
            <w:r>
              <w:rPr>
                <w:rFonts w:hint="eastAsia" w:cs="宋体"/>
                <w:b/>
                <w:bCs/>
                <w:spacing w:val="5"/>
                <w:highlight w:val="none"/>
              </w:rPr>
              <w:t>技术</w:t>
            </w:r>
            <w:r>
              <w:rPr>
                <w:rFonts w:hint="eastAsia" w:cs="宋体"/>
                <w:b/>
                <w:bCs/>
                <w:spacing w:val="5"/>
                <w:highlight w:val="none"/>
                <w:lang w:eastAsia="en-US"/>
              </w:rPr>
              <w:t>条款</w:t>
            </w:r>
          </w:p>
        </w:tc>
        <w:tc>
          <w:tcPr>
            <w:tcW w:w="1416" w:type="dxa"/>
            <w:shd w:val="clear" w:color="auto" w:fill="E7E6E6"/>
          </w:tcPr>
          <w:p>
            <w:pPr>
              <w:spacing w:line="301" w:lineRule="auto"/>
              <w:jc w:val="center"/>
              <w:rPr>
                <w:rFonts w:cs="宋体"/>
                <w:sz w:val="21"/>
                <w:highlight w:val="none"/>
              </w:rPr>
            </w:pPr>
          </w:p>
          <w:p>
            <w:pPr>
              <w:spacing w:before="65" w:line="228" w:lineRule="auto"/>
              <w:ind w:left="161"/>
              <w:jc w:val="center"/>
              <w:rPr>
                <w:rFonts w:cs="宋体"/>
                <w:highlight w:val="none"/>
                <w:lang w:eastAsia="en-US"/>
              </w:rPr>
            </w:pPr>
            <w:r>
              <w:rPr>
                <w:rFonts w:hint="eastAsia" w:cs="宋体"/>
                <w:b/>
                <w:bCs/>
                <w:spacing w:val="6"/>
                <w:highlight w:val="none"/>
                <w:lang w:eastAsia="en-US"/>
              </w:rPr>
              <w:t>偏离情况</w:t>
            </w:r>
          </w:p>
        </w:tc>
        <w:tc>
          <w:tcPr>
            <w:tcW w:w="850" w:type="dxa"/>
            <w:shd w:val="clear" w:color="auto" w:fill="E7E6E6"/>
          </w:tcPr>
          <w:p>
            <w:pPr>
              <w:spacing w:line="301" w:lineRule="auto"/>
              <w:jc w:val="center"/>
              <w:rPr>
                <w:rFonts w:cs="宋体"/>
                <w:sz w:val="21"/>
                <w:highlight w:val="none"/>
              </w:rPr>
            </w:pPr>
          </w:p>
          <w:p>
            <w:pPr>
              <w:spacing w:before="65" w:line="228" w:lineRule="auto"/>
              <w:jc w:val="center"/>
              <w:rPr>
                <w:rFonts w:cs="宋体"/>
                <w:highlight w:val="none"/>
                <w:lang w:eastAsia="en-US"/>
              </w:rPr>
            </w:pPr>
            <w:r>
              <w:rPr>
                <w:rFonts w:hint="eastAsia" w:cs="宋体"/>
                <w:b/>
                <w:bCs/>
                <w:spacing w:val="2"/>
                <w:highlight w:val="none"/>
                <w:lang w:eastAsia="en-US"/>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08" w:type="dxa"/>
          </w:tcPr>
          <w:p>
            <w:pPr>
              <w:spacing w:before="211" w:line="189" w:lineRule="auto"/>
              <w:ind w:left="371"/>
              <w:rPr>
                <w:rFonts w:cs="宋体"/>
                <w:highlight w:val="none"/>
                <w:lang w:eastAsia="en-US"/>
              </w:rPr>
            </w:pPr>
            <w:r>
              <w:rPr>
                <w:rFonts w:hint="eastAsia" w:cs="宋体"/>
                <w:highlight w:val="none"/>
                <w:lang w:eastAsia="en-US"/>
              </w:rPr>
              <w:t>1</w:t>
            </w:r>
          </w:p>
        </w:tc>
        <w:tc>
          <w:tcPr>
            <w:tcW w:w="2243" w:type="dxa"/>
          </w:tcPr>
          <w:p>
            <w:pPr>
              <w:spacing w:line="360" w:lineRule="auto"/>
              <w:rPr>
                <w:rFonts w:cs="宋体"/>
                <w:sz w:val="21"/>
                <w:highlight w:val="none"/>
              </w:rPr>
            </w:pPr>
          </w:p>
        </w:tc>
        <w:tc>
          <w:tcPr>
            <w:tcW w:w="2166" w:type="dxa"/>
          </w:tcPr>
          <w:p>
            <w:pPr>
              <w:spacing w:line="360" w:lineRule="auto"/>
              <w:rPr>
                <w:rFonts w:cs="宋体"/>
                <w:sz w:val="21"/>
                <w:highlight w:val="none"/>
              </w:rPr>
            </w:pPr>
          </w:p>
        </w:tc>
        <w:tc>
          <w:tcPr>
            <w:tcW w:w="1884" w:type="dxa"/>
          </w:tcPr>
          <w:p>
            <w:pPr>
              <w:spacing w:line="360" w:lineRule="auto"/>
              <w:rPr>
                <w:rFonts w:cs="宋体"/>
                <w:sz w:val="21"/>
                <w:highlight w:val="none"/>
              </w:rPr>
            </w:pPr>
          </w:p>
        </w:tc>
        <w:tc>
          <w:tcPr>
            <w:tcW w:w="1416" w:type="dxa"/>
          </w:tcPr>
          <w:p>
            <w:pPr>
              <w:spacing w:line="360" w:lineRule="auto"/>
              <w:rPr>
                <w:rFonts w:cs="宋体"/>
                <w:sz w:val="21"/>
                <w:highlight w:val="none"/>
              </w:rPr>
            </w:pPr>
          </w:p>
        </w:tc>
        <w:tc>
          <w:tcPr>
            <w:tcW w:w="850" w:type="dxa"/>
          </w:tcPr>
          <w:p>
            <w:pPr>
              <w:spacing w:line="360" w:lineRule="auto"/>
              <w:rPr>
                <w:rFonts w:cs="宋体"/>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08" w:type="dxa"/>
          </w:tcPr>
          <w:p>
            <w:pPr>
              <w:spacing w:before="211" w:line="189" w:lineRule="auto"/>
              <w:ind w:left="358"/>
              <w:rPr>
                <w:rFonts w:cs="宋体"/>
                <w:highlight w:val="none"/>
                <w:lang w:eastAsia="en-US"/>
              </w:rPr>
            </w:pPr>
            <w:r>
              <w:rPr>
                <w:rFonts w:hint="eastAsia" w:cs="宋体"/>
                <w:highlight w:val="none"/>
                <w:lang w:eastAsia="en-US"/>
              </w:rPr>
              <w:t>2</w:t>
            </w:r>
          </w:p>
        </w:tc>
        <w:tc>
          <w:tcPr>
            <w:tcW w:w="2243" w:type="dxa"/>
          </w:tcPr>
          <w:p>
            <w:pPr>
              <w:spacing w:line="360" w:lineRule="auto"/>
              <w:rPr>
                <w:rFonts w:cs="宋体"/>
                <w:sz w:val="21"/>
                <w:highlight w:val="none"/>
              </w:rPr>
            </w:pPr>
          </w:p>
        </w:tc>
        <w:tc>
          <w:tcPr>
            <w:tcW w:w="2166" w:type="dxa"/>
          </w:tcPr>
          <w:p>
            <w:pPr>
              <w:spacing w:line="360" w:lineRule="auto"/>
              <w:rPr>
                <w:rFonts w:cs="宋体"/>
                <w:sz w:val="21"/>
                <w:highlight w:val="none"/>
              </w:rPr>
            </w:pPr>
          </w:p>
        </w:tc>
        <w:tc>
          <w:tcPr>
            <w:tcW w:w="1884" w:type="dxa"/>
          </w:tcPr>
          <w:p>
            <w:pPr>
              <w:spacing w:line="360" w:lineRule="auto"/>
              <w:rPr>
                <w:rFonts w:cs="宋体"/>
                <w:sz w:val="21"/>
                <w:highlight w:val="none"/>
              </w:rPr>
            </w:pPr>
          </w:p>
        </w:tc>
        <w:tc>
          <w:tcPr>
            <w:tcW w:w="1416" w:type="dxa"/>
          </w:tcPr>
          <w:p>
            <w:pPr>
              <w:spacing w:line="360" w:lineRule="auto"/>
              <w:rPr>
                <w:rFonts w:cs="宋体"/>
                <w:sz w:val="21"/>
                <w:highlight w:val="none"/>
              </w:rPr>
            </w:pPr>
          </w:p>
        </w:tc>
        <w:tc>
          <w:tcPr>
            <w:tcW w:w="850" w:type="dxa"/>
          </w:tcPr>
          <w:p>
            <w:pPr>
              <w:spacing w:line="360" w:lineRule="auto"/>
              <w:rPr>
                <w:rFonts w:cs="宋体"/>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08" w:type="dxa"/>
          </w:tcPr>
          <w:p>
            <w:pPr>
              <w:spacing w:before="214" w:line="189" w:lineRule="auto"/>
              <w:ind w:left="359"/>
              <w:rPr>
                <w:rFonts w:cs="宋体"/>
                <w:highlight w:val="none"/>
                <w:lang w:eastAsia="en-US"/>
              </w:rPr>
            </w:pPr>
            <w:r>
              <w:rPr>
                <w:rFonts w:hint="eastAsia" w:cs="宋体"/>
                <w:highlight w:val="none"/>
                <w:lang w:eastAsia="en-US"/>
              </w:rPr>
              <w:t>3</w:t>
            </w:r>
          </w:p>
        </w:tc>
        <w:tc>
          <w:tcPr>
            <w:tcW w:w="2243" w:type="dxa"/>
          </w:tcPr>
          <w:p>
            <w:pPr>
              <w:spacing w:line="360" w:lineRule="auto"/>
              <w:rPr>
                <w:rFonts w:cs="宋体"/>
                <w:sz w:val="21"/>
                <w:highlight w:val="none"/>
              </w:rPr>
            </w:pPr>
          </w:p>
        </w:tc>
        <w:tc>
          <w:tcPr>
            <w:tcW w:w="2166" w:type="dxa"/>
          </w:tcPr>
          <w:p>
            <w:pPr>
              <w:spacing w:line="360" w:lineRule="auto"/>
              <w:rPr>
                <w:rFonts w:cs="宋体"/>
                <w:sz w:val="21"/>
                <w:highlight w:val="none"/>
              </w:rPr>
            </w:pPr>
          </w:p>
        </w:tc>
        <w:tc>
          <w:tcPr>
            <w:tcW w:w="1884" w:type="dxa"/>
          </w:tcPr>
          <w:p>
            <w:pPr>
              <w:spacing w:line="360" w:lineRule="auto"/>
              <w:rPr>
                <w:rFonts w:cs="宋体"/>
                <w:sz w:val="21"/>
                <w:highlight w:val="none"/>
              </w:rPr>
            </w:pPr>
          </w:p>
        </w:tc>
        <w:tc>
          <w:tcPr>
            <w:tcW w:w="1416" w:type="dxa"/>
          </w:tcPr>
          <w:p>
            <w:pPr>
              <w:spacing w:line="360" w:lineRule="auto"/>
              <w:rPr>
                <w:rFonts w:cs="宋体"/>
                <w:sz w:val="21"/>
                <w:highlight w:val="none"/>
              </w:rPr>
            </w:pPr>
          </w:p>
        </w:tc>
        <w:tc>
          <w:tcPr>
            <w:tcW w:w="850" w:type="dxa"/>
          </w:tcPr>
          <w:p>
            <w:pPr>
              <w:spacing w:line="360" w:lineRule="auto"/>
              <w:rPr>
                <w:rFonts w:cs="宋体"/>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1" w:hRule="atLeast"/>
        </w:trPr>
        <w:tc>
          <w:tcPr>
            <w:tcW w:w="808" w:type="dxa"/>
          </w:tcPr>
          <w:p>
            <w:pPr>
              <w:spacing w:before="214" w:line="189" w:lineRule="auto"/>
              <w:ind w:left="354"/>
              <w:rPr>
                <w:rFonts w:cs="宋体"/>
                <w:highlight w:val="none"/>
                <w:lang w:eastAsia="en-US"/>
              </w:rPr>
            </w:pPr>
            <w:r>
              <w:rPr>
                <w:rFonts w:hint="eastAsia" w:cs="宋体"/>
                <w:highlight w:val="none"/>
                <w:lang w:eastAsia="en-US"/>
              </w:rPr>
              <w:t>4</w:t>
            </w:r>
          </w:p>
        </w:tc>
        <w:tc>
          <w:tcPr>
            <w:tcW w:w="2243" w:type="dxa"/>
          </w:tcPr>
          <w:p>
            <w:pPr>
              <w:spacing w:line="360" w:lineRule="auto"/>
              <w:rPr>
                <w:rFonts w:cs="宋体"/>
                <w:sz w:val="21"/>
                <w:highlight w:val="none"/>
              </w:rPr>
            </w:pPr>
          </w:p>
        </w:tc>
        <w:tc>
          <w:tcPr>
            <w:tcW w:w="2166" w:type="dxa"/>
          </w:tcPr>
          <w:p>
            <w:pPr>
              <w:spacing w:line="360" w:lineRule="auto"/>
              <w:rPr>
                <w:rFonts w:cs="宋体"/>
                <w:sz w:val="21"/>
                <w:highlight w:val="none"/>
              </w:rPr>
            </w:pPr>
          </w:p>
        </w:tc>
        <w:tc>
          <w:tcPr>
            <w:tcW w:w="1884" w:type="dxa"/>
          </w:tcPr>
          <w:p>
            <w:pPr>
              <w:spacing w:line="360" w:lineRule="auto"/>
              <w:rPr>
                <w:rFonts w:cs="宋体"/>
                <w:sz w:val="21"/>
                <w:highlight w:val="none"/>
              </w:rPr>
            </w:pPr>
          </w:p>
        </w:tc>
        <w:tc>
          <w:tcPr>
            <w:tcW w:w="1416" w:type="dxa"/>
          </w:tcPr>
          <w:p>
            <w:pPr>
              <w:spacing w:line="360" w:lineRule="auto"/>
              <w:rPr>
                <w:rFonts w:cs="宋体"/>
                <w:sz w:val="21"/>
                <w:highlight w:val="none"/>
              </w:rPr>
            </w:pPr>
          </w:p>
        </w:tc>
        <w:tc>
          <w:tcPr>
            <w:tcW w:w="850" w:type="dxa"/>
          </w:tcPr>
          <w:p>
            <w:pPr>
              <w:spacing w:line="360" w:lineRule="auto"/>
              <w:rPr>
                <w:rFonts w:cs="宋体"/>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6" w:hRule="atLeast"/>
        </w:trPr>
        <w:tc>
          <w:tcPr>
            <w:tcW w:w="808" w:type="dxa"/>
          </w:tcPr>
          <w:p>
            <w:pPr>
              <w:spacing w:line="360" w:lineRule="auto"/>
              <w:jc w:val="center"/>
              <w:rPr>
                <w:rFonts w:cs="宋体"/>
                <w:sz w:val="21"/>
                <w:highlight w:val="none"/>
              </w:rPr>
            </w:pPr>
            <w:r>
              <w:rPr>
                <w:rFonts w:hint="eastAsia" w:cs="宋体"/>
                <w:sz w:val="21"/>
                <w:highlight w:val="none"/>
              </w:rPr>
              <w:t>...</w:t>
            </w:r>
          </w:p>
        </w:tc>
        <w:tc>
          <w:tcPr>
            <w:tcW w:w="2243" w:type="dxa"/>
          </w:tcPr>
          <w:p>
            <w:pPr>
              <w:spacing w:line="360" w:lineRule="auto"/>
              <w:rPr>
                <w:rFonts w:cs="宋体"/>
                <w:sz w:val="21"/>
                <w:highlight w:val="none"/>
              </w:rPr>
            </w:pPr>
          </w:p>
        </w:tc>
        <w:tc>
          <w:tcPr>
            <w:tcW w:w="2166" w:type="dxa"/>
          </w:tcPr>
          <w:p>
            <w:pPr>
              <w:spacing w:line="360" w:lineRule="auto"/>
              <w:rPr>
                <w:rFonts w:cs="宋体"/>
                <w:sz w:val="21"/>
                <w:highlight w:val="none"/>
              </w:rPr>
            </w:pPr>
          </w:p>
        </w:tc>
        <w:tc>
          <w:tcPr>
            <w:tcW w:w="1884" w:type="dxa"/>
          </w:tcPr>
          <w:p>
            <w:pPr>
              <w:spacing w:line="360" w:lineRule="auto"/>
              <w:rPr>
                <w:rFonts w:cs="宋体"/>
                <w:sz w:val="21"/>
                <w:highlight w:val="none"/>
              </w:rPr>
            </w:pPr>
          </w:p>
        </w:tc>
        <w:tc>
          <w:tcPr>
            <w:tcW w:w="1416" w:type="dxa"/>
          </w:tcPr>
          <w:p>
            <w:pPr>
              <w:spacing w:line="360" w:lineRule="auto"/>
              <w:rPr>
                <w:rFonts w:cs="宋体"/>
                <w:sz w:val="21"/>
                <w:highlight w:val="none"/>
              </w:rPr>
            </w:pPr>
          </w:p>
        </w:tc>
        <w:tc>
          <w:tcPr>
            <w:tcW w:w="850" w:type="dxa"/>
          </w:tcPr>
          <w:p>
            <w:pPr>
              <w:spacing w:line="360" w:lineRule="auto"/>
              <w:rPr>
                <w:rFonts w:cs="宋体"/>
                <w:sz w:val="21"/>
                <w:highlight w:val="none"/>
              </w:rPr>
            </w:pPr>
          </w:p>
        </w:tc>
      </w:tr>
    </w:tbl>
    <w:p>
      <w:pPr>
        <w:topLinePunct/>
        <w:autoSpaceDE w:val="0"/>
        <w:autoSpaceDN w:val="0"/>
        <w:spacing w:after="0" w:line="360" w:lineRule="auto"/>
        <w:ind w:firstLine="428" w:firstLineChars="200"/>
        <w:rPr>
          <w:rFonts w:hint="eastAsia" w:cs="宋体"/>
          <w:spacing w:val="7"/>
          <w:sz w:val="20"/>
          <w:szCs w:val="20"/>
          <w:highlight w:val="none"/>
        </w:rPr>
      </w:pPr>
      <w:r>
        <w:rPr>
          <w:rFonts w:hint="eastAsia" w:cs="宋体"/>
          <w:spacing w:val="7"/>
          <w:sz w:val="20"/>
          <w:szCs w:val="20"/>
          <w:highlight w:val="none"/>
        </w:rPr>
        <w:t>特别说明：</w:t>
      </w:r>
    </w:p>
    <w:p>
      <w:pPr>
        <w:topLinePunct/>
        <w:autoSpaceDE w:val="0"/>
        <w:autoSpaceDN w:val="0"/>
        <w:spacing w:after="0" w:line="360" w:lineRule="auto"/>
        <w:ind w:firstLine="428" w:firstLineChars="200"/>
        <w:rPr>
          <w:rFonts w:hint="eastAsia" w:ascii="宋体" w:hAnsi="宋体" w:eastAsia="宋体" w:cs="宋体"/>
          <w:spacing w:val="7"/>
          <w:sz w:val="20"/>
          <w:szCs w:val="20"/>
          <w:highlight w:val="none"/>
        </w:rPr>
      </w:pPr>
      <w:r>
        <w:rPr>
          <w:rFonts w:hint="eastAsia" w:ascii="宋体" w:hAnsi="宋体" w:eastAsia="宋体" w:cs="宋体"/>
          <w:spacing w:val="7"/>
          <w:sz w:val="20"/>
          <w:szCs w:val="20"/>
          <w:highlight w:val="none"/>
        </w:rPr>
        <w:t>1.按照《招标文件-技术部分》内容要求，一一对应填写。如果对《招标文件-技术部分》内容不做一一响应，而将“投标文件应答情况”简单笼统描述为“无偏离”，则视为无效应答。</w:t>
      </w:r>
    </w:p>
    <w:p>
      <w:pPr>
        <w:topLinePunct/>
        <w:autoSpaceDE w:val="0"/>
        <w:autoSpaceDN w:val="0"/>
        <w:spacing w:after="0" w:line="360" w:lineRule="auto"/>
        <w:ind w:firstLine="428" w:firstLineChars="200"/>
        <w:rPr>
          <w:rFonts w:hint="eastAsia" w:ascii="宋体" w:hAnsi="宋体" w:eastAsia="宋体" w:cs="宋体"/>
          <w:spacing w:val="7"/>
          <w:sz w:val="20"/>
          <w:szCs w:val="20"/>
          <w:highlight w:val="none"/>
        </w:rPr>
      </w:pPr>
      <w:r>
        <w:rPr>
          <w:rFonts w:hint="eastAsia" w:ascii="宋体" w:hAnsi="宋体" w:eastAsia="宋体" w:cs="宋体"/>
          <w:spacing w:val="7"/>
          <w:sz w:val="20"/>
          <w:szCs w:val="20"/>
          <w:highlight w:val="none"/>
        </w:rPr>
        <w:t>2.《招标文件-技术部分》内容须条对条应答，不得遗漏；如有遗漏，则视为无效应答。如无偏离，请在此表中填写“无偏离”。如有偏离，请在此表中应答为“正/负偏离”并说明偏离情况；</w:t>
      </w:r>
    </w:p>
    <w:p>
      <w:pPr>
        <w:topLinePunct/>
        <w:autoSpaceDE w:val="0"/>
        <w:autoSpaceDN w:val="0"/>
        <w:spacing w:after="0" w:line="360" w:lineRule="auto"/>
        <w:ind w:firstLine="428" w:firstLineChars="200"/>
        <w:rPr>
          <w:rFonts w:hint="eastAsia" w:ascii="宋体" w:hAnsi="宋体" w:eastAsia="宋体" w:cs="宋体"/>
          <w:spacing w:val="7"/>
          <w:sz w:val="20"/>
          <w:szCs w:val="20"/>
          <w:highlight w:val="none"/>
        </w:rPr>
      </w:pPr>
      <w:r>
        <w:rPr>
          <w:rFonts w:hint="eastAsia" w:ascii="宋体" w:hAnsi="宋体" w:eastAsia="宋体" w:cs="宋体"/>
          <w:spacing w:val="7"/>
          <w:sz w:val="20"/>
          <w:szCs w:val="20"/>
          <w:highlight w:val="none"/>
        </w:rPr>
        <w:t>3.如《招标文件-技术部分》中有标注★号的，则为实质性要求，必须满足，如应答为“负偏离”，将导致投标无效。</w:t>
      </w:r>
    </w:p>
    <w:p>
      <w:pPr>
        <w:topLinePunct/>
        <w:autoSpaceDE w:val="0"/>
        <w:autoSpaceDN w:val="0"/>
        <w:spacing w:after="0" w:line="360" w:lineRule="auto"/>
        <w:ind w:firstLine="428" w:firstLineChars="200"/>
        <w:rPr>
          <w:rFonts w:hint="eastAsia" w:ascii="宋体" w:hAnsi="宋体" w:eastAsia="宋体" w:cs="宋体"/>
          <w:spacing w:val="7"/>
          <w:sz w:val="20"/>
          <w:szCs w:val="20"/>
          <w:highlight w:val="none"/>
        </w:rPr>
      </w:pPr>
    </w:p>
    <w:p>
      <w:pPr>
        <w:spacing w:before="32" w:line="362" w:lineRule="auto"/>
        <w:ind w:right="15"/>
        <w:rPr>
          <w:rFonts w:cs="宋体"/>
          <w:sz w:val="20"/>
          <w:szCs w:val="20"/>
          <w:highlight w:val="none"/>
        </w:rPr>
      </w:pPr>
    </w:p>
    <w:p>
      <w:pPr>
        <w:spacing w:line="360" w:lineRule="auto"/>
        <w:rPr>
          <w:rFonts w:cs="宋体"/>
          <w:sz w:val="21"/>
          <w:szCs w:val="21"/>
          <w:highlight w:val="none"/>
        </w:rPr>
      </w:pPr>
    </w:p>
    <w:p>
      <w:pPr>
        <w:spacing w:line="241" w:lineRule="auto"/>
        <w:rPr>
          <w:rFonts w:cs="宋体"/>
          <w:sz w:val="21"/>
          <w:szCs w:val="21"/>
          <w:highlight w:val="none"/>
        </w:rPr>
      </w:pPr>
    </w:p>
    <w:p>
      <w:pPr>
        <w:spacing w:line="241" w:lineRule="auto"/>
        <w:rPr>
          <w:rFonts w:cs="宋体"/>
          <w:sz w:val="21"/>
          <w:szCs w:val="21"/>
          <w:highlight w:val="none"/>
        </w:rPr>
      </w:pPr>
    </w:p>
    <w:p>
      <w:pPr>
        <w:spacing w:line="241" w:lineRule="auto"/>
        <w:rPr>
          <w:rFonts w:cs="宋体"/>
          <w:sz w:val="21"/>
          <w:szCs w:val="21"/>
          <w:highlight w:val="none"/>
        </w:rPr>
      </w:pPr>
    </w:p>
    <w:p>
      <w:pPr>
        <w:adjustRightInd w:val="0"/>
        <w:snapToGrid w:val="0"/>
        <w:spacing w:line="360" w:lineRule="auto"/>
        <w:rPr>
          <w:rFonts w:cs="宋体"/>
          <w:kern w:val="0"/>
          <w:highlight w:val="none"/>
        </w:rPr>
      </w:pPr>
      <w:r>
        <w:rPr>
          <w:rFonts w:hint="eastAsia" w:cs="宋体"/>
          <w:kern w:val="0"/>
          <w:highlight w:val="none"/>
        </w:rPr>
        <w:t>供应商名称（公章）：</w:t>
      </w:r>
    </w:p>
    <w:p>
      <w:pPr>
        <w:adjustRightInd w:val="0"/>
        <w:snapToGrid w:val="0"/>
        <w:spacing w:line="360" w:lineRule="auto"/>
        <w:rPr>
          <w:rFonts w:cs="宋体"/>
          <w:kern w:val="0"/>
          <w:highlight w:val="none"/>
          <w:u w:val="single"/>
        </w:rPr>
      </w:pPr>
      <w:r>
        <w:rPr>
          <w:rFonts w:hint="eastAsia" w:cs="宋体"/>
          <w:kern w:val="0"/>
          <w:highlight w:val="none"/>
        </w:rPr>
        <w:t>法定代表人（签字或盖章）或</w:t>
      </w:r>
      <w:r>
        <w:rPr>
          <w:rFonts w:hint="eastAsia" w:cs="宋体"/>
          <w:highlight w:val="none"/>
        </w:rPr>
        <w:t>授权委托人</w:t>
      </w:r>
      <w:r>
        <w:rPr>
          <w:rFonts w:hint="eastAsia" w:cs="宋体"/>
          <w:kern w:val="0"/>
          <w:highlight w:val="none"/>
        </w:rPr>
        <w:t>（签字）：</w:t>
      </w:r>
    </w:p>
    <w:p>
      <w:pPr>
        <w:spacing w:line="360" w:lineRule="auto"/>
        <w:rPr>
          <w:rFonts w:cs="宋体"/>
          <w:b/>
          <w:bCs/>
          <w:highlight w:val="none"/>
        </w:rPr>
      </w:pPr>
      <w:r>
        <w:rPr>
          <w:rFonts w:hint="eastAsia" w:cs="宋体"/>
          <w:highlight w:val="none"/>
        </w:rPr>
        <w:t>日期：年月</w:t>
      </w:r>
      <w:r>
        <w:rPr>
          <w:rFonts w:hint="eastAsia" w:cs="宋体"/>
          <w:kern w:val="0"/>
          <w:highlight w:val="none"/>
        </w:rPr>
        <w:t>日</w:t>
      </w:r>
    </w:p>
    <w:bookmarkEnd w:id="175"/>
    <w:bookmarkEnd w:id="176"/>
    <w:bookmarkEnd w:id="177"/>
    <w:bookmarkEnd w:id="178"/>
    <w:bookmarkEnd w:id="179"/>
    <w:bookmarkEnd w:id="180"/>
    <w:bookmarkEnd w:id="181"/>
    <w:bookmarkEnd w:id="182"/>
    <w:bookmarkEnd w:id="183"/>
    <w:bookmarkEnd w:id="184"/>
    <w:bookmarkEnd w:id="185"/>
    <w:bookmarkEnd w:id="186"/>
    <w:bookmarkEnd w:id="187"/>
    <w:p>
      <w:pPr>
        <w:rPr>
          <w:rFonts w:cs="宋体"/>
          <w:highlight w:val="none"/>
        </w:rPr>
      </w:pPr>
      <w:r>
        <w:rPr>
          <w:rFonts w:hint="eastAsia" w:cs="宋体"/>
          <w:highlight w:val="none"/>
        </w:rPr>
        <w:br w:type="page"/>
      </w:r>
    </w:p>
    <w:p>
      <w:pPr>
        <w:topLinePunct/>
        <w:autoSpaceDE w:val="0"/>
        <w:autoSpaceDN w:val="0"/>
        <w:jc w:val="center"/>
        <w:rPr>
          <w:rFonts w:cs="宋体"/>
          <w:b/>
          <w:sz w:val="84"/>
          <w:szCs w:val="84"/>
          <w:highlight w:val="none"/>
        </w:rPr>
      </w:pPr>
      <w:r>
        <w:rPr>
          <w:rFonts w:hint="eastAsia" w:cs="宋体"/>
          <w:b/>
          <w:sz w:val="84"/>
          <w:szCs w:val="84"/>
          <w:highlight w:val="none"/>
        </w:rPr>
        <w:t>招标文件</w:t>
      </w:r>
    </w:p>
    <w:p>
      <w:pPr>
        <w:topLinePunct/>
        <w:autoSpaceDE w:val="0"/>
        <w:autoSpaceDN w:val="0"/>
        <w:spacing w:line="60" w:lineRule="exact"/>
        <w:jc w:val="center"/>
        <w:rPr>
          <w:rFonts w:cs="宋体"/>
          <w:bCs/>
          <w:sz w:val="32"/>
          <w:szCs w:val="32"/>
          <w:highlight w:val="none"/>
        </w:rPr>
      </w:pPr>
    </w:p>
    <w:p>
      <w:pPr>
        <w:topLinePunct/>
        <w:autoSpaceDE w:val="0"/>
        <w:autoSpaceDN w:val="0"/>
        <w:snapToGrid w:val="0"/>
        <w:jc w:val="center"/>
        <w:rPr>
          <w:rFonts w:cs="宋体"/>
          <w:bCs/>
          <w:sz w:val="32"/>
          <w:szCs w:val="32"/>
          <w:highlight w:val="none"/>
        </w:rPr>
      </w:pPr>
    </w:p>
    <w:p>
      <w:pPr>
        <w:topLinePunct/>
        <w:autoSpaceDE w:val="0"/>
        <w:autoSpaceDN w:val="0"/>
        <w:snapToGrid w:val="0"/>
        <w:jc w:val="center"/>
        <w:rPr>
          <w:rFonts w:cs="宋体"/>
          <w:bCs/>
          <w:sz w:val="32"/>
          <w:szCs w:val="32"/>
          <w:highlight w:val="none"/>
        </w:rPr>
      </w:pPr>
      <w:r>
        <w:rPr>
          <w:rFonts w:hint="eastAsia" w:cs="宋体"/>
          <w:bCs/>
          <w:sz w:val="32"/>
          <w:szCs w:val="32"/>
          <w:highlight w:val="none"/>
        </w:rPr>
        <w:t>（技术部分）</w:t>
      </w:r>
    </w:p>
    <w:p>
      <w:pPr>
        <w:topLinePunct/>
        <w:autoSpaceDE w:val="0"/>
        <w:autoSpaceDN w:val="0"/>
        <w:snapToGrid w:val="0"/>
        <w:rPr>
          <w:rFonts w:cs="宋体"/>
          <w:bCs/>
          <w:sz w:val="32"/>
          <w:szCs w:val="32"/>
          <w:highlight w:val="none"/>
        </w:rPr>
      </w:pPr>
    </w:p>
    <w:p>
      <w:pPr>
        <w:jc w:val="center"/>
        <w:rPr>
          <w:rFonts w:cs="宋体"/>
          <w:highlight w:val="none"/>
        </w:rPr>
      </w:pPr>
    </w:p>
    <w:p>
      <w:pPr>
        <w:pStyle w:val="13"/>
        <w:snapToGrid w:val="0"/>
        <w:spacing w:line="480" w:lineRule="auto"/>
        <w:ind w:left="2760" w:leftChars="400" w:right="-1061" w:rightChars="-442" w:hanging="1800" w:hangingChars="643"/>
        <w:rPr>
          <w:rFonts w:hAnsi="宋体" w:cs="宋体"/>
          <w:sz w:val="28"/>
          <w:szCs w:val="28"/>
          <w:highlight w:val="none"/>
        </w:rPr>
      </w:pPr>
      <w:r>
        <w:rPr>
          <w:rFonts w:hint="eastAsia" w:hAnsi="宋体" w:cs="宋体"/>
          <w:sz w:val="28"/>
          <w:szCs w:val="28"/>
          <w:highlight w:val="none"/>
        </w:rPr>
        <w:t>项目名称：国家税务总局十堰市税务局2025年度食堂餐饮服务项目</w:t>
      </w:r>
    </w:p>
    <w:p>
      <w:pPr>
        <w:pStyle w:val="13"/>
        <w:snapToGrid w:val="0"/>
        <w:spacing w:line="480" w:lineRule="auto"/>
        <w:ind w:left="2760" w:leftChars="400" w:right="-1061" w:rightChars="-442" w:hanging="1800" w:hangingChars="643"/>
        <w:rPr>
          <w:rFonts w:hAnsi="宋体" w:cs="宋体"/>
          <w:sz w:val="28"/>
          <w:szCs w:val="28"/>
          <w:highlight w:val="none"/>
        </w:rPr>
      </w:pPr>
      <w:r>
        <w:rPr>
          <w:rFonts w:hint="eastAsia" w:hAnsi="宋体" w:cs="宋体"/>
          <w:sz w:val="28"/>
          <w:szCs w:val="28"/>
          <w:highlight w:val="none"/>
        </w:rPr>
        <w:t>项目编号：HB2025-DLGK-C0080-B00</w:t>
      </w:r>
    </w:p>
    <w:p>
      <w:pPr>
        <w:pStyle w:val="13"/>
        <w:snapToGrid w:val="0"/>
        <w:spacing w:line="480" w:lineRule="auto"/>
        <w:ind w:left="2760" w:leftChars="400" w:right="-1061" w:rightChars="-442" w:hanging="1800" w:hangingChars="643"/>
        <w:rPr>
          <w:rFonts w:hAnsi="宋体" w:cs="宋体"/>
          <w:sz w:val="28"/>
          <w:szCs w:val="28"/>
          <w:highlight w:val="none"/>
        </w:rPr>
      </w:pPr>
      <w:r>
        <w:rPr>
          <w:rFonts w:hint="eastAsia" w:hAnsi="宋体" w:cs="宋体"/>
          <w:sz w:val="28"/>
          <w:szCs w:val="28"/>
          <w:highlight w:val="none"/>
        </w:rPr>
        <w:t>采购人：国家税务总局十堰市税务局</w:t>
      </w:r>
    </w:p>
    <w:p>
      <w:pPr>
        <w:pStyle w:val="13"/>
        <w:snapToGrid w:val="0"/>
        <w:spacing w:line="480" w:lineRule="auto"/>
        <w:ind w:left="2760" w:leftChars="400" w:right="-1061" w:rightChars="-442" w:hanging="1800" w:hangingChars="643"/>
        <w:rPr>
          <w:rFonts w:hAnsi="宋体" w:cs="宋体"/>
          <w:sz w:val="28"/>
          <w:szCs w:val="28"/>
          <w:highlight w:val="none"/>
        </w:rPr>
      </w:pPr>
      <w:r>
        <w:rPr>
          <w:rFonts w:hint="eastAsia" w:hAnsi="宋体" w:cs="宋体"/>
          <w:sz w:val="28"/>
          <w:szCs w:val="28"/>
          <w:highlight w:val="none"/>
        </w:rPr>
        <w:t>采购代理机构：湖北普华工程咨询有限公司</w:t>
      </w:r>
    </w:p>
    <w:p>
      <w:pPr>
        <w:pStyle w:val="13"/>
        <w:ind w:left="2823" w:leftChars="600" w:right="-1061" w:rightChars="-442" w:hanging="1383" w:hangingChars="494"/>
        <w:rPr>
          <w:rFonts w:hAnsi="宋体" w:cs="宋体"/>
          <w:sz w:val="28"/>
          <w:szCs w:val="28"/>
          <w:highlight w:val="none"/>
        </w:rPr>
      </w:pPr>
    </w:p>
    <w:p>
      <w:pPr>
        <w:pStyle w:val="13"/>
        <w:ind w:left="2823" w:leftChars="600" w:right="-1061" w:rightChars="-442" w:hanging="1383" w:hangingChars="494"/>
        <w:rPr>
          <w:rFonts w:hAnsi="宋体" w:cs="宋体"/>
          <w:sz w:val="28"/>
          <w:szCs w:val="28"/>
          <w:highlight w:val="none"/>
        </w:rPr>
      </w:pPr>
    </w:p>
    <w:p>
      <w:pPr>
        <w:pStyle w:val="13"/>
        <w:ind w:left="2823" w:leftChars="600" w:right="-1061" w:rightChars="-442" w:hanging="1383" w:hangingChars="494"/>
        <w:rPr>
          <w:rFonts w:hAnsi="宋体" w:cs="宋体"/>
          <w:sz w:val="28"/>
          <w:szCs w:val="28"/>
          <w:highlight w:val="none"/>
        </w:rPr>
      </w:pPr>
    </w:p>
    <w:p>
      <w:pPr>
        <w:topLinePunct/>
        <w:autoSpaceDE w:val="0"/>
        <w:autoSpaceDN w:val="0"/>
        <w:spacing w:line="460" w:lineRule="exact"/>
        <w:rPr>
          <w:rFonts w:cs="宋体"/>
          <w:highlight w:val="none"/>
        </w:rPr>
      </w:pPr>
    </w:p>
    <w:p>
      <w:pPr>
        <w:topLinePunct/>
        <w:autoSpaceDE w:val="0"/>
        <w:autoSpaceDN w:val="0"/>
        <w:spacing w:line="460" w:lineRule="exact"/>
        <w:jc w:val="center"/>
        <w:rPr>
          <w:rFonts w:cs="宋体"/>
          <w:highlight w:val="none"/>
        </w:rPr>
      </w:pPr>
      <w:r>
        <w:rPr>
          <w:rFonts w:hint="eastAsia" w:cs="宋体"/>
          <w:sz w:val="28"/>
          <w:szCs w:val="28"/>
          <w:highlight w:val="none"/>
        </w:rPr>
        <w:t>国家税务总局十堰市税务局</w:t>
      </w:r>
    </w:p>
    <w:p>
      <w:pPr>
        <w:topLinePunct/>
        <w:autoSpaceDE w:val="0"/>
        <w:autoSpaceDN w:val="0"/>
        <w:spacing w:line="160" w:lineRule="exact"/>
        <w:jc w:val="center"/>
        <w:rPr>
          <w:rFonts w:cs="宋体"/>
          <w:highlight w:val="none"/>
        </w:rPr>
      </w:pPr>
    </w:p>
    <w:p>
      <w:pPr>
        <w:topLinePunct/>
        <w:autoSpaceDE w:val="0"/>
        <w:autoSpaceDN w:val="0"/>
        <w:spacing w:line="460" w:lineRule="exact"/>
        <w:jc w:val="center"/>
        <w:rPr>
          <w:rFonts w:cs="宋体"/>
          <w:highlight w:val="none"/>
        </w:rPr>
      </w:pPr>
      <w:r>
        <w:rPr>
          <w:rFonts w:hint="eastAsia" w:cs="宋体"/>
          <w:sz w:val="28"/>
          <w:szCs w:val="28"/>
          <w:highlight w:val="none"/>
        </w:rPr>
        <w:t>2025年7月</w:t>
      </w:r>
    </w:p>
    <w:p>
      <w:pPr>
        <w:rPr>
          <w:rFonts w:cs="宋体"/>
          <w:b/>
          <w:bCs/>
          <w:sz w:val="32"/>
          <w:szCs w:val="32"/>
          <w:highlight w:val="none"/>
        </w:rPr>
      </w:pPr>
      <w:r>
        <w:rPr>
          <w:rFonts w:hint="eastAsia" w:cs="宋体"/>
          <w:b/>
          <w:bCs/>
          <w:sz w:val="32"/>
          <w:szCs w:val="32"/>
          <w:highlight w:val="none"/>
        </w:rPr>
        <w:br w:type="page"/>
      </w:r>
    </w:p>
    <w:p>
      <w:pPr>
        <w:jc w:val="center"/>
        <w:rPr>
          <w:rFonts w:cs="宋体"/>
          <w:b/>
          <w:bCs/>
          <w:sz w:val="32"/>
          <w:szCs w:val="32"/>
          <w:highlight w:val="none"/>
        </w:rPr>
      </w:pPr>
      <w:r>
        <w:rPr>
          <w:rFonts w:hint="eastAsia" w:cs="宋体"/>
          <w:b/>
          <w:bCs/>
          <w:sz w:val="32"/>
          <w:szCs w:val="32"/>
          <w:highlight w:val="none"/>
        </w:rPr>
        <w:t>技术部分目录</w:t>
      </w:r>
    </w:p>
    <w:p>
      <w:pPr>
        <w:pStyle w:val="17"/>
        <w:tabs>
          <w:tab w:val="right" w:leader="dot" w:pos="9740"/>
        </w:tabs>
        <w:ind w:left="480"/>
        <w:rPr>
          <w:highlight w:val="none"/>
        </w:rPr>
      </w:pPr>
      <w:r>
        <w:rPr>
          <w:rFonts w:hint="eastAsia" w:cs="宋体"/>
          <w:highlight w:val="none"/>
        </w:rPr>
        <w:fldChar w:fldCharType="begin"/>
      </w:r>
      <w:r>
        <w:rPr>
          <w:rFonts w:hint="eastAsia" w:cs="宋体"/>
          <w:highlight w:val="none"/>
        </w:rPr>
        <w:instrText xml:space="preserve">TOC \o "1-3" \h \u </w:instrText>
      </w:r>
      <w:r>
        <w:rPr>
          <w:rFonts w:hint="eastAsia" w:cs="宋体"/>
          <w:highlight w:val="none"/>
        </w:rPr>
        <w:fldChar w:fldCharType="separate"/>
      </w:r>
    </w:p>
    <w:p>
      <w:pPr>
        <w:pStyle w:val="16"/>
        <w:tabs>
          <w:tab w:val="right" w:leader="dot" w:pos="9740"/>
        </w:tabs>
        <w:snapToGrid w:val="0"/>
        <w:spacing w:line="480" w:lineRule="auto"/>
        <w:rPr>
          <w:highlight w:val="none"/>
        </w:rPr>
      </w:pPr>
      <w:r>
        <w:rPr>
          <w:highlight w:val="none"/>
        </w:rPr>
        <w:fldChar w:fldCharType="begin"/>
      </w:r>
      <w:r>
        <w:rPr>
          <w:highlight w:val="none"/>
        </w:rPr>
        <w:instrText xml:space="preserve"> HYPERLINK \l "_Toc30565" </w:instrText>
      </w:r>
      <w:r>
        <w:rPr>
          <w:highlight w:val="none"/>
        </w:rPr>
        <w:fldChar w:fldCharType="separate"/>
      </w:r>
      <w:r>
        <w:rPr>
          <w:rFonts w:hint="eastAsia" w:cs="宋体"/>
          <w:highlight w:val="none"/>
        </w:rPr>
        <w:t>第二部分 技术部分</w:t>
      </w:r>
      <w:r>
        <w:rPr>
          <w:highlight w:val="none"/>
        </w:rPr>
        <w:tab/>
      </w:r>
      <w:r>
        <w:rPr>
          <w:highlight w:val="none"/>
        </w:rPr>
        <w:fldChar w:fldCharType="begin"/>
      </w:r>
      <w:r>
        <w:rPr>
          <w:highlight w:val="none"/>
        </w:rPr>
        <w:instrText xml:space="preserve"> PAGEREF _Toc30565 \h </w:instrText>
      </w:r>
      <w:r>
        <w:rPr>
          <w:highlight w:val="none"/>
        </w:rPr>
        <w:fldChar w:fldCharType="separate"/>
      </w:r>
      <w:r>
        <w:rPr>
          <w:highlight w:val="none"/>
        </w:rPr>
        <w:t>72</w:t>
      </w:r>
      <w:r>
        <w:rPr>
          <w:highlight w:val="none"/>
        </w:rPr>
        <w:fldChar w:fldCharType="end"/>
      </w:r>
      <w:r>
        <w:rPr>
          <w:highlight w:val="none"/>
        </w:rPr>
        <w:fldChar w:fldCharType="end"/>
      </w:r>
    </w:p>
    <w:p>
      <w:pPr>
        <w:pStyle w:val="17"/>
        <w:tabs>
          <w:tab w:val="right" w:leader="dot" w:pos="9740"/>
        </w:tabs>
        <w:snapToGrid w:val="0"/>
        <w:spacing w:line="480" w:lineRule="auto"/>
        <w:ind w:left="480"/>
        <w:rPr>
          <w:highlight w:val="none"/>
        </w:rPr>
      </w:pPr>
      <w:r>
        <w:rPr>
          <w:highlight w:val="none"/>
        </w:rPr>
        <w:fldChar w:fldCharType="begin"/>
      </w:r>
      <w:r>
        <w:rPr>
          <w:highlight w:val="none"/>
        </w:rPr>
        <w:instrText xml:space="preserve"> HYPERLINK \l "_Toc12833" </w:instrText>
      </w:r>
      <w:r>
        <w:rPr>
          <w:highlight w:val="none"/>
        </w:rPr>
        <w:fldChar w:fldCharType="separate"/>
      </w:r>
      <w:r>
        <w:rPr>
          <w:rFonts w:hint="eastAsia" w:cs="宋体"/>
          <w:bCs/>
          <w:highlight w:val="none"/>
        </w:rPr>
        <w:t>第六章  项目采购需求</w:t>
      </w:r>
      <w:r>
        <w:rPr>
          <w:highlight w:val="none"/>
        </w:rPr>
        <w:tab/>
      </w:r>
      <w:r>
        <w:rPr>
          <w:highlight w:val="none"/>
        </w:rPr>
        <w:fldChar w:fldCharType="begin"/>
      </w:r>
      <w:r>
        <w:rPr>
          <w:highlight w:val="none"/>
        </w:rPr>
        <w:instrText xml:space="preserve"> PAGEREF _Toc12833 \h </w:instrText>
      </w:r>
      <w:r>
        <w:rPr>
          <w:highlight w:val="none"/>
        </w:rPr>
        <w:fldChar w:fldCharType="separate"/>
      </w:r>
      <w:r>
        <w:rPr>
          <w:highlight w:val="none"/>
        </w:rPr>
        <w:t>72</w:t>
      </w:r>
      <w:r>
        <w:rPr>
          <w:highlight w:val="none"/>
        </w:rPr>
        <w:fldChar w:fldCharType="end"/>
      </w:r>
      <w:r>
        <w:rPr>
          <w:highlight w:val="none"/>
        </w:rPr>
        <w:fldChar w:fldCharType="end"/>
      </w:r>
    </w:p>
    <w:p>
      <w:pPr>
        <w:pStyle w:val="12"/>
        <w:tabs>
          <w:tab w:val="right" w:leader="dot" w:pos="9740"/>
        </w:tabs>
        <w:snapToGrid w:val="0"/>
        <w:spacing w:line="480" w:lineRule="auto"/>
        <w:ind w:left="960"/>
        <w:rPr>
          <w:highlight w:val="none"/>
        </w:rPr>
      </w:pPr>
      <w:r>
        <w:rPr>
          <w:highlight w:val="none"/>
        </w:rPr>
        <w:fldChar w:fldCharType="begin"/>
      </w:r>
      <w:r>
        <w:rPr>
          <w:highlight w:val="none"/>
        </w:rPr>
        <w:instrText xml:space="preserve"> HYPERLINK \l "_Toc29909" </w:instrText>
      </w:r>
      <w:r>
        <w:rPr>
          <w:highlight w:val="none"/>
        </w:rPr>
        <w:fldChar w:fldCharType="separate"/>
      </w:r>
      <w:r>
        <w:rPr>
          <w:rFonts w:hint="eastAsia" w:cs="宋体"/>
          <w:bCs/>
          <w:highlight w:val="none"/>
        </w:rPr>
        <w:t>一、项目概况</w:t>
      </w:r>
      <w:r>
        <w:rPr>
          <w:highlight w:val="none"/>
        </w:rPr>
        <w:tab/>
      </w:r>
      <w:r>
        <w:rPr>
          <w:highlight w:val="none"/>
        </w:rPr>
        <w:fldChar w:fldCharType="begin"/>
      </w:r>
      <w:r>
        <w:rPr>
          <w:highlight w:val="none"/>
        </w:rPr>
        <w:instrText xml:space="preserve"> PAGEREF _Toc29909 \h </w:instrText>
      </w:r>
      <w:r>
        <w:rPr>
          <w:highlight w:val="none"/>
        </w:rPr>
        <w:fldChar w:fldCharType="separate"/>
      </w:r>
      <w:r>
        <w:rPr>
          <w:highlight w:val="none"/>
        </w:rPr>
        <w:t>72</w:t>
      </w:r>
      <w:r>
        <w:rPr>
          <w:highlight w:val="none"/>
        </w:rPr>
        <w:fldChar w:fldCharType="end"/>
      </w:r>
      <w:r>
        <w:rPr>
          <w:highlight w:val="none"/>
        </w:rPr>
        <w:fldChar w:fldCharType="end"/>
      </w:r>
    </w:p>
    <w:p>
      <w:pPr>
        <w:pStyle w:val="12"/>
        <w:tabs>
          <w:tab w:val="right" w:leader="dot" w:pos="9740"/>
        </w:tabs>
        <w:snapToGrid w:val="0"/>
        <w:spacing w:line="480" w:lineRule="auto"/>
        <w:ind w:left="960"/>
        <w:rPr>
          <w:highlight w:val="none"/>
        </w:rPr>
      </w:pPr>
      <w:r>
        <w:rPr>
          <w:highlight w:val="none"/>
        </w:rPr>
        <w:fldChar w:fldCharType="begin"/>
      </w:r>
      <w:r>
        <w:rPr>
          <w:highlight w:val="none"/>
        </w:rPr>
        <w:instrText xml:space="preserve"> HYPERLINK \l "_Toc27052" </w:instrText>
      </w:r>
      <w:r>
        <w:rPr>
          <w:highlight w:val="none"/>
        </w:rPr>
        <w:fldChar w:fldCharType="separate"/>
      </w:r>
      <w:r>
        <w:rPr>
          <w:rFonts w:hint="eastAsia" w:cs="宋体"/>
          <w:bCs/>
          <w:highlight w:val="none"/>
        </w:rPr>
        <w:t>二、服务范围</w:t>
      </w:r>
      <w:r>
        <w:rPr>
          <w:highlight w:val="none"/>
        </w:rPr>
        <w:tab/>
      </w:r>
      <w:r>
        <w:rPr>
          <w:highlight w:val="none"/>
        </w:rPr>
        <w:fldChar w:fldCharType="begin"/>
      </w:r>
      <w:r>
        <w:rPr>
          <w:highlight w:val="none"/>
        </w:rPr>
        <w:instrText xml:space="preserve"> PAGEREF _Toc27052 \h </w:instrText>
      </w:r>
      <w:r>
        <w:rPr>
          <w:highlight w:val="none"/>
        </w:rPr>
        <w:fldChar w:fldCharType="separate"/>
      </w:r>
      <w:r>
        <w:rPr>
          <w:highlight w:val="none"/>
        </w:rPr>
        <w:t>72</w:t>
      </w:r>
      <w:r>
        <w:rPr>
          <w:highlight w:val="none"/>
        </w:rPr>
        <w:fldChar w:fldCharType="end"/>
      </w:r>
      <w:r>
        <w:rPr>
          <w:highlight w:val="none"/>
        </w:rPr>
        <w:fldChar w:fldCharType="end"/>
      </w:r>
    </w:p>
    <w:p>
      <w:pPr>
        <w:pStyle w:val="12"/>
        <w:tabs>
          <w:tab w:val="right" w:leader="dot" w:pos="9740"/>
        </w:tabs>
        <w:snapToGrid w:val="0"/>
        <w:spacing w:line="480" w:lineRule="auto"/>
        <w:ind w:left="960"/>
        <w:rPr>
          <w:highlight w:val="none"/>
        </w:rPr>
      </w:pPr>
      <w:r>
        <w:rPr>
          <w:highlight w:val="none"/>
        </w:rPr>
        <w:fldChar w:fldCharType="begin"/>
      </w:r>
      <w:r>
        <w:rPr>
          <w:highlight w:val="none"/>
        </w:rPr>
        <w:instrText xml:space="preserve"> HYPERLINK \l "_Toc21312" </w:instrText>
      </w:r>
      <w:r>
        <w:rPr>
          <w:highlight w:val="none"/>
        </w:rPr>
        <w:fldChar w:fldCharType="separate"/>
      </w:r>
      <w:r>
        <w:rPr>
          <w:rFonts w:hint="eastAsia" w:cs="宋体"/>
          <w:bCs/>
          <w:highlight w:val="none"/>
        </w:rPr>
        <w:t>三、服务方式</w:t>
      </w:r>
      <w:r>
        <w:rPr>
          <w:highlight w:val="none"/>
        </w:rPr>
        <w:tab/>
      </w:r>
      <w:r>
        <w:rPr>
          <w:highlight w:val="none"/>
        </w:rPr>
        <w:fldChar w:fldCharType="begin"/>
      </w:r>
      <w:r>
        <w:rPr>
          <w:highlight w:val="none"/>
        </w:rPr>
        <w:instrText xml:space="preserve"> PAGEREF _Toc21312 \h </w:instrText>
      </w:r>
      <w:r>
        <w:rPr>
          <w:highlight w:val="none"/>
        </w:rPr>
        <w:fldChar w:fldCharType="separate"/>
      </w:r>
      <w:r>
        <w:rPr>
          <w:highlight w:val="none"/>
        </w:rPr>
        <w:t>72</w:t>
      </w:r>
      <w:r>
        <w:rPr>
          <w:highlight w:val="none"/>
        </w:rPr>
        <w:fldChar w:fldCharType="end"/>
      </w:r>
      <w:r>
        <w:rPr>
          <w:highlight w:val="none"/>
        </w:rPr>
        <w:fldChar w:fldCharType="end"/>
      </w:r>
    </w:p>
    <w:p>
      <w:pPr>
        <w:pStyle w:val="12"/>
        <w:tabs>
          <w:tab w:val="right" w:leader="dot" w:pos="9740"/>
        </w:tabs>
        <w:snapToGrid w:val="0"/>
        <w:spacing w:line="480" w:lineRule="auto"/>
        <w:ind w:left="960"/>
        <w:rPr>
          <w:highlight w:val="none"/>
        </w:rPr>
      </w:pPr>
      <w:r>
        <w:rPr>
          <w:highlight w:val="none"/>
        </w:rPr>
        <w:fldChar w:fldCharType="begin"/>
      </w:r>
      <w:r>
        <w:rPr>
          <w:highlight w:val="none"/>
        </w:rPr>
        <w:instrText xml:space="preserve"> HYPERLINK \l "_Toc365" </w:instrText>
      </w:r>
      <w:r>
        <w:rPr>
          <w:highlight w:val="none"/>
        </w:rPr>
        <w:fldChar w:fldCharType="separate"/>
      </w:r>
      <w:r>
        <w:rPr>
          <w:rFonts w:hint="eastAsia" w:cs="宋体"/>
          <w:bCs/>
          <w:spacing w:val="-8"/>
          <w:szCs w:val="25"/>
          <w:highlight w:val="none"/>
        </w:rPr>
        <w:t>★</w:t>
      </w:r>
      <w:r>
        <w:rPr>
          <w:rFonts w:hint="eastAsia" w:cs="宋体"/>
          <w:bCs/>
          <w:highlight w:val="none"/>
        </w:rPr>
        <w:t>四、商务要求</w:t>
      </w:r>
      <w:r>
        <w:rPr>
          <w:highlight w:val="none"/>
        </w:rPr>
        <w:tab/>
      </w:r>
      <w:r>
        <w:rPr>
          <w:highlight w:val="none"/>
        </w:rPr>
        <w:fldChar w:fldCharType="begin"/>
      </w:r>
      <w:r>
        <w:rPr>
          <w:highlight w:val="none"/>
        </w:rPr>
        <w:instrText xml:space="preserve"> PAGEREF _Toc365 \h </w:instrText>
      </w:r>
      <w:r>
        <w:rPr>
          <w:highlight w:val="none"/>
        </w:rPr>
        <w:fldChar w:fldCharType="separate"/>
      </w:r>
      <w:r>
        <w:rPr>
          <w:highlight w:val="none"/>
        </w:rPr>
        <w:t>73</w:t>
      </w:r>
      <w:r>
        <w:rPr>
          <w:highlight w:val="none"/>
        </w:rPr>
        <w:fldChar w:fldCharType="end"/>
      </w:r>
      <w:r>
        <w:rPr>
          <w:highlight w:val="none"/>
        </w:rPr>
        <w:fldChar w:fldCharType="end"/>
      </w:r>
    </w:p>
    <w:p>
      <w:pPr>
        <w:pStyle w:val="12"/>
        <w:tabs>
          <w:tab w:val="right" w:leader="dot" w:pos="9740"/>
        </w:tabs>
        <w:snapToGrid w:val="0"/>
        <w:spacing w:line="480" w:lineRule="auto"/>
        <w:ind w:left="960"/>
        <w:rPr>
          <w:highlight w:val="none"/>
        </w:rPr>
      </w:pPr>
      <w:r>
        <w:rPr>
          <w:highlight w:val="none"/>
        </w:rPr>
        <w:fldChar w:fldCharType="begin"/>
      </w:r>
      <w:r>
        <w:rPr>
          <w:highlight w:val="none"/>
        </w:rPr>
        <w:instrText xml:space="preserve"> HYPERLINK \l "_Toc11414" </w:instrText>
      </w:r>
      <w:r>
        <w:rPr>
          <w:highlight w:val="none"/>
        </w:rPr>
        <w:fldChar w:fldCharType="separate"/>
      </w:r>
      <w:r>
        <w:rPr>
          <w:rFonts w:hint="eastAsia" w:cs="宋体"/>
          <w:bCs/>
          <w:spacing w:val="-8"/>
          <w:szCs w:val="25"/>
          <w:highlight w:val="none"/>
        </w:rPr>
        <w:t>★</w:t>
      </w:r>
      <w:r>
        <w:rPr>
          <w:rFonts w:hint="eastAsia" w:cs="宋体"/>
          <w:bCs/>
          <w:highlight w:val="none"/>
        </w:rPr>
        <w:t>五、技术要求</w:t>
      </w:r>
      <w:r>
        <w:rPr>
          <w:highlight w:val="none"/>
        </w:rPr>
        <w:tab/>
      </w:r>
      <w:r>
        <w:rPr>
          <w:highlight w:val="none"/>
        </w:rPr>
        <w:fldChar w:fldCharType="begin"/>
      </w:r>
      <w:r>
        <w:rPr>
          <w:highlight w:val="none"/>
        </w:rPr>
        <w:instrText xml:space="preserve"> PAGEREF _Toc11414 \h </w:instrText>
      </w:r>
      <w:r>
        <w:rPr>
          <w:highlight w:val="none"/>
        </w:rPr>
        <w:fldChar w:fldCharType="separate"/>
      </w:r>
      <w:r>
        <w:rPr>
          <w:highlight w:val="none"/>
        </w:rPr>
        <w:t>75</w:t>
      </w:r>
      <w:r>
        <w:rPr>
          <w:highlight w:val="none"/>
        </w:rPr>
        <w:fldChar w:fldCharType="end"/>
      </w:r>
      <w:r>
        <w:rPr>
          <w:highlight w:val="none"/>
        </w:rPr>
        <w:fldChar w:fldCharType="end"/>
      </w:r>
    </w:p>
    <w:p>
      <w:pPr>
        <w:pStyle w:val="12"/>
        <w:tabs>
          <w:tab w:val="right" w:leader="dot" w:pos="9740"/>
        </w:tabs>
        <w:snapToGrid w:val="0"/>
        <w:spacing w:line="480" w:lineRule="auto"/>
        <w:ind w:left="960"/>
        <w:rPr>
          <w:highlight w:val="none"/>
        </w:rPr>
      </w:pPr>
      <w:r>
        <w:rPr>
          <w:highlight w:val="none"/>
        </w:rPr>
        <w:fldChar w:fldCharType="begin"/>
      </w:r>
      <w:r>
        <w:rPr>
          <w:highlight w:val="none"/>
        </w:rPr>
        <w:instrText xml:space="preserve"> HYPERLINK \l "_Toc26302" </w:instrText>
      </w:r>
      <w:r>
        <w:rPr>
          <w:highlight w:val="none"/>
        </w:rPr>
        <w:fldChar w:fldCharType="separate"/>
      </w:r>
      <w:r>
        <w:rPr>
          <w:rFonts w:hint="eastAsia" w:cs="宋体"/>
          <w:bCs/>
          <w:spacing w:val="-8"/>
          <w:szCs w:val="25"/>
          <w:highlight w:val="none"/>
        </w:rPr>
        <w:t>★</w:t>
      </w:r>
      <w:r>
        <w:rPr>
          <w:rFonts w:hint="eastAsia" w:cs="宋体"/>
          <w:bCs/>
          <w:highlight w:val="none"/>
        </w:rPr>
        <w:t>六、其他要求</w:t>
      </w:r>
      <w:r>
        <w:rPr>
          <w:highlight w:val="none"/>
        </w:rPr>
        <w:tab/>
      </w:r>
      <w:r>
        <w:rPr>
          <w:highlight w:val="none"/>
        </w:rPr>
        <w:fldChar w:fldCharType="begin"/>
      </w:r>
      <w:r>
        <w:rPr>
          <w:highlight w:val="none"/>
        </w:rPr>
        <w:instrText xml:space="preserve"> PAGEREF _Toc26302 \h </w:instrText>
      </w:r>
      <w:r>
        <w:rPr>
          <w:highlight w:val="none"/>
        </w:rPr>
        <w:fldChar w:fldCharType="separate"/>
      </w:r>
      <w:r>
        <w:rPr>
          <w:highlight w:val="none"/>
        </w:rPr>
        <w:t>78</w:t>
      </w:r>
      <w:r>
        <w:rPr>
          <w:highlight w:val="none"/>
        </w:rPr>
        <w:fldChar w:fldCharType="end"/>
      </w:r>
      <w:r>
        <w:rPr>
          <w:highlight w:val="none"/>
        </w:rPr>
        <w:fldChar w:fldCharType="end"/>
      </w:r>
    </w:p>
    <w:p>
      <w:pPr>
        <w:rPr>
          <w:rFonts w:cs="宋体"/>
          <w:highlight w:val="none"/>
        </w:rPr>
      </w:pPr>
      <w:r>
        <w:rPr>
          <w:rFonts w:hint="eastAsia" w:cs="宋体"/>
          <w:highlight w:val="none"/>
        </w:rPr>
        <w:fldChar w:fldCharType="end"/>
      </w:r>
    </w:p>
    <w:p>
      <w:pPr>
        <w:pStyle w:val="2"/>
        <w:rPr>
          <w:rFonts w:eastAsia="宋体" w:cs="宋体"/>
          <w:highlight w:val="none"/>
        </w:rPr>
      </w:pPr>
      <w:r>
        <w:rPr>
          <w:rFonts w:hint="eastAsia" w:eastAsia="宋体" w:cs="宋体"/>
          <w:color w:val="auto"/>
          <w:sz w:val="24"/>
          <w:szCs w:val="24"/>
          <w:highlight w:val="none"/>
        </w:rPr>
        <w:br w:type="page"/>
      </w:r>
      <w:bookmarkStart w:id="190" w:name="_Toc30565"/>
      <w:bookmarkStart w:id="191" w:name="_Toc28826"/>
      <w:bookmarkStart w:id="192" w:name="_Toc11590"/>
      <w:bookmarkStart w:id="193" w:name="_Toc7306"/>
      <w:bookmarkStart w:id="194" w:name="_Toc25848"/>
      <w:bookmarkStart w:id="195" w:name="_Toc7016"/>
      <w:bookmarkStart w:id="196" w:name="_Toc31023"/>
      <w:r>
        <w:rPr>
          <w:rFonts w:hint="eastAsia" w:eastAsia="宋体" w:cs="宋体"/>
          <w:highlight w:val="none"/>
        </w:rPr>
        <w:t>第二部分 技术部分</w:t>
      </w:r>
      <w:bookmarkEnd w:id="190"/>
      <w:bookmarkEnd w:id="191"/>
      <w:bookmarkEnd w:id="192"/>
      <w:bookmarkEnd w:id="193"/>
      <w:bookmarkEnd w:id="194"/>
      <w:bookmarkEnd w:id="195"/>
      <w:bookmarkEnd w:id="196"/>
    </w:p>
    <w:p>
      <w:pPr>
        <w:spacing w:line="360" w:lineRule="auto"/>
        <w:jc w:val="center"/>
        <w:outlineLvl w:val="1"/>
        <w:rPr>
          <w:rFonts w:cs="宋体"/>
          <w:highlight w:val="none"/>
        </w:rPr>
      </w:pPr>
      <w:bookmarkStart w:id="197" w:name="_Toc13128"/>
      <w:bookmarkStart w:id="198" w:name="_Toc1548"/>
      <w:bookmarkStart w:id="199" w:name="_Toc12833"/>
      <w:bookmarkStart w:id="200" w:name="_Toc24279"/>
      <w:r>
        <w:rPr>
          <w:rFonts w:hint="eastAsia" w:cs="宋体"/>
          <w:bCs/>
          <w:sz w:val="32"/>
          <w:highlight w:val="none"/>
        </w:rPr>
        <w:t>第一章  项目采购需求</w:t>
      </w:r>
      <w:bookmarkEnd w:id="197"/>
      <w:bookmarkEnd w:id="198"/>
      <w:bookmarkEnd w:id="199"/>
      <w:bookmarkEnd w:id="200"/>
    </w:p>
    <w:p>
      <w:pPr>
        <w:widowControl/>
        <w:snapToGrid w:val="0"/>
        <w:spacing w:line="360" w:lineRule="auto"/>
        <w:jc w:val="left"/>
        <w:outlineLvl w:val="2"/>
        <w:rPr>
          <w:rFonts w:cs="宋体"/>
          <w:highlight w:val="none"/>
        </w:rPr>
      </w:pPr>
      <w:bookmarkStart w:id="201" w:name="_Toc29909"/>
      <w:bookmarkStart w:id="202" w:name="_Toc17734"/>
      <w:r>
        <w:rPr>
          <w:rFonts w:hint="eastAsia" w:cs="宋体"/>
          <w:b/>
          <w:bCs/>
          <w:highlight w:val="none"/>
        </w:rPr>
        <w:t>一、项目概况</w:t>
      </w:r>
      <w:bookmarkEnd w:id="201"/>
      <w:bookmarkEnd w:id="202"/>
    </w:p>
    <w:p>
      <w:pPr>
        <w:snapToGrid w:val="0"/>
        <w:spacing w:line="360" w:lineRule="auto"/>
        <w:ind w:firstLine="480" w:firstLineChars="200"/>
        <w:rPr>
          <w:rFonts w:cs="宋体"/>
          <w:highlight w:val="none"/>
        </w:rPr>
      </w:pPr>
      <w:r>
        <w:rPr>
          <w:rFonts w:hint="eastAsia" w:cs="宋体"/>
          <w:highlight w:val="none"/>
        </w:rPr>
        <w:t>为满足职工用餐需求，提高职工餐饮质量，现就国家税务总局十堰市税务局2025年度食堂餐饮服务项目进行招标。</w:t>
      </w:r>
    </w:p>
    <w:p>
      <w:pPr>
        <w:widowControl/>
        <w:snapToGrid w:val="0"/>
        <w:spacing w:line="360" w:lineRule="auto"/>
        <w:jc w:val="left"/>
        <w:outlineLvl w:val="2"/>
        <w:rPr>
          <w:rFonts w:cs="宋体"/>
          <w:b/>
          <w:bCs/>
          <w:highlight w:val="none"/>
        </w:rPr>
      </w:pPr>
      <w:bookmarkStart w:id="203" w:name="_Toc27052"/>
      <w:bookmarkStart w:id="204" w:name="_Toc28215"/>
      <w:r>
        <w:rPr>
          <w:rFonts w:hint="eastAsia" w:cs="宋体"/>
          <w:b/>
          <w:bCs/>
          <w:highlight w:val="none"/>
        </w:rPr>
        <w:t>二、服务范围</w:t>
      </w:r>
      <w:bookmarkEnd w:id="203"/>
      <w:bookmarkEnd w:id="204"/>
    </w:p>
    <w:p>
      <w:pPr>
        <w:snapToGrid w:val="0"/>
        <w:spacing w:line="360" w:lineRule="auto"/>
        <w:ind w:firstLine="480" w:firstLineChars="200"/>
        <w:rPr>
          <w:rFonts w:cs="宋体"/>
          <w:highlight w:val="none"/>
        </w:rPr>
      </w:pPr>
      <w:r>
        <w:rPr>
          <w:rFonts w:hint="eastAsia" w:cs="宋体"/>
          <w:highlight w:val="none"/>
        </w:rPr>
        <w:t xml:space="preserve">本项目在机关及派出单位5个职工食堂，食堂实行人工打餐制，每天早、中餐就餐人数各1000人左右。工作日正常提供早、中餐及临时客餐、加班工作餐服务。 </w:t>
      </w:r>
    </w:p>
    <w:p>
      <w:pPr>
        <w:widowControl/>
        <w:snapToGrid w:val="0"/>
        <w:spacing w:line="360" w:lineRule="auto"/>
        <w:jc w:val="left"/>
        <w:outlineLvl w:val="2"/>
        <w:rPr>
          <w:rFonts w:cs="宋体"/>
          <w:b/>
          <w:bCs/>
          <w:highlight w:val="none"/>
        </w:rPr>
      </w:pPr>
      <w:bookmarkStart w:id="205" w:name="_Toc14170"/>
      <w:bookmarkStart w:id="206" w:name="_Toc21312"/>
      <w:r>
        <w:rPr>
          <w:rFonts w:hint="eastAsia" w:cs="宋体"/>
          <w:b/>
          <w:bCs/>
          <w:highlight w:val="none"/>
        </w:rPr>
        <w:t>三、服务方式</w:t>
      </w:r>
      <w:bookmarkEnd w:id="205"/>
      <w:bookmarkEnd w:id="206"/>
    </w:p>
    <w:p>
      <w:pPr>
        <w:widowControl/>
        <w:snapToGrid w:val="0"/>
        <w:spacing w:line="360" w:lineRule="auto"/>
        <w:ind w:firstLine="480" w:firstLineChars="200"/>
        <w:jc w:val="left"/>
        <w:rPr>
          <w:rFonts w:cs="宋体"/>
          <w:highlight w:val="none"/>
        </w:rPr>
      </w:pPr>
      <w:r>
        <w:rPr>
          <w:rFonts w:hint="eastAsia" w:cs="宋体"/>
          <w:highlight w:val="none"/>
        </w:rPr>
        <w:t>中标方承担用工、饮食服务、生产、管理以及协助业主方相关服务，餐饮设施设备、食材及相关低值易耗品采购及供应由业主方负责，中标方只为业主方提供服务，不得对外经营。</w:t>
      </w:r>
    </w:p>
    <w:p>
      <w:pPr>
        <w:widowControl/>
        <w:snapToGrid w:val="0"/>
        <w:spacing w:line="360" w:lineRule="auto"/>
        <w:ind w:firstLine="482" w:firstLineChars="200"/>
        <w:jc w:val="left"/>
        <w:rPr>
          <w:rFonts w:cs="宋体"/>
          <w:highlight w:val="none"/>
        </w:rPr>
      </w:pPr>
      <w:r>
        <w:rPr>
          <w:rFonts w:hint="eastAsia" w:cs="宋体"/>
          <w:b/>
          <w:bCs/>
          <w:highlight w:val="none"/>
        </w:rPr>
        <w:t>具体要求如下：</w:t>
      </w:r>
    </w:p>
    <w:p>
      <w:pPr>
        <w:widowControl/>
        <w:snapToGrid w:val="0"/>
        <w:spacing w:line="360" w:lineRule="auto"/>
        <w:ind w:firstLine="480" w:firstLineChars="200"/>
        <w:jc w:val="left"/>
        <w:rPr>
          <w:rFonts w:cs="宋体"/>
          <w:highlight w:val="none"/>
        </w:rPr>
      </w:pPr>
      <w:r>
        <w:rPr>
          <w:rFonts w:hint="eastAsia" w:cs="宋体"/>
          <w:highlight w:val="none"/>
        </w:rPr>
        <w:t xml:space="preserve">1、业主方提供厨房、餐厅（含仓库、整理间、办公室等）、厨具、餐具、卫生器具、消防设施、防鼠灭蚊蝇设施、计量设备、送餐设备、就餐收费(刷卡)系统及水、电、燃料。其设备、设施的所有权和处置权归业主方。 </w:t>
      </w:r>
    </w:p>
    <w:p>
      <w:pPr>
        <w:widowControl/>
        <w:snapToGrid w:val="0"/>
        <w:spacing w:line="360" w:lineRule="auto"/>
        <w:ind w:firstLine="480" w:firstLineChars="200"/>
        <w:jc w:val="left"/>
        <w:rPr>
          <w:rFonts w:cs="宋体"/>
          <w:highlight w:val="none"/>
        </w:rPr>
      </w:pPr>
      <w:r>
        <w:rPr>
          <w:rFonts w:hint="eastAsia" w:cs="宋体"/>
          <w:highlight w:val="none"/>
        </w:rPr>
        <w:t xml:space="preserve">2、项目服务终止时，中标方将按照接收时的移交清单，减除自然损耗和折旧后向业主方办理交接。 </w:t>
      </w:r>
    </w:p>
    <w:p>
      <w:pPr>
        <w:widowControl/>
        <w:snapToGrid w:val="0"/>
        <w:spacing w:line="360" w:lineRule="auto"/>
        <w:ind w:firstLine="480" w:firstLineChars="200"/>
        <w:jc w:val="left"/>
        <w:rPr>
          <w:rFonts w:cs="宋体"/>
          <w:highlight w:val="none"/>
        </w:rPr>
      </w:pPr>
      <w:r>
        <w:rPr>
          <w:rFonts w:hint="eastAsia" w:cs="宋体"/>
          <w:highlight w:val="none"/>
        </w:rPr>
        <w:t xml:space="preserve">3、服务期内设备、设施发生老化、非人为故障等致使无法继续使用的，以及需添置的低值易耗物品，均由业主方负责维修、更换或添置。事前由中标方提交申请单，向业主方报送。 </w:t>
      </w:r>
    </w:p>
    <w:p>
      <w:pPr>
        <w:widowControl/>
        <w:snapToGrid w:val="0"/>
        <w:spacing w:line="360" w:lineRule="auto"/>
        <w:ind w:firstLine="480" w:firstLineChars="200"/>
        <w:jc w:val="left"/>
        <w:rPr>
          <w:rFonts w:cs="宋体"/>
          <w:highlight w:val="none"/>
        </w:rPr>
      </w:pPr>
      <w:r>
        <w:rPr>
          <w:rFonts w:hint="eastAsia" w:cs="宋体"/>
          <w:highlight w:val="none"/>
        </w:rPr>
        <w:t xml:space="preserve">4、服务期内，系中标方人为原因造成的设备、设施损失，一律由中标方全额赔偿，由此引起的人员伤亡及其他损失同样由中标方承担。 </w:t>
      </w:r>
    </w:p>
    <w:p>
      <w:pPr>
        <w:widowControl/>
        <w:snapToGrid w:val="0"/>
        <w:spacing w:line="360" w:lineRule="auto"/>
        <w:ind w:firstLine="480" w:firstLineChars="200"/>
        <w:jc w:val="left"/>
        <w:rPr>
          <w:rFonts w:cs="宋体"/>
          <w:highlight w:val="none"/>
        </w:rPr>
      </w:pPr>
      <w:r>
        <w:rPr>
          <w:rFonts w:hint="eastAsia" w:cs="宋体"/>
          <w:highlight w:val="none"/>
        </w:rPr>
        <w:t xml:space="preserve">5、所有原材料、辅料等由业主方负责统一采购及结算。 </w:t>
      </w:r>
    </w:p>
    <w:p>
      <w:pPr>
        <w:widowControl/>
        <w:snapToGrid w:val="0"/>
        <w:spacing w:line="360" w:lineRule="auto"/>
        <w:ind w:firstLine="480" w:firstLineChars="200"/>
        <w:jc w:val="left"/>
        <w:rPr>
          <w:rFonts w:cs="宋体"/>
          <w:highlight w:val="none"/>
        </w:rPr>
      </w:pPr>
      <w:r>
        <w:rPr>
          <w:rFonts w:hint="eastAsia" w:cs="宋体"/>
          <w:highlight w:val="none"/>
        </w:rPr>
        <w:t xml:space="preserve">6、中标方必须与所提供的服务人员签订劳动合同，按签订的合同发放工资且购买保险。中标方与服务人员之间发生的一切纠纷与业主方无关。服务人员若违反国家法律法规所产生的所有责任由中标方全部承担。 </w:t>
      </w:r>
    </w:p>
    <w:p>
      <w:pPr>
        <w:widowControl/>
        <w:snapToGrid w:val="0"/>
        <w:spacing w:line="360" w:lineRule="auto"/>
        <w:ind w:firstLine="480" w:firstLineChars="200"/>
        <w:jc w:val="left"/>
        <w:rPr>
          <w:rFonts w:cs="宋体"/>
          <w:highlight w:val="none"/>
        </w:rPr>
      </w:pPr>
      <w:r>
        <w:rPr>
          <w:rFonts w:hint="eastAsia" w:cs="宋体"/>
          <w:highlight w:val="none"/>
        </w:rPr>
        <w:t xml:space="preserve">7、严格按照业主方的要求，按时开餐或送餐到指定地点。 </w:t>
      </w:r>
    </w:p>
    <w:p>
      <w:pPr>
        <w:widowControl/>
        <w:snapToGrid w:val="0"/>
        <w:spacing w:line="360" w:lineRule="auto"/>
        <w:ind w:firstLine="480" w:firstLineChars="200"/>
        <w:jc w:val="left"/>
        <w:rPr>
          <w:rFonts w:cs="宋体"/>
          <w:highlight w:val="none"/>
        </w:rPr>
      </w:pPr>
      <w:r>
        <w:rPr>
          <w:rFonts w:hint="eastAsia" w:cs="宋体"/>
          <w:highlight w:val="none"/>
        </w:rPr>
        <w:t xml:space="preserve">8、中标方要建立自己的卫生安全、消防安全、生产安全等管理体系和制度， 所做服务要每日记录,定期检查。 </w:t>
      </w:r>
    </w:p>
    <w:p>
      <w:pPr>
        <w:snapToGrid w:val="0"/>
        <w:spacing w:line="360" w:lineRule="auto"/>
        <w:rPr>
          <w:rFonts w:cs="宋体"/>
          <w:b/>
          <w:bCs/>
          <w:spacing w:val="-8"/>
          <w:sz w:val="25"/>
          <w:szCs w:val="25"/>
          <w:highlight w:val="none"/>
        </w:rPr>
      </w:pPr>
      <w:r>
        <w:rPr>
          <w:rFonts w:hint="eastAsia" w:cs="宋体"/>
          <w:b/>
          <w:bCs/>
          <w:spacing w:val="-8"/>
          <w:sz w:val="25"/>
          <w:szCs w:val="25"/>
          <w:highlight w:val="none"/>
        </w:rPr>
        <w:br w:type="page"/>
      </w:r>
    </w:p>
    <w:p>
      <w:pPr>
        <w:widowControl/>
        <w:snapToGrid w:val="0"/>
        <w:spacing w:line="360" w:lineRule="auto"/>
        <w:ind w:firstLine="235" w:firstLineChars="100"/>
        <w:jc w:val="left"/>
        <w:outlineLvl w:val="2"/>
        <w:rPr>
          <w:rFonts w:cs="宋体"/>
          <w:b/>
          <w:bCs/>
          <w:highlight w:val="none"/>
        </w:rPr>
      </w:pPr>
      <w:bookmarkStart w:id="207" w:name="_Toc365"/>
      <w:bookmarkStart w:id="208" w:name="_Toc17923"/>
      <w:r>
        <w:rPr>
          <w:rFonts w:hint="eastAsia" w:cs="宋体"/>
          <w:b/>
          <w:bCs/>
          <w:spacing w:val="-8"/>
          <w:sz w:val="25"/>
          <w:szCs w:val="25"/>
          <w:highlight w:val="none"/>
        </w:rPr>
        <w:t>★</w:t>
      </w:r>
      <w:r>
        <w:rPr>
          <w:rFonts w:hint="eastAsia" w:cs="宋体"/>
          <w:b/>
          <w:bCs/>
          <w:highlight w:val="none"/>
        </w:rPr>
        <w:t>四、商务要求</w:t>
      </w:r>
      <w:bookmarkEnd w:id="207"/>
      <w:bookmarkEnd w:id="208"/>
    </w:p>
    <w:p>
      <w:pPr>
        <w:widowControl/>
        <w:snapToGrid w:val="0"/>
        <w:spacing w:line="360" w:lineRule="auto"/>
        <w:ind w:firstLine="480" w:firstLineChars="200"/>
        <w:jc w:val="left"/>
        <w:rPr>
          <w:rFonts w:cs="宋体"/>
          <w:highlight w:val="none"/>
        </w:rPr>
      </w:pPr>
      <w:r>
        <w:rPr>
          <w:rFonts w:hint="eastAsia" w:cs="宋体"/>
          <w:highlight w:val="none"/>
        </w:rPr>
        <w:t>1、项目预算（最高限价）：219万元/年。</w:t>
      </w:r>
    </w:p>
    <w:p>
      <w:pPr>
        <w:widowControl/>
        <w:snapToGrid w:val="0"/>
        <w:spacing w:line="360" w:lineRule="auto"/>
        <w:ind w:firstLine="480" w:firstLineChars="200"/>
        <w:jc w:val="left"/>
        <w:rPr>
          <w:rFonts w:cs="宋体"/>
          <w:highlight w:val="none"/>
        </w:rPr>
      </w:pPr>
      <w:r>
        <w:rPr>
          <w:rFonts w:hint="eastAsia" w:cs="宋体"/>
          <w:highlight w:val="none"/>
        </w:rPr>
        <w:t>2、服务期限：一年。</w:t>
      </w:r>
    </w:p>
    <w:p>
      <w:pPr>
        <w:widowControl/>
        <w:snapToGrid w:val="0"/>
        <w:spacing w:line="360" w:lineRule="auto"/>
        <w:ind w:firstLine="480" w:firstLineChars="200"/>
        <w:jc w:val="left"/>
        <w:rPr>
          <w:rFonts w:cs="宋体"/>
          <w:highlight w:val="none"/>
        </w:rPr>
      </w:pPr>
      <w:r>
        <w:rPr>
          <w:rFonts w:hint="eastAsia" w:cs="宋体"/>
          <w:highlight w:val="none"/>
        </w:rPr>
        <w:t xml:space="preserve">（一）中标方确定后，所有服务内容以合同形式确定，每月经采购方对中标方进行食堂管理制度考核后，对服务费按月支付。中标方须达到下列服务要求： </w:t>
      </w:r>
    </w:p>
    <w:p>
      <w:pPr>
        <w:widowControl/>
        <w:snapToGrid w:val="0"/>
        <w:spacing w:line="360" w:lineRule="auto"/>
        <w:ind w:firstLine="480" w:firstLineChars="200"/>
        <w:jc w:val="left"/>
        <w:rPr>
          <w:rFonts w:cs="宋体"/>
          <w:highlight w:val="none"/>
        </w:rPr>
      </w:pPr>
      <w:r>
        <w:rPr>
          <w:rFonts w:hint="eastAsia" w:cs="宋体"/>
          <w:highlight w:val="none"/>
        </w:rPr>
        <w:t xml:space="preserve">（1）每半年接受业主方及业主方职工针对菜品制作、卫生情况、服务质量进行满意度问卷调查，就餐满意度不得低于 85%。 </w:t>
      </w:r>
    </w:p>
    <w:p>
      <w:pPr>
        <w:widowControl/>
        <w:snapToGrid w:val="0"/>
        <w:spacing w:line="360" w:lineRule="auto"/>
        <w:ind w:firstLine="480" w:firstLineChars="200"/>
        <w:jc w:val="left"/>
        <w:rPr>
          <w:rFonts w:cs="宋体"/>
          <w:highlight w:val="none"/>
        </w:rPr>
      </w:pPr>
      <w:r>
        <w:rPr>
          <w:rFonts w:hint="eastAsia" w:cs="宋体"/>
          <w:highlight w:val="none"/>
        </w:rPr>
        <w:t>（2）服务质量、食品卫生及服务细则必须达到采购方管理要求（合同约定相关管理制度）。</w:t>
      </w:r>
    </w:p>
    <w:p>
      <w:pPr>
        <w:adjustRightInd w:val="0"/>
        <w:snapToGrid w:val="0"/>
        <w:spacing w:line="360" w:lineRule="auto"/>
        <w:ind w:firstLine="480" w:firstLineChars="200"/>
        <w:rPr>
          <w:rFonts w:cs="宋体"/>
          <w:b/>
          <w:bCs/>
          <w:highlight w:val="none"/>
        </w:rPr>
      </w:pPr>
      <w:r>
        <w:rPr>
          <w:rFonts w:hint="eastAsia" w:cs="宋体"/>
          <w:highlight w:val="none"/>
        </w:rPr>
        <w:t>3、服务地点：</w:t>
      </w:r>
    </w:p>
    <w:p>
      <w:pPr>
        <w:adjustRightInd w:val="0"/>
        <w:snapToGrid w:val="0"/>
        <w:spacing w:line="360" w:lineRule="auto"/>
        <w:ind w:firstLine="480" w:firstLineChars="200"/>
        <w:rPr>
          <w:rFonts w:cs="宋体"/>
          <w:highlight w:val="none"/>
        </w:rPr>
      </w:pPr>
      <w:r>
        <w:rPr>
          <w:rFonts w:hint="eastAsia" w:cs="宋体"/>
          <w:highlight w:val="none"/>
        </w:rPr>
        <w:t>（1）国家税务</w:t>
      </w:r>
      <w:r>
        <w:rPr>
          <w:rFonts w:hint="eastAsia" w:cs="宋体"/>
          <w:highlight w:val="none"/>
          <w:lang w:eastAsia="zh-CN"/>
        </w:rPr>
        <w:t>总</w:t>
      </w:r>
      <w:r>
        <w:rPr>
          <w:rFonts w:hint="eastAsia" w:cs="宋体"/>
          <w:highlight w:val="none"/>
        </w:rPr>
        <w:t>局十堰市税务局食堂（朝阳中路15号）</w:t>
      </w:r>
    </w:p>
    <w:p>
      <w:pPr>
        <w:adjustRightInd w:val="0"/>
        <w:snapToGrid w:val="0"/>
        <w:spacing w:line="360" w:lineRule="auto"/>
        <w:ind w:firstLine="480" w:firstLineChars="200"/>
        <w:rPr>
          <w:rFonts w:cs="宋体"/>
          <w:highlight w:val="none"/>
        </w:rPr>
      </w:pPr>
      <w:r>
        <w:rPr>
          <w:rFonts w:hint="eastAsia" w:cs="宋体"/>
          <w:highlight w:val="none"/>
        </w:rPr>
        <w:t>（2）国家税务</w:t>
      </w:r>
      <w:r>
        <w:rPr>
          <w:rFonts w:hint="eastAsia" w:cs="宋体"/>
          <w:highlight w:val="none"/>
          <w:lang w:eastAsia="zh-CN"/>
        </w:rPr>
        <w:t>总</w:t>
      </w:r>
      <w:r>
        <w:rPr>
          <w:rFonts w:hint="eastAsia" w:cs="宋体"/>
          <w:highlight w:val="none"/>
        </w:rPr>
        <w:t>局十堰市税务局第一税务分局食堂（东山路2号）</w:t>
      </w:r>
    </w:p>
    <w:p>
      <w:pPr>
        <w:adjustRightInd w:val="0"/>
        <w:snapToGrid w:val="0"/>
        <w:spacing w:line="360" w:lineRule="auto"/>
        <w:ind w:firstLine="480" w:firstLineChars="200"/>
        <w:rPr>
          <w:rFonts w:cs="宋体"/>
          <w:highlight w:val="none"/>
        </w:rPr>
      </w:pPr>
      <w:r>
        <w:rPr>
          <w:rFonts w:hint="eastAsia" w:cs="宋体"/>
          <w:highlight w:val="none"/>
        </w:rPr>
        <w:t>（3）国家税务</w:t>
      </w:r>
      <w:r>
        <w:rPr>
          <w:rFonts w:hint="eastAsia" w:cs="宋体"/>
          <w:highlight w:val="none"/>
          <w:lang w:eastAsia="zh-CN"/>
        </w:rPr>
        <w:t>总</w:t>
      </w:r>
      <w:r>
        <w:rPr>
          <w:rFonts w:hint="eastAsia" w:cs="宋体"/>
          <w:highlight w:val="none"/>
        </w:rPr>
        <w:t>局十堰市税务局第二税务分局食堂（港晖巷17号）</w:t>
      </w:r>
    </w:p>
    <w:p>
      <w:pPr>
        <w:adjustRightInd w:val="0"/>
        <w:snapToGrid w:val="0"/>
        <w:spacing w:line="360" w:lineRule="auto"/>
        <w:ind w:firstLine="480" w:firstLineChars="200"/>
        <w:rPr>
          <w:rFonts w:cs="宋体"/>
          <w:highlight w:val="none"/>
        </w:rPr>
      </w:pPr>
      <w:r>
        <w:rPr>
          <w:rFonts w:hint="eastAsia" w:cs="宋体"/>
          <w:highlight w:val="none"/>
        </w:rPr>
        <w:t>（4）国家税务</w:t>
      </w:r>
      <w:r>
        <w:rPr>
          <w:rFonts w:hint="eastAsia" w:cs="宋体"/>
          <w:highlight w:val="none"/>
          <w:lang w:eastAsia="zh-CN"/>
        </w:rPr>
        <w:t>总</w:t>
      </w:r>
      <w:r>
        <w:rPr>
          <w:rFonts w:hint="eastAsia" w:cs="宋体"/>
          <w:highlight w:val="none"/>
        </w:rPr>
        <w:t>局十堰市税务局第一稽查局食堂（公园路38号）</w:t>
      </w:r>
    </w:p>
    <w:p>
      <w:pPr>
        <w:widowControl/>
        <w:snapToGrid w:val="0"/>
        <w:spacing w:line="360" w:lineRule="auto"/>
        <w:ind w:firstLine="480" w:firstLineChars="200"/>
        <w:jc w:val="left"/>
        <w:rPr>
          <w:rFonts w:cs="宋体"/>
          <w:highlight w:val="none"/>
        </w:rPr>
      </w:pPr>
      <w:r>
        <w:rPr>
          <w:rFonts w:hint="eastAsia" w:cs="宋体"/>
          <w:highlight w:val="none"/>
        </w:rPr>
        <w:t>（5）国家税务</w:t>
      </w:r>
      <w:r>
        <w:rPr>
          <w:rFonts w:hint="eastAsia" w:cs="宋体"/>
          <w:highlight w:val="none"/>
          <w:lang w:eastAsia="zh-CN"/>
        </w:rPr>
        <w:t>总</w:t>
      </w:r>
      <w:r>
        <w:rPr>
          <w:rFonts w:hint="eastAsia" w:cs="宋体"/>
          <w:highlight w:val="none"/>
        </w:rPr>
        <w:t>局十堰市税务局第二稽查局食堂（富康小区）</w:t>
      </w:r>
    </w:p>
    <w:p>
      <w:pPr>
        <w:snapToGrid w:val="0"/>
        <w:spacing w:line="360" w:lineRule="auto"/>
        <w:ind w:right="79" w:firstLine="436" w:firstLineChars="200"/>
        <w:rPr>
          <w:rFonts w:cs="宋体"/>
          <w:spacing w:val="-11"/>
          <w:highlight w:val="none"/>
        </w:rPr>
      </w:pPr>
      <w:r>
        <w:rPr>
          <w:rFonts w:hint="eastAsia" w:cs="宋体"/>
          <w:spacing w:val="-11"/>
          <w:highlight w:val="none"/>
        </w:rPr>
        <w:t>4、中标人与采购人严格按照《财政部关于进一步加强政府采购需求和履约验收管理的指导意见》(财库〔2016〕205号)以及国家相关规定和采购文件以及供应商的投标文件进行验收。</w:t>
      </w:r>
    </w:p>
    <w:p>
      <w:pPr>
        <w:snapToGrid w:val="0"/>
        <w:spacing w:line="360" w:lineRule="auto"/>
        <w:ind w:right="79" w:firstLine="436" w:firstLineChars="200"/>
        <w:rPr>
          <w:rFonts w:cs="宋体"/>
          <w:spacing w:val="-11"/>
          <w:highlight w:val="none"/>
        </w:rPr>
      </w:pPr>
      <w:r>
        <w:rPr>
          <w:rFonts w:hint="eastAsia" w:cs="宋体"/>
          <w:spacing w:val="-11"/>
          <w:highlight w:val="none"/>
        </w:rPr>
        <w:t>5、争议解决方式：双方发生争议的，向采购人所在地人民法院起诉解决。</w:t>
      </w:r>
    </w:p>
    <w:p>
      <w:pPr>
        <w:widowControl/>
        <w:snapToGrid w:val="0"/>
        <w:spacing w:line="360" w:lineRule="auto"/>
        <w:ind w:firstLine="436" w:firstLineChars="200"/>
        <w:jc w:val="left"/>
        <w:rPr>
          <w:rFonts w:cs="宋体"/>
          <w:highlight w:val="none"/>
        </w:rPr>
      </w:pPr>
      <w:r>
        <w:rPr>
          <w:rFonts w:hint="eastAsia" w:cs="宋体"/>
          <w:spacing w:val="-11"/>
          <w:highlight w:val="none"/>
        </w:rPr>
        <w:t>6、</w:t>
      </w:r>
      <w:r>
        <w:rPr>
          <w:rFonts w:hint="eastAsia" w:cs="宋体"/>
          <w:highlight w:val="none"/>
        </w:rPr>
        <w:t>中标供应商应当依据《中华人民共和国劳动法》《中华人民共和国民法典》及相关法律法规的规定与投入本项目的人员签订《劳动合同》,并履行对劳动者的法定义务，不得将这些义务转嫁于采购人。中标供应商应按照国家法律法规支付所派出全部服务人员工资、社保、工会基金、住房公积金等费用及各项补助、节日福利等(提供上述人员工资和社保缴费证明报采购方备案),其服务人员工资标准、劳保、福利等应执行国家和地方政府的相关法律、法规和部门规章，服务人员薪资不得低于当地最低薪酬标准，以不低于当地同种岗位薪酬支付劳动者劳动报酬，采购人有权查验监督。如遇国家政策法规调整，费用增加部分由中标供应商承担，采购人将不再增加费用。</w:t>
      </w:r>
    </w:p>
    <w:p>
      <w:pPr>
        <w:widowControl/>
        <w:snapToGrid w:val="0"/>
        <w:spacing w:line="360" w:lineRule="auto"/>
        <w:ind w:firstLine="480" w:firstLineChars="200"/>
        <w:jc w:val="left"/>
        <w:rPr>
          <w:rFonts w:cs="宋体"/>
          <w:highlight w:val="none"/>
        </w:rPr>
      </w:pPr>
      <w:r>
        <w:rPr>
          <w:rFonts w:hint="eastAsia" w:cs="宋体"/>
          <w:highlight w:val="none"/>
        </w:rPr>
        <w:t>7、若服务人员与中标供应商发生劳动纠纷的(含工伤事故) ,所产生的所有的法律责任由中标供应商承担，由此造成采购人损失或社会公信力遭受影响的，概由中标供应商承担赔偿责任及消除影响的责任。</w:t>
      </w:r>
    </w:p>
    <w:p>
      <w:pPr>
        <w:snapToGrid w:val="0"/>
        <w:spacing w:line="360" w:lineRule="auto"/>
        <w:ind w:firstLine="482" w:firstLineChars="200"/>
        <w:rPr>
          <w:rFonts w:cs="宋体"/>
          <w:highlight w:val="none"/>
        </w:rPr>
      </w:pPr>
      <w:r>
        <w:rPr>
          <w:rFonts w:hint="eastAsia" w:cs="宋体"/>
          <w:b/>
          <w:bCs/>
          <w:highlight w:val="none"/>
        </w:rPr>
        <w:t>8</w:t>
      </w:r>
      <w:r>
        <w:rPr>
          <w:rFonts w:hint="eastAsia" w:cs="宋体"/>
          <w:b/>
          <w:bCs/>
          <w:color w:val="000000"/>
          <w:highlight w:val="none"/>
        </w:rPr>
        <w:t>、</w:t>
      </w:r>
      <w:r>
        <w:rPr>
          <w:rFonts w:hint="eastAsia" w:cs="宋体"/>
          <w:b/>
          <w:bCs/>
          <w:highlight w:val="none"/>
        </w:rPr>
        <w:t>十堰市税务局职工食堂对中标供应商考核办法</w:t>
      </w:r>
    </w:p>
    <w:p>
      <w:pPr>
        <w:snapToGrid w:val="0"/>
        <w:spacing w:line="360" w:lineRule="auto"/>
        <w:rPr>
          <w:rFonts w:cs="宋体"/>
          <w:b/>
          <w:bCs/>
          <w:color w:val="000000"/>
          <w:highlight w:val="none"/>
        </w:rPr>
      </w:pPr>
      <w:r>
        <w:rPr>
          <w:rFonts w:hint="eastAsia" w:cs="宋体"/>
          <w:b/>
          <w:bCs/>
          <w:color w:val="000000"/>
          <w:highlight w:val="none"/>
        </w:rPr>
        <w:br w:type="page"/>
      </w:r>
      <w:bookmarkStart w:id="213" w:name="_GoBack"/>
      <w:bookmarkEnd w:id="213"/>
    </w:p>
    <w:p>
      <w:pPr>
        <w:snapToGrid w:val="0"/>
        <w:spacing w:line="360" w:lineRule="auto"/>
        <w:ind w:firstLine="482" w:firstLineChars="200"/>
        <w:jc w:val="center"/>
        <w:rPr>
          <w:rFonts w:cs="宋体"/>
          <w:b/>
          <w:bCs/>
          <w:color w:val="000000"/>
          <w:highlight w:val="none"/>
        </w:rPr>
      </w:pPr>
      <w:r>
        <w:rPr>
          <w:rFonts w:hint="eastAsia" w:cs="宋体"/>
          <w:b/>
          <w:bCs/>
          <w:color w:val="000000"/>
          <w:highlight w:val="none"/>
        </w:rPr>
        <w:t>十堰市税务局职工食堂对中标供应商考核办法</w:t>
      </w:r>
    </w:p>
    <w:p>
      <w:pPr>
        <w:snapToGrid w:val="0"/>
        <w:spacing w:line="360" w:lineRule="auto"/>
        <w:ind w:firstLine="480" w:firstLineChars="200"/>
        <w:rPr>
          <w:rFonts w:cs="宋体"/>
          <w:highlight w:val="none"/>
        </w:rPr>
      </w:pPr>
      <w:r>
        <w:rPr>
          <w:rFonts w:hint="eastAsia" w:cs="宋体"/>
          <w:highlight w:val="none"/>
        </w:rPr>
        <w:t>为进一步加强对职工食堂餐饮服务的管理，督促食堂服务人员遵守纪律，确保饮食安全，更好地为职工提供优质、规范的服务，特制定本考核办法：</w:t>
      </w:r>
    </w:p>
    <w:p>
      <w:pPr>
        <w:snapToGrid w:val="0"/>
        <w:spacing w:line="360" w:lineRule="auto"/>
        <w:ind w:firstLine="482" w:firstLineChars="200"/>
        <w:rPr>
          <w:rFonts w:cs="宋体"/>
          <w:b/>
          <w:bCs/>
          <w:highlight w:val="none"/>
        </w:rPr>
      </w:pPr>
      <w:r>
        <w:rPr>
          <w:rFonts w:hint="eastAsia" w:cs="宋体"/>
          <w:b/>
          <w:bCs/>
          <w:highlight w:val="none"/>
        </w:rPr>
        <w:t>一、考核人员组成</w:t>
      </w:r>
    </w:p>
    <w:p>
      <w:pPr>
        <w:snapToGrid w:val="0"/>
        <w:spacing w:line="360" w:lineRule="auto"/>
        <w:ind w:firstLine="480" w:firstLineChars="200"/>
        <w:rPr>
          <w:rFonts w:cs="宋体"/>
          <w:highlight w:val="none"/>
        </w:rPr>
      </w:pPr>
      <w:r>
        <w:rPr>
          <w:rFonts w:hint="eastAsia" w:cs="宋体"/>
          <w:highlight w:val="none"/>
        </w:rPr>
        <w:t>机关服务中心食堂工作负责人员及就餐员工参加。</w:t>
      </w:r>
    </w:p>
    <w:p>
      <w:pPr>
        <w:snapToGrid w:val="0"/>
        <w:spacing w:line="360" w:lineRule="auto"/>
        <w:ind w:firstLine="482" w:firstLineChars="200"/>
        <w:rPr>
          <w:rFonts w:cs="宋体"/>
          <w:b/>
          <w:bCs/>
          <w:highlight w:val="none"/>
        </w:rPr>
      </w:pPr>
      <w:r>
        <w:rPr>
          <w:rFonts w:hint="eastAsia" w:cs="宋体"/>
          <w:b/>
          <w:bCs/>
          <w:highlight w:val="none"/>
        </w:rPr>
        <w:t>二、考核范围</w:t>
      </w:r>
    </w:p>
    <w:p>
      <w:pPr>
        <w:snapToGrid w:val="0"/>
        <w:spacing w:line="360" w:lineRule="auto"/>
        <w:ind w:firstLine="480" w:firstLineChars="200"/>
        <w:rPr>
          <w:rFonts w:cs="宋体"/>
          <w:highlight w:val="none"/>
        </w:rPr>
      </w:pPr>
      <w:r>
        <w:rPr>
          <w:rFonts w:hint="eastAsia" w:cs="宋体"/>
          <w:highlight w:val="none"/>
        </w:rPr>
        <w:t>1.食堂日常服务考核：包括伙食质量、服务质量、卫生标准等。</w:t>
      </w:r>
    </w:p>
    <w:p>
      <w:pPr>
        <w:snapToGrid w:val="0"/>
        <w:spacing w:line="360" w:lineRule="auto"/>
        <w:ind w:firstLine="480" w:firstLineChars="200"/>
        <w:rPr>
          <w:rFonts w:cs="宋体"/>
          <w:highlight w:val="none"/>
        </w:rPr>
      </w:pPr>
      <w:r>
        <w:rPr>
          <w:rFonts w:hint="eastAsia" w:cs="宋体"/>
          <w:highlight w:val="none"/>
        </w:rPr>
        <w:t>2.食堂满意度调查：包括饭菜质量、服务态度、卫生状况、饭菜份量等。</w:t>
      </w:r>
    </w:p>
    <w:p>
      <w:pPr>
        <w:snapToGrid w:val="0"/>
        <w:spacing w:line="360" w:lineRule="auto"/>
        <w:ind w:firstLine="482" w:firstLineChars="200"/>
        <w:rPr>
          <w:rFonts w:cs="宋体"/>
          <w:b/>
          <w:bCs/>
          <w:highlight w:val="none"/>
        </w:rPr>
      </w:pPr>
      <w:r>
        <w:rPr>
          <w:rFonts w:hint="eastAsia" w:cs="宋体"/>
          <w:b/>
          <w:bCs/>
          <w:highlight w:val="none"/>
        </w:rPr>
        <w:t>三、考核办法</w:t>
      </w:r>
    </w:p>
    <w:p>
      <w:pPr>
        <w:snapToGrid w:val="0"/>
        <w:spacing w:line="360" w:lineRule="auto"/>
        <w:ind w:firstLine="480" w:firstLineChars="200"/>
        <w:rPr>
          <w:rFonts w:cs="宋体"/>
          <w:highlight w:val="none"/>
        </w:rPr>
      </w:pPr>
      <w:r>
        <w:rPr>
          <w:rFonts w:hint="eastAsia" w:cs="宋体"/>
          <w:highlight w:val="none"/>
        </w:rPr>
        <w:t>1.定期考核：每半年组织考核一次，食堂工作负责人员到食堂实际检查，并量化打分；食堂满意度调查，全体就餐职工填写《食堂满意度调查表》进行打分。</w:t>
      </w:r>
    </w:p>
    <w:p>
      <w:pPr>
        <w:snapToGrid w:val="0"/>
        <w:spacing w:line="360" w:lineRule="auto"/>
        <w:ind w:firstLine="480" w:firstLineChars="200"/>
        <w:rPr>
          <w:rFonts w:cs="宋体"/>
          <w:highlight w:val="none"/>
        </w:rPr>
      </w:pPr>
      <w:r>
        <w:rPr>
          <w:rFonts w:hint="eastAsia" w:cs="宋体"/>
          <w:highlight w:val="none"/>
        </w:rPr>
        <w:t>2.不定期考核：根据就餐职工意见，由机关服务中心牵头，随时对食堂餐饮服务内容进行检查。</w:t>
      </w:r>
    </w:p>
    <w:p>
      <w:pPr>
        <w:snapToGrid w:val="0"/>
        <w:spacing w:line="360" w:lineRule="auto"/>
        <w:ind w:firstLine="482" w:firstLineChars="200"/>
        <w:rPr>
          <w:rFonts w:cs="宋体"/>
          <w:b/>
          <w:bCs/>
          <w:highlight w:val="none"/>
        </w:rPr>
      </w:pPr>
      <w:r>
        <w:rPr>
          <w:rFonts w:hint="eastAsia" w:cs="宋体"/>
          <w:b/>
          <w:bCs/>
          <w:highlight w:val="none"/>
        </w:rPr>
        <w:t>四、考核结果的运用</w:t>
      </w:r>
    </w:p>
    <w:p>
      <w:pPr>
        <w:snapToGrid w:val="0"/>
        <w:spacing w:line="360" w:lineRule="auto"/>
        <w:ind w:firstLine="480" w:firstLineChars="200"/>
        <w:rPr>
          <w:rFonts w:cs="宋体"/>
          <w:highlight w:val="none"/>
        </w:rPr>
      </w:pPr>
      <w:r>
        <w:rPr>
          <w:rFonts w:hint="eastAsia" w:cs="宋体"/>
          <w:highlight w:val="none"/>
        </w:rPr>
        <w:t>1.遵守规章制度，按时上下岗，迟到早退扣1分／次。遇事请假，凡请假一天扣当天的服务费用。无故旷工追加罚款50元。</w:t>
      </w:r>
    </w:p>
    <w:p>
      <w:pPr>
        <w:snapToGrid w:val="0"/>
        <w:spacing w:line="360" w:lineRule="auto"/>
        <w:ind w:firstLine="480" w:firstLineChars="200"/>
        <w:rPr>
          <w:rFonts w:cs="宋体"/>
          <w:highlight w:val="none"/>
        </w:rPr>
      </w:pPr>
      <w:r>
        <w:rPr>
          <w:rFonts w:hint="eastAsia" w:cs="宋体"/>
          <w:highlight w:val="none"/>
        </w:rPr>
        <w:t>2.上岗时必须穿戴工作衣帽，佩戴上岗证，违者每项扣1分／次。要做到五勤：勤洗手、勤洗澡、勤理发、勤换衣服、勤剪指甲。个人卫生不合格扣1分/次。</w:t>
      </w:r>
    </w:p>
    <w:p>
      <w:pPr>
        <w:numPr>
          <w:ilvl w:val="0"/>
          <w:numId w:val="18"/>
        </w:numPr>
        <w:snapToGrid w:val="0"/>
        <w:spacing w:line="360" w:lineRule="auto"/>
        <w:ind w:firstLine="480" w:firstLineChars="200"/>
        <w:rPr>
          <w:rFonts w:cs="宋体"/>
          <w:highlight w:val="none"/>
        </w:rPr>
      </w:pPr>
      <w:r>
        <w:rPr>
          <w:rFonts w:hint="eastAsia" w:cs="宋体"/>
          <w:highlight w:val="none"/>
        </w:rPr>
        <w:t>切菜、炒菜、做饭前及上厕所后要洗手，不准随地吐痰，不准对着食物打喷嚏、挠头、拍打灰尘等。发现扣1分/次。</w:t>
      </w:r>
    </w:p>
    <w:p>
      <w:pPr>
        <w:snapToGrid w:val="0"/>
        <w:spacing w:line="360" w:lineRule="auto"/>
        <w:ind w:firstLine="480" w:firstLineChars="200"/>
        <w:rPr>
          <w:rFonts w:cs="宋体"/>
          <w:highlight w:val="none"/>
        </w:rPr>
      </w:pPr>
      <w:r>
        <w:rPr>
          <w:rFonts w:hint="eastAsia" w:cs="宋体"/>
          <w:highlight w:val="none"/>
        </w:rPr>
        <w:t>4.肉菜食品、清洗、消毒餐厨具要符合卫生要求，违反规定的视情节轻重罚款1至5分/次。</w:t>
      </w:r>
    </w:p>
    <w:p>
      <w:pPr>
        <w:snapToGrid w:val="0"/>
        <w:spacing w:line="360" w:lineRule="auto"/>
        <w:ind w:firstLine="480" w:firstLineChars="200"/>
        <w:rPr>
          <w:rFonts w:cs="宋体"/>
          <w:highlight w:val="none"/>
        </w:rPr>
      </w:pPr>
      <w:r>
        <w:rPr>
          <w:rFonts w:hint="eastAsia" w:cs="宋体"/>
          <w:highlight w:val="none"/>
        </w:rPr>
        <w:t>5.在操作中，保持地面无杂物、无积水;洗菜、切菜、蒸饭炒菜每道程序没有按时完成而导致食堂不能正常开饭的扣1至3分/次。饭夹生、过烂，面食蒸的质量很差;肉菜烹调失当、怪味，视情节轻扣1至5分/次。</w:t>
      </w:r>
    </w:p>
    <w:p>
      <w:pPr>
        <w:snapToGrid w:val="0"/>
        <w:spacing w:line="360" w:lineRule="auto"/>
        <w:ind w:firstLine="480" w:firstLineChars="200"/>
        <w:rPr>
          <w:rFonts w:cs="宋体"/>
          <w:highlight w:val="none"/>
        </w:rPr>
      </w:pPr>
      <w:r>
        <w:rPr>
          <w:rFonts w:hint="eastAsia" w:cs="宋体"/>
          <w:highlight w:val="none"/>
        </w:rPr>
        <w:t>6.服务要吃苦耐劳，闲言少叙，密切配合，搞好团结，吵架每次扣1分/次。服务态度不好，说脏话扣1分/次。</w:t>
      </w:r>
    </w:p>
    <w:p>
      <w:pPr>
        <w:snapToGrid w:val="0"/>
        <w:spacing w:line="360" w:lineRule="auto"/>
        <w:ind w:firstLine="480" w:firstLineChars="200"/>
        <w:rPr>
          <w:rFonts w:cs="宋体"/>
          <w:highlight w:val="none"/>
        </w:rPr>
      </w:pPr>
      <w:r>
        <w:rPr>
          <w:rFonts w:hint="eastAsia" w:cs="宋体"/>
          <w:highlight w:val="none"/>
        </w:rPr>
        <w:t>7.爱护公物，因操作失误或工作疏忽大意造成餐厨具、卫生用具等损坏，原材料极大浪费或重大损失的照价赔偿。</w:t>
      </w:r>
    </w:p>
    <w:p>
      <w:pPr>
        <w:snapToGrid w:val="0"/>
        <w:spacing w:line="360" w:lineRule="auto"/>
        <w:ind w:firstLine="480" w:firstLineChars="200"/>
        <w:rPr>
          <w:rFonts w:cs="宋体"/>
          <w:highlight w:val="none"/>
        </w:rPr>
      </w:pPr>
      <w:r>
        <w:rPr>
          <w:rFonts w:hint="eastAsia" w:cs="宋体"/>
          <w:highlight w:val="none"/>
        </w:rPr>
        <w:t>8.不得将食堂饭菜及其他物品等带出食堂，一经发现扣5分/次。</w:t>
      </w:r>
    </w:p>
    <w:p>
      <w:pPr>
        <w:snapToGrid w:val="0"/>
        <w:spacing w:line="360" w:lineRule="auto"/>
        <w:ind w:firstLine="480" w:firstLineChars="200"/>
        <w:rPr>
          <w:rFonts w:cs="宋体"/>
          <w:highlight w:val="none"/>
        </w:rPr>
      </w:pPr>
      <w:r>
        <w:rPr>
          <w:rFonts w:hint="eastAsia" w:cs="宋体"/>
          <w:highlight w:val="none"/>
        </w:rPr>
        <w:t>9.每餐后必须进行卫生清理。清理卫生马虎或不彻底，设备、餐厨具搽洗不干净的;没有摆放到规定的位置或摆放不规整的;各间各室、餐厅卫生等打扫后留有死角、渍污、饭菜、积水、灰尘的扣1分/次。</w:t>
      </w:r>
    </w:p>
    <w:p>
      <w:pPr>
        <w:snapToGrid w:val="0"/>
        <w:spacing w:line="360" w:lineRule="auto"/>
        <w:ind w:firstLine="480" w:firstLineChars="200"/>
        <w:rPr>
          <w:rFonts w:cs="宋体"/>
          <w:highlight w:val="none"/>
        </w:rPr>
      </w:pPr>
      <w:r>
        <w:rPr>
          <w:rFonts w:hint="eastAsia" w:cs="宋体"/>
          <w:highlight w:val="none"/>
        </w:rPr>
        <w:t>10.按时参加体检，得传染病的立即辞退。</w:t>
      </w:r>
    </w:p>
    <w:p>
      <w:pPr>
        <w:snapToGrid w:val="0"/>
        <w:spacing w:line="360" w:lineRule="auto"/>
        <w:ind w:firstLine="480" w:firstLineChars="200"/>
        <w:rPr>
          <w:rFonts w:cs="宋体"/>
          <w:highlight w:val="none"/>
        </w:rPr>
      </w:pPr>
      <w:r>
        <w:rPr>
          <w:rFonts w:hint="eastAsia" w:cs="宋体"/>
          <w:highlight w:val="none"/>
        </w:rPr>
        <w:t>11.在日常检査考核中，第一次检查结果在80分以下将对食堂餐饮服务公司进行批评教育;两次检查考核80分以下，将对食堂餐饮服务公司处罚金额2000元，并限期整改。</w:t>
      </w:r>
    </w:p>
    <w:p>
      <w:pPr>
        <w:snapToGrid w:val="0"/>
        <w:spacing w:line="360" w:lineRule="auto"/>
        <w:ind w:firstLine="480" w:firstLineChars="200"/>
        <w:rPr>
          <w:rFonts w:cs="宋体"/>
          <w:highlight w:val="none"/>
        </w:rPr>
      </w:pPr>
      <w:r>
        <w:rPr>
          <w:rFonts w:hint="eastAsia" w:cs="宋体"/>
          <w:highlight w:val="none"/>
        </w:rPr>
        <w:t>12.在满意度调査考核中，(1)当员工满意度调査低于80分，将对食堂餐饮服务公司进行警告，并限期整改;(2)当员工满意度调查低于60分，将对食堂餐饮服务公司处罚金额2000元，并责令对职工所提意见限期整改;(3)当两次满意度调査低于60分，将加大处罚力度，罚金5000元，并限期整改。</w:t>
      </w:r>
    </w:p>
    <w:p>
      <w:pPr>
        <w:snapToGrid w:val="0"/>
        <w:spacing w:line="360" w:lineRule="auto"/>
        <w:ind w:firstLine="480" w:firstLineChars="200"/>
        <w:rPr>
          <w:rFonts w:cs="宋体"/>
          <w:highlight w:val="none"/>
        </w:rPr>
      </w:pPr>
      <w:r>
        <w:rPr>
          <w:rFonts w:hint="eastAsia" w:cs="宋体"/>
          <w:highlight w:val="none"/>
        </w:rPr>
        <w:t>13、无正当理由不听从食堂负责人的安排调配的扣1分/次。月底累计所扣分数，每分按5元计算，钱从当月工资扣除。</w:t>
      </w:r>
    </w:p>
    <w:p>
      <w:pPr>
        <w:snapToGrid w:val="0"/>
        <w:spacing w:line="360" w:lineRule="auto"/>
        <w:ind w:left="480" w:leftChars="200"/>
        <w:rPr>
          <w:rFonts w:cs="宋体"/>
          <w:highlight w:val="none"/>
        </w:rPr>
      </w:pPr>
      <w:r>
        <w:rPr>
          <w:rFonts w:hint="eastAsia" w:cs="宋体"/>
          <w:highlight w:val="none"/>
        </w:rPr>
        <w:t>本办法自与中标方合订合同之日起实行，由市局机关服务中心负责解释。</w:t>
      </w:r>
    </w:p>
    <w:p>
      <w:pPr>
        <w:widowControl/>
        <w:snapToGrid w:val="0"/>
        <w:spacing w:line="360" w:lineRule="auto"/>
        <w:ind w:firstLine="470" w:firstLineChars="200"/>
        <w:jc w:val="left"/>
        <w:outlineLvl w:val="2"/>
        <w:rPr>
          <w:rFonts w:cs="宋体"/>
          <w:b/>
          <w:bCs/>
          <w:highlight w:val="none"/>
        </w:rPr>
      </w:pPr>
      <w:bookmarkStart w:id="209" w:name="_Toc31234"/>
      <w:bookmarkStart w:id="210" w:name="_Toc11414"/>
      <w:r>
        <w:rPr>
          <w:rFonts w:hint="eastAsia" w:cs="宋体"/>
          <w:b/>
          <w:bCs/>
          <w:spacing w:val="-8"/>
          <w:sz w:val="25"/>
          <w:szCs w:val="25"/>
          <w:highlight w:val="none"/>
        </w:rPr>
        <w:t>★</w:t>
      </w:r>
      <w:r>
        <w:rPr>
          <w:rFonts w:hint="eastAsia" w:cs="宋体"/>
          <w:b/>
          <w:bCs/>
          <w:highlight w:val="none"/>
        </w:rPr>
        <w:t>五、技术要求</w:t>
      </w:r>
      <w:bookmarkEnd w:id="209"/>
      <w:bookmarkEnd w:id="210"/>
    </w:p>
    <w:p>
      <w:pPr>
        <w:widowControl/>
        <w:snapToGrid w:val="0"/>
        <w:spacing w:line="360" w:lineRule="auto"/>
        <w:ind w:firstLine="480" w:firstLineChars="200"/>
        <w:jc w:val="left"/>
        <w:rPr>
          <w:rFonts w:cs="宋体"/>
          <w:highlight w:val="none"/>
        </w:rPr>
      </w:pPr>
      <w:r>
        <w:rPr>
          <w:rFonts w:hint="eastAsia" w:cs="宋体"/>
          <w:highlight w:val="none"/>
        </w:rPr>
        <w:t>（一）人员配备与岗位职责</w:t>
      </w:r>
    </w:p>
    <w:p>
      <w:pPr>
        <w:widowControl/>
        <w:snapToGrid w:val="0"/>
        <w:spacing w:line="360" w:lineRule="auto"/>
        <w:ind w:firstLine="480" w:firstLineChars="200"/>
        <w:jc w:val="left"/>
        <w:rPr>
          <w:rFonts w:cs="宋体"/>
          <w:highlight w:val="none"/>
        </w:rPr>
      </w:pPr>
      <w:r>
        <w:rPr>
          <w:rFonts w:hint="eastAsia" w:cs="宋体"/>
          <w:highlight w:val="none"/>
        </w:rPr>
        <w:t>根据本项目所需人力资源配置测算，总人数应不少于34人，其中：红案一级 6 人、红案二级2人、白案一级6人、白案二级2人、服务员10人、择洗8 人。</w:t>
      </w:r>
    </w:p>
    <w:p>
      <w:pPr>
        <w:widowControl/>
        <w:snapToGrid w:val="0"/>
        <w:spacing w:line="360" w:lineRule="auto"/>
        <w:ind w:firstLine="480" w:firstLineChars="200"/>
        <w:jc w:val="left"/>
        <w:rPr>
          <w:rFonts w:cs="宋体"/>
          <w:highlight w:val="none"/>
        </w:rPr>
      </w:pPr>
      <w:r>
        <w:rPr>
          <w:rFonts w:hint="eastAsia" w:cs="宋体"/>
          <w:highlight w:val="none"/>
        </w:rPr>
        <w:t>食堂餐饮服务人员应责任心强，工作细致，年龄在 18 至 55 岁之间，并持有健康证上岗，所有食堂服务人员必须全部具备有效期内的健康证，项目执行过程中，由供应商负责相关人员健康证的管理，保证整个项目服务期内的所有相关人员健康证的有效性。所有人员必须专职为本项目服务，不得兼职。采购人具有不定期监</w:t>
      </w:r>
      <w:r>
        <w:rPr>
          <w:rFonts w:hint="eastAsia" w:cs="宋体"/>
          <w:spacing w:val="-11"/>
          <w:highlight w:val="none"/>
        </w:rPr>
        <w:t>督抽查和考核评价权力</w:t>
      </w:r>
      <w:r>
        <w:rPr>
          <w:rFonts w:hint="eastAsia" w:cs="宋体"/>
          <w:highlight w:val="none"/>
        </w:rPr>
        <w:t>。</w:t>
      </w:r>
    </w:p>
    <w:p>
      <w:pPr>
        <w:spacing w:line="360" w:lineRule="auto"/>
        <w:rPr>
          <w:rFonts w:cs="宋体"/>
          <w:highlight w:val="none"/>
        </w:rPr>
      </w:pPr>
      <w:r>
        <w:rPr>
          <w:rFonts w:hint="eastAsia" w:cs="宋体"/>
          <w:highlight w:val="none"/>
        </w:rPr>
        <w:br w:type="page"/>
      </w:r>
    </w:p>
    <w:p>
      <w:pPr>
        <w:widowControl/>
        <w:snapToGrid w:val="0"/>
        <w:spacing w:line="312" w:lineRule="auto"/>
        <w:ind w:firstLine="480" w:firstLineChars="200"/>
        <w:jc w:val="left"/>
        <w:rPr>
          <w:rFonts w:cs="宋体"/>
          <w:highlight w:val="none"/>
        </w:rPr>
      </w:pPr>
    </w:p>
    <w:tbl>
      <w:tblPr>
        <w:tblStyle w:val="35"/>
        <w:tblpPr w:leftFromText="180" w:rightFromText="180" w:vertAnchor="text" w:horzAnchor="page" w:tblpXSpec="center" w:tblpY="-240"/>
        <w:tblOverlap w:val="never"/>
        <w:tblW w:w="1055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2"/>
        <w:gridCol w:w="667"/>
        <w:gridCol w:w="807"/>
        <w:gridCol w:w="3058"/>
        <w:gridCol w:w="524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19" w:hRule="exact"/>
          <w:jc w:val="center"/>
        </w:trPr>
        <w:tc>
          <w:tcPr>
            <w:tcW w:w="782" w:type="dxa"/>
            <w:noWrap/>
            <w:vAlign w:val="center"/>
          </w:tcPr>
          <w:p>
            <w:pPr>
              <w:snapToGrid w:val="0"/>
              <w:spacing w:line="312" w:lineRule="auto"/>
              <w:jc w:val="center"/>
              <w:rPr>
                <w:rFonts w:cs="宋体"/>
                <w:b/>
                <w:bCs/>
                <w:highlight w:val="none"/>
              </w:rPr>
            </w:pPr>
            <w:r>
              <w:rPr>
                <w:rFonts w:hint="eastAsia" w:cs="宋体"/>
                <w:b/>
                <w:bCs/>
                <w:highlight w:val="none"/>
              </w:rPr>
              <w:t>职务</w:t>
            </w:r>
          </w:p>
        </w:tc>
        <w:tc>
          <w:tcPr>
            <w:tcW w:w="1474" w:type="dxa"/>
            <w:gridSpan w:val="2"/>
            <w:noWrap/>
            <w:vAlign w:val="center"/>
          </w:tcPr>
          <w:p>
            <w:pPr>
              <w:snapToGrid w:val="0"/>
              <w:spacing w:line="312" w:lineRule="auto"/>
              <w:jc w:val="center"/>
              <w:rPr>
                <w:rFonts w:cs="宋体"/>
                <w:b/>
                <w:bCs/>
                <w:highlight w:val="none"/>
              </w:rPr>
            </w:pPr>
            <w:r>
              <w:rPr>
                <w:rFonts w:hint="eastAsia" w:cs="宋体"/>
                <w:b/>
                <w:bCs/>
                <w:highlight w:val="none"/>
              </w:rPr>
              <w:t>级别及人数</w:t>
            </w:r>
          </w:p>
        </w:tc>
        <w:tc>
          <w:tcPr>
            <w:tcW w:w="3058" w:type="dxa"/>
            <w:noWrap/>
            <w:vAlign w:val="center"/>
          </w:tcPr>
          <w:p>
            <w:pPr>
              <w:snapToGrid w:val="0"/>
              <w:spacing w:line="312" w:lineRule="auto"/>
              <w:jc w:val="center"/>
              <w:rPr>
                <w:rFonts w:cs="宋体"/>
                <w:b/>
                <w:bCs/>
                <w:highlight w:val="none"/>
              </w:rPr>
            </w:pPr>
            <w:r>
              <w:rPr>
                <w:rFonts w:hint="eastAsia" w:cs="宋体"/>
                <w:b/>
                <w:bCs/>
                <w:highlight w:val="none"/>
              </w:rPr>
              <w:t>岗位要求</w:t>
            </w:r>
          </w:p>
        </w:tc>
        <w:tc>
          <w:tcPr>
            <w:tcW w:w="5244" w:type="dxa"/>
            <w:noWrap/>
            <w:vAlign w:val="center"/>
          </w:tcPr>
          <w:p>
            <w:pPr>
              <w:snapToGrid w:val="0"/>
              <w:spacing w:line="312" w:lineRule="auto"/>
              <w:jc w:val="center"/>
              <w:rPr>
                <w:rFonts w:cs="宋体"/>
                <w:b/>
                <w:bCs/>
                <w:highlight w:val="none"/>
              </w:rPr>
            </w:pPr>
            <w:r>
              <w:rPr>
                <w:rFonts w:hint="eastAsia" w:cs="宋体"/>
                <w:b/>
                <w:bCs/>
                <w:highlight w:val="none"/>
              </w:rPr>
              <w:t>具体分工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9" w:hRule="exact"/>
          <w:jc w:val="center"/>
        </w:trPr>
        <w:tc>
          <w:tcPr>
            <w:tcW w:w="782" w:type="dxa"/>
            <w:vMerge w:val="restart"/>
            <w:noWrap/>
            <w:vAlign w:val="center"/>
          </w:tcPr>
          <w:p>
            <w:pPr>
              <w:snapToGrid w:val="0"/>
              <w:spacing w:line="312" w:lineRule="auto"/>
              <w:jc w:val="center"/>
              <w:rPr>
                <w:rFonts w:cs="宋体"/>
                <w:highlight w:val="none"/>
              </w:rPr>
            </w:pPr>
            <w:r>
              <w:rPr>
                <w:rFonts w:hint="eastAsia" w:cs="宋体"/>
                <w:highlight w:val="none"/>
              </w:rPr>
              <w:t>红案师</w:t>
            </w:r>
          </w:p>
        </w:tc>
        <w:tc>
          <w:tcPr>
            <w:tcW w:w="667" w:type="dxa"/>
            <w:tcBorders>
              <w:bottom w:val="single" w:color="auto" w:sz="4" w:space="0"/>
              <w:right w:val="single" w:color="auto" w:sz="4" w:space="0"/>
            </w:tcBorders>
            <w:noWrap/>
            <w:vAlign w:val="center"/>
          </w:tcPr>
          <w:p>
            <w:pPr>
              <w:snapToGrid w:val="0"/>
              <w:spacing w:line="312" w:lineRule="auto"/>
              <w:jc w:val="center"/>
              <w:rPr>
                <w:rFonts w:cs="宋体"/>
                <w:highlight w:val="none"/>
              </w:rPr>
            </w:pPr>
            <w:r>
              <w:rPr>
                <w:rFonts w:hint="eastAsia" w:cs="宋体"/>
                <w:highlight w:val="none"/>
              </w:rPr>
              <w:t>一级</w:t>
            </w:r>
          </w:p>
        </w:tc>
        <w:tc>
          <w:tcPr>
            <w:tcW w:w="807" w:type="dxa"/>
            <w:tcBorders>
              <w:left w:val="single" w:color="auto" w:sz="4" w:space="0"/>
              <w:bottom w:val="single" w:color="auto" w:sz="4" w:space="0"/>
            </w:tcBorders>
            <w:noWrap/>
            <w:vAlign w:val="center"/>
          </w:tcPr>
          <w:p>
            <w:pPr>
              <w:snapToGrid w:val="0"/>
              <w:spacing w:line="312" w:lineRule="auto"/>
              <w:jc w:val="center"/>
              <w:rPr>
                <w:rFonts w:cs="宋体"/>
                <w:highlight w:val="none"/>
              </w:rPr>
            </w:pPr>
            <w:r>
              <w:rPr>
                <w:rFonts w:hint="eastAsia" w:cs="宋体"/>
                <w:highlight w:val="none"/>
              </w:rPr>
              <w:t>6人</w:t>
            </w:r>
          </w:p>
        </w:tc>
        <w:tc>
          <w:tcPr>
            <w:tcW w:w="3058" w:type="dxa"/>
            <w:vMerge w:val="restart"/>
            <w:noWrap/>
            <w:vAlign w:val="center"/>
          </w:tcPr>
          <w:p>
            <w:pPr>
              <w:snapToGrid w:val="0"/>
              <w:spacing w:line="312" w:lineRule="auto"/>
              <w:jc w:val="left"/>
              <w:rPr>
                <w:rFonts w:cs="宋体"/>
                <w:highlight w:val="none"/>
              </w:rPr>
            </w:pPr>
            <w:r>
              <w:rPr>
                <w:rFonts w:hint="eastAsia" w:cs="宋体"/>
                <w:highlight w:val="none"/>
              </w:rPr>
              <w:t>红案一级具有5年以上饮食烹饪服务经验，红案二级具有3年以上饮食烹饪服务经验。</w:t>
            </w:r>
          </w:p>
        </w:tc>
        <w:tc>
          <w:tcPr>
            <w:tcW w:w="5244" w:type="dxa"/>
            <w:vMerge w:val="restart"/>
            <w:noWrap/>
            <w:vAlign w:val="center"/>
          </w:tcPr>
          <w:p>
            <w:pPr>
              <w:snapToGrid w:val="0"/>
              <w:spacing w:line="312" w:lineRule="auto"/>
              <w:rPr>
                <w:rFonts w:cs="宋体"/>
                <w:highlight w:val="none"/>
              </w:rPr>
            </w:pPr>
            <w:r>
              <w:rPr>
                <w:rFonts w:hint="eastAsia" w:cs="宋体"/>
                <w:highlight w:val="none"/>
              </w:rPr>
              <w:t>1.熟知厨房中各种食品的特点和工艺流程，具有较全面的食品知识,掌握炒、煎、熘、煮、烹、爆、炸等各种烹调方法,具有两种以上菜系的饮食风味烹调和原材料加工、配菜能力。</w:t>
            </w:r>
          </w:p>
          <w:p>
            <w:pPr>
              <w:snapToGrid w:val="0"/>
              <w:spacing w:line="312" w:lineRule="auto"/>
              <w:rPr>
                <w:rFonts w:cs="宋体"/>
                <w:highlight w:val="none"/>
              </w:rPr>
            </w:pPr>
            <w:r>
              <w:rPr>
                <w:rFonts w:hint="eastAsia" w:cs="宋体"/>
                <w:highlight w:val="none"/>
              </w:rPr>
              <w:t>2.负责制定红案每日菜谱、负责饭菜加工。不制作、不出售腐烂变质的食品， 发现问题及时向食堂领导汇报，不得善自处理。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2" w:hRule="exact"/>
          <w:jc w:val="center"/>
        </w:trPr>
        <w:tc>
          <w:tcPr>
            <w:tcW w:w="782" w:type="dxa"/>
            <w:vMerge w:val="continue"/>
            <w:noWrap/>
            <w:vAlign w:val="center"/>
          </w:tcPr>
          <w:p>
            <w:pPr>
              <w:snapToGrid w:val="0"/>
              <w:spacing w:line="312" w:lineRule="auto"/>
              <w:jc w:val="center"/>
              <w:rPr>
                <w:rFonts w:cs="宋体"/>
                <w:highlight w:val="none"/>
              </w:rPr>
            </w:pPr>
          </w:p>
        </w:tc>
        <w:tc>
          <w:tcPr>
            <w:tcW w:w="667" w:type="dxa"/>
            <w:tcBorders>
              <w:top w:val="single" w:color="auto" w:sz="4" w:space="0"/>
              <w:right w:val="single" w:color="auto" w:sz="4" w:space="0"/>
            </w:tcBorders>
            <w:noWrap/>
            <w:vAlign w:val="center"/>
          </w:tcPr>
          <w:p>
            <w:pPr>
              <w:snapToGrid w:val="0"/>
              <w:spacing w:line="312" w:lineRule="auto"/>
              <w:jc w:val="center"/>
              <w:rPr>
                <w:rFonts w:cs="宋体"/>
                <w:highlight w:val="none"/>
              </w:rPr>
            </w:pPr>
            <w:r>
              <w:rPr>
                <w:rFonts w:hint="eastAsia" w:cs="宋体"/>
                <w:highlight w:val="none"/>
              </w:rPr>
              <w:t>二级</w:t>
            </w:r>
          </w:p>
        </w:tc>
        <w:tc>
          <w:tcPr>
            <w:tcW w:w="807" w:type="dxa"/>
            <w:tcBorders>
              <w:top w:val="single" w:color="auto" w:sz="4" w:space="0"/>
              <w:left w:val="single" w:color="auto" w:sz="4" w:space="0"/>
            </w:tcBorders>
            <w:noWrap/>
            <w:vAlign w:val="center"/>
          </w:tcPr>
          <w:p>
            <w:pPr>
              <w:snapToGrid w:val="0"/>
              <w:spacing w:line="312" w:lineRule="auto"/>
              <w:jc w:val="center"/>
              <w:rPr>
                <w:rFonts w:cs="宋体"/>
                <w:highlight w:val="none"/>
              </w:rPr>
            </w:pPr>
            <w:r>
              <w:rPr>
                <w:rFonts w:hint="eastAsia" w:cs="宋体"/>
                <w:highlight w:val="none"/>
              </w:rPr>
              <w:t>2人</w:t>
            </w:r>
          </w:p>
        </w:tc>
        <w:tc>
          <w:tcPr>
            <w:tcW w:w="3058" w:type="dxa"/>
            <w:vMerge w:val="continue"/>
            <w:noWrap/>
            <w:vAlign w:val="center"/>
          </w:tcPr>
          <w:p>
            <w:pPr>
              <w:snapToGrid w:val="0"/>
              <w:spacing w:line="312" w:lineRule="auto"/>
              <w:jc w:val="left"/>
              <w:rPr>
                <w:rFonts w:cs="宋体"/>
                <w:highlight w:val="none"/>
              </w:rPr>
            </w:pPr>
          </w:p>
        </w:tc>
        <w:tc>
          <w:tcPr>
            <w:tcW w:w="5244" w:type="dxa"/>
            <w:vMerge w:val="continue"/>
            <w:noWrap/>
            <w:vAlign w:val="center"/>
          </w:tcPr>
          <w:p>
            <w:pPr>
              <w:snapToGrid w:val="0"/>
              <w:spacing w:line="312" w:lineRule="auto"/>
              <w:rPr>
                <w:rFonts w:cs="宋体"/>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exact"/>
          <w:jc w:val="center"/>
        </w:trPr>
        <w:tc>
          <w:tcPr>
            <w:tcW w:w="782" w:type="dxa"/>
            <w:vMerge w:val="restart"/>
            <w:noWrap/>
            <w:vAlign w:val="center"/>
          </w:tcPr>
          <w:p>
            <w:pPr>
              <w:snapToGrid w:val="0"/>
              <w:spacing w:line="312" w:lineRule="auto"/>
              <w:jc w:val="center"/>
              <w:rPr>
                <w:rFonts w:cs="宋体"/>
                <w:highlight w:val="none"/>
              </w:rPr>
            </w:pPr>
            <w:r>
              <w:rPr>
                <w:rFonts w:hint="eastAsia" w:cs="宋体"/>
                <w:highlight w:val="none"/>
              </w:rPr>
              <w:t>白案师</w:t>
            </w:r>
          </w:p>
        </w:tc>
        <w:tc>
          <w:tcPr>
            <w:tcW w:w="667" w:type="dxa"/>
            <w:tcBorders>
              <w:bottom w:val="single" w:color="auto" w:sz="4" w:space="0"/>
              <w:right w:val="single" w:color="auto" w:sz="4" w:space="0"/>
            </w:tcBorders>
            <w:noWrap/>
            <w:vAlign w:val="center"/>
          </w:tcPr>
          <w:p>
            <w:pPr>
              <w:snapToGrid w:val="0"/>
              <w:spacing w:line="312" w:lineRule="auto"/>
              <w:jc w:val="center"/>
              <w:rPr>
                <w:rFonts w:cs="宋体"/>
                <w:highlight w:val="none"/>
              </w:rPr>
            </w:pPr>
            <w:r>
              <w:rPr>
                <w:rFonts w:hint="eastAsia" w:cs="宋体"/>
                <w:highlight w:val="none"/>
              </w:rPr>
              <w:t>一级</w:t>
            </w:r>
          </w:p>
        </w:tc>
        <w:tc>
          <w:tcPr>
            <w:tcW w:w="807" w:type="dxa"/>
            <w:tcBorders>
              <w:left w:val="single" w:color="auto" w:sz="4" w:space="0"/>
              <w:bottom w:val="single" w:color="auto" w:sz="4" w:space="0"/>
            </w:tcBorders>
            <w:noWrap/>
            <w:vAlign w:val="center"/>
          </w:tcPr>
          <w:p>
            <w:pPr>
              <w:snapToGrid w:val="0"/>
              <w:spacing w:line="312" w:lineRule="auto"/>
              <w:jc w:val="center"/>
              <w:rPr>
                <w:rFonts w:cs="宋体"/>
                <w:highlight w:val="none"/>
              </w:rPr>
            </w:pPr>
            <w:r>
              <w:rPr>
                <w:rFonts w:hint="eastAsia" w:cs="宋体"/>
                <w:highlight w:val="none"/>
              </w:rPr>
              <w:t>6人</w:t>
            </w:r>
          </w:p>
        </w:tc>
        <w:tc>
          <w:tcPr>
            <w:tcW w:w="3058" w:type="dxa"/>
            <w:vMerge w:val="restart"/>
            <w:noWrap/>
            <w:vAlign w:val="center"/>
          </w:tcPr>
          <w:p>
            <w:pPr>
              <w:snapToGrid w:val="0"/>
              <w:spacing w:line="312" w:lineRule="auto"/>
              <w:rPr>
                <w:rFonts w:cs="宋体"/>
                <w:highlight w:val="none"/>
              </w:rPr>
            </w:pPr>
            <w:r>
              <w:rPr>
                <w:rFonts w:hint="eastAsia" w:cs="宋体"/>
                <w:highlight w:val="none"/>
              </w:rPr>
              <w:t>白案一级具有5年以上服务经验，白案二级具有3年以上服务经验。</w:t>
            </w:r>
          </w:p>
          <w:p>
            <w:pPr>
              <w:snapToGrid w:val="0"/>
              <w:spacing w:line="312" w:lineRule="auto"/>
              <w:rPr>
                <w:rFonts w:cs="宋体"/>
                <w:highlight w:val="none"/>
              </w:rPr>
            </w:pPr>
          </w:p>
        </w:tc>
        <w:tc>
          <w:tcPr>
            <w:tcW w:w="5244" w:type="dxa"/>
            <w:vMerge w:val="restart"/>
            <w:noWrap/>
            <w:vAlign w:val="center"/>
          </w:tcPr>
          <w:p>
            <w:pPr>
              <w:snapToGrid w:val="0"/>
              <w:spacing w:line="312" w:lineRule="auto"/>
              <w:rPr>
                <w:rFonts w:cs="宋体"/>
                <w:highlight w:val="none"/>
              </w:rPr>
            </w:pPr>
            <w:r>
              <w:rPr>
                <w:rFonts w:hint="eastAsia" w:cs="宋体"/>
                <w:highlight w:val="none"/>
              </w:rPr>
              <w:t>1.有独立完成煎、炸、煮、蒸、中西面点、烘烤技能操作的能力。</w:t>
            </w:r>
          </w:p>
          <w:p>
            <w:pPr>
              <w:snapToGrid w:val="0"/>
              <w:spacing w:line="312" w:lineRule="auto"/>
              <w:rPr>
                <w:rFonts w:cs="宋体"/>
                <w:highlight w:val="none"/>
              </w:rPr>
            </w:pPr>
            <w:r>
              <w:rPr>
                <w:rFonts w:hint="eastAsia" w:cs="宋体"/>
                <w:highlight w:val="none"/>
              </w:rPr>
              <w:t>2.提供早餐餐品，负责面点制作，做好食堂服务等。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5" w:hRule="exact"/>
          <w:jc w:val="center"/>
        </w:trPr>
        <w:tc>
          <w:tcPr>
            <w:tcW w:w="782" w:type="dxa"/>
            <w:vMerge w:val="continue"/>
            <w:noWrap/>
            <w:vAlign w:val="center"/>
          </w:tcPr>
          <w:p>
            <w:pPr>
              <w:snapToGrid w:val="0"/>
              <w:spacing w:line="312" w:lineRule="auto"/>
              <w:jc w:val="center"/>
              <w:rPr>
                <w:rFonts w:cs="宋体"/>
                <w:highlight w:val="none"/>
              </w:rPr>
            </w:pPr>
          </w:p>
        </w:tc>
        <w:tc>
          <w:tcPr>
            <w:tcW w:w="667" w:type="dxa"/>
            <w:tcBorders>
              <w:top w:val="single" w:color="auto" w:sz="4" w:space="0"/>
              <w:right w:val="single" w:color="auto" w:sz="4" w:space="0"/>
            </w:tcBorders>
            <w:noWrap/>
            <w:vAlign w:val="center"/>
          </w:tcPr>
          <w:p>
            <w:pPr>
              <w:snapToGrid w:val="0"/>
              <w:spacing w:line="312" w:lineRule="auto"/>
              <w:jc w:val="center"/>
              <w:rPr>
                <w:rFonts w:cs="宋体"/>
                <w:highlight w:val="none"/>
              </w:rPr>
            </w:pPr>
            <w:r>
              <w:rPr>
                <w:rFonts w:hint="eastAsia" w:cs="宋体"/>
                <w:highlight w:val="none"/>
              </w:rPr>
              <w:t>二级</w:t>
            </w:r>
          </w:p>
        </w:tc>
        <w:tc>
          <w:tcPr>
            <w:tcW w:w="807" w:type="dxa"/>
            <w:tcBorders>
              <w:top w:val="single" w:color="auto" w:sz="4" w:space="0"/>
              <w:left w:val="single" w:color="auto" w:sz="4" w:space="0"/>
            </w:tcBorders>
            <w:noWrap/>
            <w:vAlign w:val="center"/>
          </w:tcPr>
          <w:p>
            <w:pPr>
              <w:snapToGrid w:val="0"/>
              <w:spacing w:line="312" w:lineRule="auto"/>
              <w:jc w:val="center"/>
              <w:rPr>
                <w:rFonts w:cs="宋体"/>
                <w:highlight w:val="none"/>
              </w:rPr>
            </w:pPr>
            <w:r>
              <w:rPr>
                <w:rFonts w:hint="eastAsia" w:cs="宋体"/>
                <w:highlight w:val="none"/>
              </w:rPr>
              <w:t>2人</w:t>
            </w:r>
          </w:p>
        </w:tc>
        <w:tc>
          <w:tcPr>
            <w:tcW w:w="3058" w:type="dxa"/>
            <w:vMerge w:val="continue"/>
            <w:noWrap/>
            <w:vAlign w:val="center"/>
          </w:tcPr>
          <w:p>
            <w:pPr>
              <w:snapToGrid w:val="0"/>
              <w:spacing w:line="312" w:lineRule="auto"/>
              <w:jc w:val="left"/>
              <w:rPr>
                <w:rFonts w:cs="宋体"/>
                <w:highlight w:val="none"/>
              </w:rPr>
            </w:pPr>
          </w:p>
        </w:tc>
        <w:tc>
          <w:tcPr>
            <w:tcW w:w="5244" w:type="dxa"/>
            <w:vMerge w:val="continue"/>
            <w:noWrap/>
            <w:vAlign w:val="center"/>
          </w:tcPr>
          <w:p>
            <w:pPr>
              <w:snapToGrid w:val="0"/>
              <w:spacing w:line="312" w:lineRule="auto"/>
              <w:rPr>
                <w:rFonts w:cs="宋体"/>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19" w:hRule="exact"/>
          <w:jc w:val="center"/>
        </w:trPr>
        <w:tc>
          <w:tcPr>
            <w:tcW w:w="782" w:type="dxa"/>
            <w:noWrap/>
            <w:vAlign w:val="center"/>
          </w:tcPr>
          <w:p>
            <w:pPr>
              <w:snapToGrid w:val="0"/>
              <w:spacing w:line="312" w:lineRule="auto"/>
              <w:jc w:val="center"/>
              <w:rPr>
                <w:rFonts w:cs="宋体"/>
                <w:highlight w:val="none"/>
              </w:rPr>
            </w:pPr>
            <w:r>
              <w:rPr>
                <w:rFonts w:hint="eastAsia" w:cs="宋体"/>
                <w:highlight w:val="none"/>
              </w:rPr>
              <w:t>服务员</w:t>
            </w:r>
          </w:p>
        </w:tc>
        <w:tc>
          <w:tcPr>
            <w:tcW w:w="1474" w:type="dxa"/>
            <w:gridSpan w:val="2"/>
            <w:noWrap/>
            <w:vAlign w:val="center"/>
          </w:tcPr>
          <w:p>
            <w:pPr>
              <w:snapToGrid w:val="0"/>
              <w:spacing w:line="312" w:lineRule="auto"/>
              <w:jc w:val="center"/>
              <w:rPr>
                <w:rFonts w:cs="宋体"/>
                <w:highlight w:val="none"/>
              </w:rPr>
            </w:pPr>
            <w:r>
              <w:rPr>
                <w:rFonts w:hint="eastAsia" w:cs="宋体"/>
                <w:highlight w:val="none"/>
              </w:rPr>
              <w:t>10人</w:t>
            </w:r>
          </w:p>
        </w:tc>
        <w:tc>
          <w:tcPr>
            <w:tcW w:w="3058" w:type="dxa"/>
            <w:vMerge w:val="restart"/>
            <w:noWrap/>
            <w:vAlign w:val="center"/>
          </w:tcPr>
          <w:p>
            <w:pPr>
              <w:snapToGrid w:val="0"/>
              <w:spacing w:line="312" w:lineRule="auto"/>
              <w:jc w:val="left"/>
              <w:rPr>
                <w:rFonts w:cs="宋体"/>
                <w:highlight w:val="none"/>
              </w:rPr>
            </w:pPr>
            <w:r>
              <w:rPr>
                <w:rFonts w:hint="eastAsia" w:cs="宋体"/>
                <w:highlight w:val="none"/>
              </w:rPr>
              <w:t>在 18 至 55 岁之间，并持有健康证上岗。</w:t>
            </w:r>
          </w:p>
        </w:tc>
        <w:tc>
          <w:tcPr>
            <w:tcW w:w="5244" w:type="dxa"/>
            <w:vMerge w:val="restart"/>
            <w:noWrap/>
            <w:vAlign w:val="center"/>
          </w:tcPr>
          <w:p>
            <w:pPr>
              <w:snapToGrid w:val="0"/>
              <w:spacing w:line="312" w:lineRule="auto"/>
              <w:rPr>
                <w:rFonts w:cs="宋体"/>
                <w:highlight w:val="none"/>
              </w:rPr>
            </w:pPr>
            <w:r>
              <w:rPr>
                <w:rFonts w:hint="eastAsia" w:cs="宋体"/>
                <w:highlight w:val="none"/>
              </w:rPr>
              <w:t>按厨师配菜要求择洗菜品、做好食堂清洁卫生，做好工作餐、客餐服务、餐前的摆放服务以及餐后清洗服务等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19" w:hRule="exact"/>
          <w:jc w:val="center"/>
        </w:trPr>
        <w:tc>
          <w:tcPr>
            <w:tcW w:w="782" w:type="dxa"/>
            <w:noWrap/>
            <w:vAlign w:val="center"/>
          </w:tcPr>
          <w:p>
            <w:pPr>
              <w:snapToGrid w:val="0"/>
              <w:spacing w:line="312" w:lineRule="auto"/>
              <w:jc w:val="center"/>
              <w:rPr>
                <w:rFonts w:cs="宋体"/>
                <w:highlight w:val="none"/>
              </w:rPr>
            </w:pPr>
            <w:r>
              <w:rPr>
                <w:rFonts w:hint="eastAsia" w:cs="宋体"/>
                <w:highlight w:val="none"/>
              </w:rPr>
              <w:t>择洗</w:t>
            </w:r>
          </w:p>
        </w:tc>
        <w:tc>
          <w:tcPr>
            <w:tcW w:w="1474" w:type="dxa"/>
            <w:gridSpan w:val="2"/>
            <w:noWrap/>
            <w:vAlign w:val="center"/>
          </w:tcPr>
          <w:p>
            <w:pPr>
              <w:snapToGrid w:val="0"/>
              <w:spacing w:line="312" w:lineRule="auto"/>
              <w:jc w:val="center"/>
              <w:rPr>
                <w:rFonts w:cs="宋体"/>
                <w:highlight w:val="none"/>
              </w:rPr>
            </w:pPr>
            <w:r>
              <w:rPr>
                <w:rFonts w:hint="eastAsia" w:cs="宋体"/>
                <w:highlight w:val="none"/>
              </w:rPr>
              <w:t>8人</w:t>
            </w:r>
          </w:p>
        </w:tc>
        <w:tc>
          <w:tcPr>
            <w:tcW w:w="3058" w:type="dxa"/>
            <w:vMerge w:val="continue"/>
            <w:noWrap/>
            <w:vAlign w:val="center"/>
          </w:tcPr>
          <w:p>
            <w:pPr>
              <w:snapToGrid w:val="0"/>
              <w:spacing w:line="312" w:lineRule="auto"/>
              <w:jc w:val="left"/>
              <w:rPr>
                <w:rFonts w:cs="宋体"/>
                <w:highlight w:val="none"/>
              </w:rPr>
            </w:pPr>
          </w:p>
        </w:tc>
        <w:tc>
          <w:tcPr>
            <w:tcW w:w="5244" w:type="dxa"/>
            <w:vMerge w:val="continue"/>
            <w:noWrap/>
            <w:vAlign w:val="center"/>
          </w:tcPr>
          <w:p>
            <w:pPr>
              <w:snapToGrid w:val="0"/>
              <w:spacing w:line="312" w:lineRule="auto"/>
              <w:rPr>
                <w:rFonts w:cs="宋体"/>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325" w:hRule="exact"/>
          <w:jc w:val="center"/>
        </w:trPr>
        <w:tc>
          <w:tcPr>
            <w:tcW w:w="10558" w:type="dxa"/>
            <w:gridSpan w:val="5"/>
            <w:noWrap/>
            <w:vAlign w:val="center"/>
          </w:tcPr>
          <w:p>
            <w:pPr>
              <w:widowControl/>
              <w:snapToGrid w:val="0"/>
              <w:spacing w:line="312" w:lineRule="auto"/>
              <w:jc w:val="left"/>
              <w:rPr>
                <w:rFonts w:cs="宋体"/>
                <w:highlight w:val="none"/>
              </w:rPr>
            </w:pPr>
            <w:r>
              <w:rPr>
                <w:rFonts w:hint="eastAsia" w:cs="宋体"/>
                <w:highlight w:val="none"/>
              </w:rPr>
              <w:t>备注：1、所有餐饮服务人员须持有饮食行业健康证</w:t>
            </w:r>
            <w:r>
              <w:rPr>
                <w:rFonts w:hint="eastAsia" w:cs="宋体"/>
                <w:color w:val="000000"/>
                <w:kern w:val="0"/>
                <w:highlight w:val="none"/>
              </w:rPr>
              <w:t>，</w:t>
            </w:r>
            <w:r>
              <w:rPr>
                <w:rFonts w:hint="eastAsia" w:cs="宋体"/>
                <w:highlight w:val="none"/>
              </w:rPr>
              <w:t>且在进驻服务地点前必须在县市级及以上医院进行一次身体检查并达到合格。</w:t>
            </w:r>
          </w:p>
          <w:p>
            <w:pPr>
              <w:widowControl/>
              <w:snapToGrid w:val="0"/>
              <w:spacing w:line="312" w:lineRule="auto"/>
              <w:ind w:firstLine="720" w:firstLineChars="300"/>
              <w:jc w:val="left"/>
              <w:rPr>
                <w:rFonts w:cs="宋体"/>
                <w:highlight w:val="none"/>
              </w:rPr>
            </w:pPr>
            <w:r>
              <w:rPr>
                <w:rFonts w:hint="eastAsia" w:cs="宋体"/>
                <w:highlight w:val="none"/>
              </w:rPr>
              <w:t>2、多样菜式管理：以人体对营养的综合需求为准则，结合季节变化和人群特点，制定档次不同、风味多样的菜谱选择使用，以满足业主方员工的口味，并定期或不定期征求员工意见，加以改进和完善。</w:t>
            </w:r>
          </w:p>
        </w:tc>
      </w:tr>
    </w:tbl>
    <w:p>
      <w:pPr>
        <w:widowControl/>
        <w:snapToGrid w:val="0"/>
        <w:spacing w:line="360" w:lineRule="auto"/>
        <w:ind w:firstLine="480" w:firstLineChars="200"/>
        <w:jc w:val="left"/>
        <w:rPr>
          <w:rFonts w:cs="宋体"/>
          <w:highlight w:val="none"/>
        </w:rPr>
      </w:pPr>
      <w:r>
        <w:rPr>
          <w:rFonts w:hint="eastAsia" w:cs="宋体"/>
          <w:highlight w:val="none"/>
        </w:rPr>
        <w:t xml:space="preserve">（二）膳食供应标准（业主方有权按实际情况作出调整） </w:t>
      </w:r>
    </w:p>
    <w:p>
      <w:pPr>
        <w:widowControl/>
        <w:snapToGrid w:val="0"/>
        <w:spacing w:line="360" w:lineRule="auto"/>
        <w:ind w:firstLine="480" w:firstLineChars="200"/>
        <w:jc w:val="left"/>
        <w:rPr>
          <w:rFonts w:cs="宋体"/>
          <w:highlight w:val="none"/>
        </w:rPr>
      </w:pPr>
      <w:r>
        <w:rPr>
          <w:rFonts w:hint="eastAsia" w:cs="宋体"/>
          <w:highlight w:val="none"/>
        </w:rPr>
        <w:t xml:space="preserve">早餐：包子、馒头、花卷、豆浆、牛奶、鸡蛋、油条、粥类、汤粉类、蔬菜等。 </w:t>
      </w:r>
    </w:p>
    <w:p>
      <w:pPr>
        <w:widowControl/>
        <w:snapToGrid w:val="0"/>
        <w:spacing w:line="360" w:lineRule="auto"/>
        <w:ind w:firstLine="480" w:firstLineChars="200"/>
        <w:jc w:val="left"/>
        <w:rPr>
          <w:rFonts w:cs="宋体"/>
          <w:highlight w:val="none"/>
        </w:rPr>
      </w:pPr>
      <w:r>
        <w:rPr>
          <w:rFonts w:hint="eastAsia" w:cs="宋体"/>
          <w:highlight w:val="none"/>
        </w:rPr>
        <w:t>中餐：中餐要求4个主菜（主荤、半荤半素、素菜）、凉菜、主食及汤、粥等食品。</w:t>
      </w:r>
    </w:p>
    <w:p>
      <w:pPr>
        <w:widowControl/>
        <w:snapToGrid w:val="0"/>
        <w:spacing w:line="360" w:lineRule="auto"/>
        <w:ind w:firstLine="480" w:firstLineChars="200"/>
        <w:jc w:val="left"/>
        <w:rPr>
          <w:rFonts w:cs="宋体"/>
          <w:highlight w:val="none"/>
        </w:rPr>
      </w:pPr>
      <w:r>
        <w:rPr>
          <w:rFonts w:hint="eastAsia" w:cs="宋体"/>
          <w:highlight w:val="none"/>
        </w:rPr>
        <w:t xml:space="preserve"> 食堂应合理地安排好每天的用餐量，按照勤俭节约的原则合理使用食材，防止浪费。菜谱每月 4 套，每周 1 套，提前公布菜谱，厨师人员应多途径学习烹饪工艺，定期创新，要求用膳菜肴式样品种要丰富多样，营养搭配科学合理，做到色香味美。</w:t>
      </w:r>
    </w:p>
    <w:p>
      <w:pPr>
        <w:snapToGrid w:val="0"/>
        <w:spacing w:line="360" w:lineRule="auto"/>
        <w:ind w:firstLine="480" w:firstLineChars="200"/>
        <w:rPr>
          <w:rFonts w:cs="宋体"/>
          <w:color w:val="000000"/>
          <w:highlight w:val="none"/>
        </w:rPr>
      </w:pPr>
      <w:r>
        <w:rPr>
          <w:rFonts w:hint="eastAsia" w:cs="宋体"/>
          <w:color w:val="000000"/>
          <w:highlight w:val="none"/>
        </w:rPr>
        <w:t>厨师要定期听取就餐人员意见，并结合不同的口味进行菜品创新、调剂品种多样的早点和菜肴。除了保证职工日常工作自助餐外，能根据需要及时提供会议及接待自助餐、公务接待用餐和接待分餐等多种形式的桌餐，厨师必须定期进行轮岗，进行人员培训。如遇会议就餐人数较多不能保障时，必须调派人员提供饮食保障。</w:t>
      </w:r>
    </w:p>
    <w:p>
      <w:pPr>
        <w:widowControl/>
        <w:snapToGrid w:val="0"/>
        <w:spacing w:line="360" w:lineRule="auto"/>
        <w:ind w:firstLine="480" w:firstLineChars="200"/>
        <w:jc w:val="left"/>
        <w:rPr>
          <w:rFonts w:cs="宋体"/>
          <w:highlight w:val="none"/>
        </w:rPr>
      </w:pPr>
      <w:r>
        <w:rPr>
          <w:rFonts w:hint="eastAsia" w:cs="宋体"/>
          <w:highlight w:val="none"/>
        </w:rPr>
        <w:t xml:space="preserve"> （三）卫生管理要求 </w:t>
      </w:r>
    </w:p>
    <w:p>
      <w:pPr>
        <w:widowControl/>
        <w:snapToGrid w:val="0"/>
        <w:spacing w:line="360" w:lineRule="auto"/>
        <w:ind w:firstLine="480" w:firstLineChars="200"/>
        <w:jc w:val="left"/>
        <w:rPr>
          <w:rFonts w:cs="宋体"/>
          <w:highlight w:val="none"/>
        </w:rPr>
      </w:pPr>
      <w:r>
        <w:rPr>
          <w:rFonts w:hint="eastAsia" w:cs="宋体"/>
          <w:highlight w:val="none"/>
        </w:rPr>
        <w:t>1、食堂管理实行“食堂管理员负责制”，由食堂管理员对职工食堂物资采购、饭菜质量、卫生状况、就餐环境、员工配备、坚持定期体检等情况全面负责，并对发生的问题承担相应的责任。</w:t>
      </w:r>
    </w:p>
    <w:p>
      <w:pPr>
        <w:widowControl/>
        <w:snapToGrid w:val="0"/>
        <w:spacing w:line="360" w:lineRule="auto"/>
        <w:ind w:firstLine="480" w:firstLineChars="200"/>
        <w:jc w:val="left"/>
        <w:rPr>
          <w:rFonts w:cs="宋体"/>
          <w:highlight w:val="none"/>
        </w:rPr>
      </w:pPr>
      <w:r>
        <w:rPr>
          <w:rFonts w:hint="eastAsia" w:cs="宋体"/>
          <w:highlight w:val="none"/>
        </w:rPr>
        <w:t>2、就餐大厅保持明亮整洁，餐桌餐椅随时清理，做到表面无油渍、无灰尘并摆放整齐。地面保持洁净干爽，每天至少要清扫、拖洗两次，门窗墙壁干净无油污、无灰尘，无垃圾杂物；每周大扫除一次，每月大检查一次，不定期展开消灭蚊子、苍蝇、老鼠，采取有效措施，将餐厅害虫污染减低到最低限度。</w:t>
      </w:r>
    </w:p>
    <w:p>
      <w:pPr>
        <w:widowControl/>
        <w:snapToGrid w:val="0"/>
        <w:spacing w:line="360" w:lineRule="auto"/>
        <w:ind w:firstLine="480" w:firstLineChars="200"/>
        <w:jc w:val="left"/>
        <w:rPr>
          <w:rFonts w:cs="宋体"/>
          <w:highlight w:val="none"/>
        </w:rPr>
      </w:pPr>
      <w:r>
        <w:rPr>
          <w:rFonts w:hint="eastAsia" w:cs="宋体"/>
          <w:highlight w:val="none"/>
        </w:rPr>
        <w:t>3、厨房操作间内设备、设施与用具等应实行“定置管理”，做到摆放整齐有序，无油腻、无灰尘、无蜘蛛网，地面做到无污水、无杂物；每周大扫除一次，每月大检查一次，餐具使用后要清洗干净，不能有洗涤用品残留，未经消毒不得使用。</w:t>
      </w:r>
    </w:p>
    <w:p>
      <w:pPr>
        <w:widowControl/>
        <w:snapToGrid w:val="0"/>
        <w:spacing w:line="360" w:lineRule="auto"/>
        <w:ind w:firstLine="480" w:firstLineChars="200"/>
        <w:jc w:val="left"/>
        <w:rPr>
          <w:rFonts w:cs="宋体"/>
          <w:highlight w:val="none"/>
        </w:rPr>
      </w:pPr>
      <w:r>
        <w:rPr>
          <w:rFonts w:hint="eastAsia" w:cs="宋体"/>
          <w:highlight w:val="none"/>
        </w:rPr>
        <w:t>4、严格执行食品卫生标准，食品、副产品、蔬菜、水产品、肉类、食用油、调味品等均保证干净，严禁使用过期食物，认真配合做好食品安全快检相关服务。</w:t>
      </w:r>
    </w:p>
    <w:p>
      <w:pPr>
        <w:widowControl/>
        <w:snapToGrid w:val="0"/>
        <w:spacing w:line="360" w:lineRule="auto"/>
        <w:ind w:firstLine="480" w:firstLineChars="200"/>
        <w:jc w:val="left"/>
        <w:rPr>
          <w:rFonts w:cs="宋体"/>
          <w:highlight w:val="none"/>
        </w:rPr>
      </w:pPr>
      <w:r>
        <w:rPr>
          <w:rFonts w:hint="eastAsia" w:cs="宋体"/>
          <w:highlight w:val="none"/>
        </w:rPr>
        <w:t>5、食堂服务人员必须讲究个人卫生，勤剪指甲、勤理发、不得留长发、长指甲，不戴戒指、手链等饰品，仪容端正，充满朝气。厨师服务时穿工作服，戴工作帽，着装整洁干净。操作前洗净双手，保证食品清洁卫生。坚持定期体检，生病时应及时告知管理员并立即就医，不准带病上岗。</w:t>
      </w:r>
    </w:p>
    <w:p>
      <w:pPr>
        <w:widowControl/>
        <w:snapToGrid w:val="0"/>
        <w:spacing w:line="360" w:lineRule="auto"/>
        <w:ind w:firstLine="480" w:firstLineChars="200"/>
        <w:jc w:val="left"/>
        <w:rPr>
          <w:rFonts w:cs="宋体"/>
          <w:highlight w:val="none"/>
        </w:rPr>
      </w:pPr>
      <w:r>
        <w:rPr>
          <w:rFonts w:hint="eastAsia" w:cs="宋体"/>
          <w:highlight w:val="none"/>
        </w:rPr>
        <w:t xml:space="preserve"> （四）安全管理要求 </w:t>
      </w:r>
    </w:p>
    <w:p>
      <w:pPr>
        <w:widowControl/>
        <w:snapToGrid w:val="0"/>
        <w:spacing w:line="360" w:lineRule="auto"/>
        <w:ind w:firstLine="480" w:firstLineChars="200"/>
        <w:jc w:val="left"/>
        <w:rPr>
          <w:rFonts w:cs="宋体"/>
          <w:highlight w:val="none"/>
        </w:rPr>
      </w:pPr>
      <w:r>
        <w:rPr>
          <w:rFonts w:hint="eastAsia" w:cs="宋体"/>
          <w:highlight w:val="none"/>
        </w:rPr>
        <w:t>1、食堂管理必须制定全面的《食堂卫生安全制度》，包含食品卫生、环境卫生、设备卫生、个人卫生等方面内容，并严格执行。</w:t>
      </w:r>
    </w:p>
    <w:p>
      <w:pPr>
        <w:widowControl/>
        <w:snapToGrid w:val="0"/>
        <w:spacing w:line="360" w:lineRule="auto"/>
        <w:ind w:firstLine="480" w:firstLineChars="200"/>
        <w:jc w:val="left"/>
        <w:rPr>
          <w:rFonts w:cs="宋体"/>
          <w:highlight w:val="none"/>
        </w:rPr>
      </w:pPr>
      <w:r>
        <w:rPr>
          <w:rFonts w:hint="eastAsia" w:cs="宋体"/>
          <w:highlight w:val="none"/>
        </w:rPr>
        <w:t xml:space="preserve">2、结合饮食服务的特点，建立和健全《食堂各种工种操作规范》、《厨房设备操作规范》、《员工岗位职责》等规章制度并严格遵守。 </w:t>
      </w:r>
    </w:p>
    <w:p>
      <w:pPr>
        <w:widowControl/>
        <w:snapToGrid w:val="0"/>
        <w:spacing w:line="360" w:lineRule="auto"/>
        <w:ind w:firstLine="480" w:firstLineChars="200"/>
        <w:jc w:val="left"/>
        <w:rPr>
          <w:rFonts w:cs="宋体"/>
          <w:highlight w:val="none"/>
        </w:rPr>
      </w:pPr>
      <w:r>
        <w:rPr>
          <w:rFonts w:hint="eastAsia" w:cs="宋体"/>
          <w:highlight w:val="none"/>
        </w:rPr>
        <w:t xml:space="preserve">3、制定并落实其他安全管理制度包括防火防盗防破坏，确保下班后或设备使用完后关气、关电、关水、关门，防止发生人身设备安全事故以及火灾偷盗事故。 </w:t>
      </w:r>
    </w:p>
    <w:p>
      <w:pPr>
        <w:widowControl/>
        <w:snapToGrid w:val="0"/>
        <w:spacing w:line="360" w:lineRule="auto"/>
        <w:ind w:firstLine="480" w:firstLineChars="200"/>
        <w:jc w:val="left"/>
        <w:rPr>
          <w:rFonts w:cs="宋体"/>
          <w:highlight w:val="none"/>
        </w:rPr>
      </w:pPr>
      <w:r>
        <w:rPr>
          <w:rFonts w:hint="eastAsia" w:cs="宋体"/>
          <w:highlight w:val="none"/>
        </w:rPr>
        <w:t xml:space="preserve">（五）节能管理要求 </w:t>
      </w:r>
    </w:p>
    <w:p>
      <w:pPr>
        <w:widowControl/>
        <w:snapToGrid w:val="0"/>
        <w:spacing w:line="360" w:lineRule="auto"/>
        <w:ind w:firstLine="480" w:firstLineChars="200"/>
        <w:jc w:val="left"/>
        <w:rPr>
          <w:rFonts w:cs="宋体"/>
          <w:highlight w:val="none"/>
        </w:rPr>
      </w:pPr>
      <w:r>
        <w:rPr>
          <w:rFonts w:hint="eastAsia" w:cs="宋体"/>
          <w:highlight w:val="none"/>
        </w:rPr>
        <w:t xml:space="preserve">1、餐厅在准备早餐、中餐期间要根据季节温度合理开启空调，充分利用自然光，及时开关照明设备，就餐完毕后及时关闭所有空调电灯。 </w:t>
      </w:r>
    </w:p>
    <w:p>
      <w:pPr>
        <w:widowControl/>
        <w:snapToGrid w:val="0"/>
        <w:spacing w:line="360" w:lineRule="auto"/>
        <w:ind w:firstLine="480" w:firstLineChars="200"/>
        <w:jc w:val="left"/>
        <w:rPr>
          <w:rFonts w:cs="宋体"/>
          <w:highlight w:val="none"/>
        </w:rPr>
      </w:pPr>
      <w:r>
        <w:rPr>
          <w:rFonts w:hint="eastAsia" w:cs="宋体"/>
          <w:highlight w:val="none"/>
        </w:rPr>
        <w:t xml:space="preserve">2、严禁“跑冒漏滴”现象发生，做到厨房在光线良好情况下不开灯，更衣间随手关灯，原料和餐具清洗完后应立即关闭水源。 </w:t>
      </w:r>
    </w:p>
    <w:p>
      <w:pPr>
        <w:widowControl/>
        <w:snapToGrid w:val="0"/>
        <w:spacing w:line="360" w:lineRule="auto"/>
        <w:ind w:firstLine="480" w:firstLineChars="200"/>
        <w:jc w:val="left"/>
        <w:rPr>
          <w:rFonts w:cs="宋体"/>
          <w:highlight w:val="none"/>
        </w:rPr>
      </w:pPr>
      <w:r>
        <w:rPr>
          <w:rFonts w:hint="eastAsia" w:cs="宋体"/>
          <w:highlight w:val="none"/>
        </w:rPr>
        <w:t xml:space="preserve">（六）其他要求 </w:t>
      </w:r>
    </w:p>
    <w:p>
      <w:pPr>
        <w:widowControl/>
        <w:snapToGrid w:val="0"/>
        <w:spacing w:line="360" w:lineRule="auto"/>
        <w:ind w:firstLine="480" w:firstLineChars="200"/>
        <w:jc w:val="left"/>
        <w:rPr>
          <w:rFonts w:cs="宋体"/>
          <w:highlight w:val="none"/>
        </w:rPr>
      </w:pPr>
      <w:r>
        <w:rPr>
          <w:rFonts w:hint="eastAsia" w:cs="宋体"/>
          <w:highlight w:val="none"/>
        </w:rPr>
        <w:t xml:space="preserve">1、提供业主方临时要求的膳食服务。 </w:t>
      </w:r>
    </w:p>
    <w:p>
      <w:pPr>
        <w:widowControl/>
        <w:snapToGrid w:val="0"/>
        <w:spacing w:line="360" w:lineRule="auto"/>
        <w:ind w:firstLine="480" w:firstLineChars="200"/>
        <w:jc w:val="left"/>
        <w:rPr>
          <w:rFonts w:cs="宋体"/>
          <w:highlight w:val="none"/>
        </w:rPr>
      </w:pPr>
      <w:r>
        <w:rPr>
          <w:rFonts w:hint="eastAsia" w:cs="宋体"/>
          <w:highlight w:val="none"/>
        </w:rPr>
        <w:t xml:space="preserve">2、中标人应灵活服务，在传统和特殊节假日时，结合业主方要求提供各类特色小吃、饮品的制作加工。 </w:t>
      </w:r>
    </w:p>
    <w:p>
      <w:pPr>
        <w:widowControl/>
        <w:snapToGrid w:val="0"/>
        <w:spacing w:line="360" w:lineRule="auto"/>
        <w:ind w:firstLine="480" w:firstLineChars="200"/>
        <w:jc w:val="left"/>
        <w:rPr>
          <w:rFonts w:cs="宋体"/>
          <w:highlight w:val="none"/>
        </w:rPr>
      </w:pPr>
      <w:r>
        <w:rPr>
          <w:rFonts w:hint="eastAsia" w:cs="宋体"/>
          <w:highlight w:val="none"/>
        </w:rPr>
        <w:t xml:space="preserve">3、根据业主方要求制作外带食品加工。 </w:t>
      </w:r>
    </w:p>
    <w:p>
      <w:pPr>
        <w:widowControl/>
        <w:snapToGrid w:val="0"/>
        <w:spacing w:line="360" w:lineRule="auto"/>
        <w:ind w:firstLine="480" w:firstLineChars="200"/>
        <w:jc w:val="left"/>
        <w:rPr>
          <w:rFonts w:cs="宋体"/>
          <w:highlight w:val="none"/>
        </w:rPr>
      </w:pPr>
      <w:r>
        <w:rPr>
          <w:rFonts w:hint="eastAsia" w:cs="宋体"/>
          <w:highlight w:val="none"/>
        </w:rPr>
        <w:t xml:space="preserve">4、中标方服务人员住宿自行安排，每日伙食可在业主方职工就餐完毕后统一到职工餐厅就餐，不得另炒另煮。 </w:t>
      </w:r>
    </w:p>
    <w:p>
      <w:pPr>
        <w:widowControl/>
        <w:snapToGrid w:val="0"/>
        <w:spacing w:line="360" w:lineRule="auto"/>
        <w:ind w:firstLine="470" w:firstLineChars="200"/>
        <w:jc w:val="left"/>
        <w:outlineLvl w:val="2"/>
        <w:rPr>
          <w:rFonts w:cs="宋体"/>
          <w:b/>
          <w:bCs/>
          <w:highlight w:val="none"/>
        </w:rPr>
      </w:pPr>
      <w:bookmarkStart w:id="211" w:name="_Toc26302"/>
      <w:bookmarkStart w:id="212" w:name="_Toc9092"/>
      <w:r>
        <w:rPr>
          <w:rFonts w:hint="eastAsia" w:cs="宋体"/>
          <w:b/>
          <w:bCs/>
          <w:spacing w:val="-8"/>
          <w:sz w:val="25"/>
          <w:szCs w:val="25"/>
          <w:highlight w:val="none"/>
        </w:rPr>
        <w:t>★</w:t>
      </w:r>
      <w:r>
        <w:rPr>
          <w:rFonts w:hint="eastAsia" w:cs="宋体"/>
          <w:b/>
          <w:bCs/>
          <w:highlight w:val="none"/>
        </w:rPr>
        <w:t>六、其他要求</w:t>
      </w:r>
      <w:bookmarkEnd w:id="211"/>
      <w:bookmarkEnd w:id="212"/>
    </w:p>
    <w:p>
      <w:pPr>
        <w:widowControl/>
        <w:snapToGrid w:val="0"/>
        <w:spacing w:line="360" w:lineRule="auto"/>
        <w:ind w:firstLine="480" w:firstLineChars="200"/>
        <w:jc w:val="left"/>
        <w:rPr>
          <w:rFonts w:cs="宋体"/>
          <w:highlight w:val="none"/>
        </w:rPr>
      </w:pPr>
      <w:r>
        <w:rPr>
          <w:rFonts w:hint="eastAsia" w:cs="宋体"/>
          <w:highlight w:val="none"/>
        </w:rPr>
        <w:t xml:space="preserve">（一）违规及损失处理 </w:t>
      </w:r>
    </w:p>
    <w:p>
      <w:pPr>
        <w:widowControl/>
        <w:snapToGrid w:val="0"/>
        <w:spacing w:line="360" w:lineRule="auto"/>
        <w:ind w:firstLine="480" w:firstLineChars="200"/>
        <w:jc w:val="left"/>
        <w:rPr>
          <w:rFonts w:cs="宋体"/>
          <w:highlight w:val="none"/>
        </w:rPr>
      </w:pPr>
      <w:r>
        <w:rPr>
          <w:rFonts w:hint="eastAsia" w:cs="宋体"/>
          <w:highlight w:val="none"/>
        </w:rPr>
        <w:t xml:space="preserve">中标方提供的服务人员安全责任均由中标方负责与业主方无关。 </w:t>
      </w:r>
    </w:p>
    <w:p>
      <w:pPr>
        <w:widowControl/>
        <w:snapToGrid w:val="0"/>
        <w:spacing w:line="360" w:lineRule="auto"/>
        <w:ind w:firstLine="480" w:firstLineChars="200"/>
        <w:jc w:val="left"/>
        <w:rPr>
          <w:rFonts w:cs="宋体"/>
          <w:highlight w:val="none"/>
        </w:rPr>
      </w:pPr>
      <w:r>
        <w:rPr>
          <w:rFonts w:hint="eastAsia" w:cs="宋体"/>
          <w:highlight w:val="none"/>
        </w:rPr>
        <w:t xml:space="preserve">中标方服务人员有以下违规情况的，业主方有权追究中标方责任的： </w:t>
      </w:r>
    </w:p>
    <w:p>
      <w:pPr>
        <w:widowControl/>
        <w:snapToGrid w:val="0"/>
        <w:spacing w:line="360" w:lineRule="auto"/>
        <w:ind w:firstLine="480" w:firstLineChars="200"/>
        <w:jc w:val="left"/>
        <w:rPr>
          <w:rFonts w:cs="宋体"/>
          <w:highlight w:val="none"/>
        </w:rPr>
      </w:pPr>
      <w:r>
        <w:rPr>
          <w:rFonts w:hint="eastAsia" w:cs="宋体"/>
          <w:highlight w:val="none"/>
        </w:rPr>
        <w:t xml:space="preserve">1、业主方提出整改要求3次，整改仍不到位的； </w:t>
      </w:r>
    </w:p>
    <w:p>
      <w:pPr>
        <w:widowControl/>
        <w:snapToGrid w:val="0"/>
        <w:spacing w:line="360" w:lineRule="auto"/>
        <w:ind w:firstLine="480" w:firstLineChars="200"/>
        <w:jc w:val="left"/>
        <w:rPr>
          <w:rFonts w:cs="宋体"/>
          <w:highlight w:val="none"/>
        </w:rPr>
      </w:pPr>
      <w:r>
        <w:rPr>
          <w:rFonts w:hint="eastAsia" w:cs="宋体"/>
          <w:highlight w:val="none"/>
        </w:rPr>
        <w:t xml:space="preserve">2、违反业主方劳动纪律、规章制度的； </w:t>
      </w:r>
    </w:p>
    <w:p>
      <w:pPr>
        <w:widowControl/>
        <w:snapToGrid w:val="0"/>
        <w:spacing w:line="360" w:lineRule="auto"/>
        <w:ind w:firstLine="480" w:firstLineChars="200"/>
        <w:jc w:val="left"/>
        <w:rPr>
          <w:rFonts w:cs="宋体"/>
          <w:highlight w:val="none"/>
        </w:rPr>
      </w:pPr>
      <w:r>
        <w:rPr>
          <w:rFonts w:hint="eastAsia" w:cs="宋体"/>
          <w:highlight w:val="none"/>
        </w:rPr>
        <w:t xml:space="preserve">3、服务失职、营私舞弊、公报私囊、有贪腐情况的； </w:t>
      </w:r>
    </w:p>
    <w:p>
      <w:pPr>
        <w:widowControl/>
        <w:snapToGrid w:val="0"/>
        <w:spacing w:line="360" w:lineRule="auto"/>
        <w:ind w:firstLine="480" w:firstLineChars="200"/>
        <w:jc w:val="left"/>
        <w:rPr>
          <w:rFonts w:cs="宋体"/>
          <w:highlight w:val="none"/>
        </w:rPr>
      </w:pPr>
      <w:r>
        <w:rPr>
          <w:rFonts w:hint="eastAsia" w:cs="宋体"/>
          <w:highlight w:val="none"/>
        </w:rPr>
        <w:t xml:space="preserve">4、被依法追究刑事责任的； </w:t>
      </w:r>
    </w:p>
    <w:p>
      <w:pPr>
        <w:widowControl/>
        <w:snapToGrid w:val="0"/>
        <w:spacing w:line="360" w:lineRule="auto"/>
        <w:ind w:firstLine="480" w:firstLineChars="200"/>
        <w:jc w:val="left"/>
        <w:rPr>
          <w:rFonts w:cs="宋体"/>
          <w:highlight w:val="none"/>
        </w:rPr>
      </w:pPr>
      <w:r>
        <w:rPr>
          <w:rFonts w:hint="eastAsia" w:cs="宋体"/>
          <w:highlight w:val="none"/>
        </w:rPr>
        <w:t xml:space="preserve">5、业主方界定的其他违规事宜。 </w:t>
      </w:r>
    </w:p>
    <w:p>
      <w:pPr>
        <w:widowControl/>
        <w:snapToGrid w:val="0"/>
        <w:spacing w:line="360" w:lineRule="auto"/>
        <w:ind w:firstLine="480" w:firstLineChars="200"/>
        <w:jc w:val="left"/>
        <w:rPr>
          <w:rFonts w:cs="宋体"/>
          <w:highlight w:val="none"/>
        </w:rPr>
      </w:pPr>
      <w:r>
        <w:rPr>
          <w:rFonts w:hint="eastAsia" w:cs="宋体"/>
          <w:highlight w:val="none"/>
        </w:rPr>
        <w:t xml:space="preserve">（二）服务承诺 </w:t>
      </w:r>
    </w:p>
    <w:p>
      <w:pPr>
        <w:widowControl/>
        <w:snapToGrid w:val="0"/>
        <w:spacing w:line="360" w:lineRule="auto"/>
        <w:ind w:firstLine="480" w:firstLineChars="200"/>
        <w:jc w:val="left"/>
        <w:rPr>
          <w:rFonts w:cs="宋体"/>
          <w:highlight w:val="none"/>
        </w:rPr>
      </w:pPr>
      <w:r>
        <w:rPr>
          <w:rFonts w:hint="eastAsia" w:cs="宋体"/>
          <w:highlight w:val="none"/>
        </w:rPr>
        <w:t xml:space="preserve">1、坚决维护业主方的利益，认真履行与业主方签订的《食堂餐饮服务合同》中所有义务，竭力为改善业主方员工的膳食水平而努力。 </w:t>
      </w:r>
    </w:p>
    <w:p>
      <w:pPr>
        <w:widowControl/>
        <w:snapToGrid w:val="0"/>
        <w:spacing w:line="360" w:lineRule="auto"/>
        <w:ind w:firstLine="480" w:firstLineChars="200"/>
        <w:jc w:val="left"/>
        <w:rPr>
          <w:rFonts w:cs="宋体"/>
          <w:highlight w:val="none"/>
        </w:rPr>
      </w:pPr>
      <w:r>
        <w:rPr>
          <w:rFonts w:hint="eastAsia" w:cs="宋体"/>
          <w:highlight w:val="none"/>
        </w:rPr>
        <w:t xml:space="preserve">2、坚持食品安全第一、卫生第一、服务第一、诚信第一的服务理念。 </w:t>
      </w:r>
    </w:p>
    <w:p>
      <w:pPr>
        <w:widowControl/>
        <w:snapToGrid w:val="0"/>
        <w:spacing w:line="360" w:lineRule="auto"/>
        <w:ind w:firstLine="480" w:firstLineChars="200"/>
        <w:jc w:val="left"/>
        <w:rPr>
          <w:rFonts w:cs="宋体"/>
          <w:highlight w:val="none"/>
        </w:rPr>
      </w:pPr>
      <w:r>
        <w:rPr>
          <w:rFonts w:hint="eastAsia" w:cs="宋体"/>
          <w:highlight w:val="none"/>
        </w:rPr>
        <w:t xml:space="preserve">3、坚决服从业主方主管部门的领导，协助业主方对购入材料的数量和质量进行严格的把关。 </w:t>
      </w:r>
    </w:p>
    <w:p>
      <w:pPr>
        <w:widowControl/>
        <w:snapToGrid w:val="0"/>
        <w:spacing w:line="360" w:lineRule="auto"/>
        <w:ind w:firstLine="480" w:firstLineChars="200"/>
        <w:jc w:val="left"/>
        <w:rPr>
          <w:rFonts w:cs="宋体"/>
          <w:highlight w:val="none"/>
        </w:rPr>
      </w:pPr>
      <w:r>
        <w:rPr>
          <w:rFonts w:hint="eastAsia" w:cs="宋体"/>
          <w:highlight w:val="none"/>
        </w:rPr>
        <w:t xml:space="preserve">4、自觉接受食品卫生监督部门及业主方对膳食的日常监督、检查，及时处理有关质量、卫生、服务等方面的有效投诉，服从业主方专管人员的管理。 </w:t>
      </w:r>
    </w:p>
    <w:p>
      <w:pPr>
        <w:widowControl/>
        <w:snapToGrid w:val="0"/>
        <w:spacing w:line="360" w:lineRule="auto"/>
        <w:ind w:firstLine="480" w:firstLineChars="200"/>
        <w:jc w:val="left"/>
        <w:rPr>
          <w:rFonts w:cs="宋体"/>
          <w:highlight w:val="none"/>
        </w:rPr>
      </w:pPr>
      <w:r>
        <w:rPr>
          <w:rFonts w:hint="eastAsia" w:cs="宋体"/>
          <w:highlight w:val="none"/>
        </w:rPr>
        <w:t xml:space="preserve">5、所有餐饮服务人员统一着装，随时保持服装的干净整洁。 </w:t>
      </w:r>
    </w:p>
    <w:p>
      <w:pPr>
        <w:widowControl/>
        <w:snapToGrid w:val="0"/>
        <w:spacing w:line="360" w:lineRule="auto"/>
        <w:ind w:firstLine="480" w:firstLineChars="200"/>
        <w:jc w:val="left"/>
        <w:rPr>
          <w:rFonts w:cs="宋体"/>
          <w:highlight w:val="none"/>
        </w:rPr>
      </w:pPr>
      <w:r>
        <w:rPr>
          <w:rFonts w:hint="eastAsia" w:cs="宋体"/>
          <w:highlight w:val="none"/>
        </w:rPr>
        <w:t xml:space="preserve">6、对所有厨具、餐具随时保证干净、清洁，清洗后严格进行消毒处理。 </w:t>
      </w:r>
    </w:p>
    <w:p>
      <w:pPr>
        <w:widowControl/>
        <w:snapToGrid w:val="0"/>
        <w:spacing w:line="360" w:lineRule="auto"/>
        <w:ind w:firstLine="480" w:firstLineChars="200"/>
        <w:jc w:val="left"/>
        <w:rPr>
          <w:rFonts w:cs="宋体"/>
          <w:highlight w:val="none"/>
        </w:rPr>
      </w:pPr>
      <w:r>
        <w:rPr>
          <w:rFonts w:hint="eastAsia" w:cs="宋体"/>
          <w:highlight w:val="none"/>
        </w:rPr>
        <w:t xml:space="preserve">（三）售后服务及质量保证 </w:t>
      </w:r>
    </w:p>
    <w:p>
      <w:pPr>
        <w:widowControl/>
        <w:snapToGrid w:val="0"/>
        <w:spacing w:line="360" w:lineRule="auto"/>
        <w:ind w:firstLine="480" w:firstLineChars="200"/>
        <w:jc w:val="left"/>
        <w:rPr>
          <w:rFonts w:cs="宋体"/>
          <w:highlight w:val="none"/>
        </w:rPr>
      </w:pPr>
      <w:r>
        <w:rPr>
          <w:rFonts w:hint="eastAsia" w:cs="宋体"/>
          <w:highlight w:val="none"/>
        </w:rPr>
        <w:t xml:space="preserve">1、中标方负责食堂生产及服务、管理、食品加工流程、食品卫生安全、食堂卫生，并接受业主方对中标方生产加工环节的监督。 </w:t>
      </w:r>
    </w:p>
    <w:p>
      <w:pPr>
        <w:widowControl/>
        <w:snapToGrid w:val="0"/>
        <w:spacing w:line="360" w:lineRule="auto"/>
        <w:ind w:firstLine="480" w:firstLineChars="200"/>
        <w:jc w:val="left"/>
        <w:rPr>
          <w:rFonts w:cs="宋体"/>
          <w:highlight w:val="none"/>
        </w:rPr>
      </w:pPr>
      <w:r>
        <w:rPr>
          <w:rFonts w:hint="eastAsia" w:cs="宋体"/>
          <w:highlight w:val="none"/>
        </w:rPr>
        <w:t xml:space="preserve">2、中标方建立健全各项规章制度、岗位责任制和操作规程，并严格按制度和操作规程服务，以就餐者满意为服务宗旨。 </w:t>
      </w:r>
    </w:p>
    <w:p>
      <w:pPr>
        <w:widowControl/>
        <w:snapToGrid w:val="0"/>
        <w:spacing w:line="360" w:lineRule="auto"/>
        <w:ind w:firstLine="480" w:firstLineChars="200"/>
        <w:jc w:val="left"/>
        <w:rPr>
          <w:rFonts w:cs="宋体"/>
          <w:highlight w:val="none"/>
        </w:rPr>
      </w:pPr>
      <w:r>
        <w:rPr>
          <w:rFonts w:hint="eastAsia" w:cs="宋体"/>
          <w:highlight w:val="none"/>
        </w:rPr>
        <w:t xml:space="preserve">3、中标方严格执行业主方的相关管理制度，服从业主方的统一管理，主动接受业主方的管理、检查、监督。 </w:t>
      </w:r>
    </w:p>
    <w:p>
      <w:pPr>
        <w:widowControl/>
        <w:snapToGrid w:val="0"/>
        <w:spacing w:line="360" w:lineRule="auto"/>
        <w:ind w:firstLine="480" w:firstLineChars="200"/>
        <w:jc w:val="left"/>
        <w:rPr>
          <w:rFonts w:cs="宋体"/>
          <w:highlight w:val="none"/>
        </w:rPr>
      </w:pPr>
      <w:r>
        <w:rPr>
          <w:rFonts w:hint="eastAsia" w:cs="宋体"/>
          <w:highlight w:val="none"/>
        </w:rPr>
        <w:t xml:space="preserve">4、中标方按业主方的安排进行每日伙食品种安排。每周日主厨必须将下一周的菜单提供给业主方审核，每日伙食的原材料采购清单必须在前一天下午下班之前交给业主方食堂主管人员安排采购，并协助业主方库管人员做好原材料的验收、入库等服务。 </w:t>
      </w:r>
    </w:p>
    <w:p>
      <w:pPr>
        <w:widowControl/>
        <w:snapToGrid w:val="0"/>
        <w:spacing w:line="360" w:lineRule="auto"/>
        <w:ind w:firstLine="480" w:firstLineChars="200"/>
        <w:jc w:val="left"/>
        <w:rPr>
          <w:rFonts w:cs="宋体"/>
          <w:highlight w:val="none"/>
        </w:rPr>
      </w:pPr>
      <w:r>
        <w:rPr>
          <w:rFonts w:hint="eastAsia" w:cs="宋体"/>
          <w:highlight w:val="none"/>
        </w:rPr>
        <w:t xml:space="preserve">5、中标方有权拒绝使用供应商提供的过期、腐烂、霉变等不符合质量要求的原材料，并及时报告业主方，对供应商存在的违规违纪现象及时报告业主方；对业主方非专管人员的意见和建议及时报告管理部门。 </w:t>
      </w:r>
    </w:p>
    <w:p>
      <w:pPr>
        <w:widowControl/>
        <w:snapToGrid w:val="0"/>
        <w:spacing w:line="360" w:lineRule="auto"/>
        <w:ind w:firstLine="480" w:firstLineChars="200"/>
        <w:jc w:val="left"/>
        <w:rPr>
          <w:rFonts w:cs="宋体"/>
          <w:highlight w:val="none"/>
        </w:rPr>
      </w:pPr>
      <w:r>
        <w:rPr>
          <w:rFonts w:hint="eastAsia" w:cs="宋体"/>
          <w:highlight w:val="none"/>
        </w:rPr>
        <w:t xml:space="preserve">6、中标方自行与所提供的服务人员签订劳动合同，并按《中华人民共和国民法典》的规定，承担所提供的服务人员各类社会保险及各种福利等，并监督员工遵守业主方的各项管理规章制度。 </w:t>
      </w:r>
    </w:p>
    <w:p>
      <w:pPr>
        <w:widowControl/>
        <w:snapToGrid w:val="0"/>
        <w:spacing w:line="360" w:lineRule="auto"/>
        <w:ind w:firstLine="480" w:firstLineChars="200"/>
        <w:jc w:val="left"/>
        <w:rPr>
          <w:rFonts w:cs="宋体"/>
          <w:highlight w:val="none"/>
        </w:rPr>
      </w:pPr>
      <w:r>
        <w:rPr>
          <w:rFonts w:hint="eastAsia" w:cs="宋体"/>
          <w:highlight w:val="none"/>
        </w:rPr>
        <w:t xml:space="preserve">7、未经业主方书面同意，中标方不得擅自对房屋、设备设施做任何改动。 </w:t>
      </w:r>
    </w:p>
    <w:p>
      <w:pPr>
        <w:widowControl/>
        <w:snapToGrid w:val="0"/>
        <w:spacing w:line="360" w:lineRule="auto"/>
        <w:ind w:firstLine="480" w:firstLineChars="200"/>
        <w:jc w:val="left"/>
        <w:rPr>
          <w:rFonts w:cs="宋体"/>
          <w:highlight w:val="none"/>
        </w:rPr>
      </w:pPr>
      <w:r>
        <w:rPr>
          <w:rFonts w:hint="eastAsia" w:cs="宋体"/>
          <w:highlight w:val="none"/>
        </w:rPr>
        <w:t xml:space="preserve">8、未经业主方书面同意，中标方不得擅自对《食堂服务人员岗位设置表》上的服务人员进行调离、减少。 </w:t>
      </w:r>
    </w:p>
    <w:p>
      <w:pPr>
        <w:widowControl/>
        <w:snapToGrid w:val="0"/>
        <w:spacing w:line="360" w:lineRule="auto"/>
        <w:ind w:firstLine="480" w:firstLineChars="200"/>
        <w:jc w:val="left"/>
        <w:rPr>
          <w:rFonts w:cs="宋体"/>
          <w:highlight w:val="none"/>
        </w:rPr>
      </w:pPr>
      <w:r>
        <w:rPr>
          <w:rFonts w:hint="eastAsia" w:cs="宋体"/>
          <w:highlight w:val="none"/>
        </w:rPr>
        <w:t xml:space="preserve">9、确保《食堂服务人员岗位设置表》中相应服务人员在岗，不得擅离职守，迟到早退。若遇特殊情况有食堂服务人员临时不能到位中标方应从外抽调人员补齐。对缺岗、迟到、早退等现象业主方有权对中标方进行处罚，若屡次（超过3次（含3次）不改业主方有权解除合同并追究中标方相关责任。 </w:t>
      </w:r>
    </w:p>
    <w:p>
      <w:pPr>
        <w:widowControl/>
        <w:snapToGrid w:val="0"/>
        <w:spacing w:line="360" w:lineRule="auto"/>
        <w:ind w:firstLine="480" w:firstLineChars="200"/>
        <w:jc w:val="left"/>
        <w:rPr>
          <w:rFonts w:cs="宋体"/>
          <w:highlight w:val="none"/>
        </w:rPr>
      </w:pPr>
      <w:r>
        <w:rPr>
          <w:rFonts w:hint="eastAsia" w:cs="宋体"/>
          <w:highlight w:val="none"/>
        </w:rPr>
        <w:t xml:space="preserve">10、中标方必须严格遵守国家暂住人口、消防安全、食品卫生安全等方面的管理。 </w:t>
      </w:r>
    </w:p>
    <w:p>
      <w:pPr>
        <w:widowControl/>
        <w:snapToGrid w:val="0"/>
        <w:spacing w:line="360" w:lineRule="auto"/>
        <w:ind w:firstLine="480" w:firstLineChars="200"/>
        <w:jc w:val="left"/>
        <w:rPr>
          <w:rFonts w:cs="宋体"/>
          <w:highlight w:val="none"/>
        </w:rPr>
      </w:pPr>
      <w:r>
        <w:rPr>
          <w:rFonts w:hint="eastAsia" w:cs="宋体"/>
          <w:highlight w:val="none"/>
        </w:rPr>
        <w:t xml:space="preserve">11、中标方的食堂服务人员必须持健康证上岗，并报业主方备案。按业主方要求统一着装，如发现员工中有传染病或有违法行为应及时调离岗位并接受业主方提出的处理意见。 </w:t>
      </w:r>
    </w:p>
    <w:p>
      <w:pPr>
        <w:widowControl/>
        <w:snapToGrid w:val="0"/>
        <w:spacing w:line="360" w:lineRule="auto"/>
        <w:ind w:firstLine="480" w:firstLineChars="200"/>
        <w:jc w:val="left"/>
        <w:rPr>
          <w:rFonts w:cs="宋体"/>
          <w:highlight w:val="none"/>
        </w:rPr>
      </w:pPr>
      <w:r>
        <w:rPr>
          <w:rFonts w:hint="eastAsia" w:cs="宋体"/>
          <w:highlight w:val="none"/>
        </w:rPr>
        <w:t xml:space="preserve">12、中标方应妥善保管、维护业主方提供的设施、设备；如因中标方原因造成的食品安全事故、生产安全事故、工伤事故、消防安全事故等，由中标方承担全部法律责任及赔偿责任。 </w:t>
      </w:r>
    </w:p>
    <w:p>
      <w:pPr>
        <w:widowControl/>
        <w:snapToGrid w:val="0"/>
        <w:spacing w:line="360" w:lineRule="auto"/>
        <w:ind w:firstLine="480" w:firstLineChars="200"/>
        <w:jc w:val="left"/>
        <w:rPr>
          <w:rFonts w:cs="宋体"/>
          <w:highlight w:val="none"/>
        </w:rPr>
      </w:pPr>
      <w:r>
        <w:rPr>
          <w:rFonts w:hint="eastAsia" w:cs="宋体"/>
          <w:highlight w:val="none"/>
        </w:rPr>
        <w:t xml:space="preserve">13、中标方食堂服务人员在服务期间非因业主方原因所发生的一切事故，均由中标方承担全部法律责任及赔偿责任。 </w:t>
      </w:r>
    </w:p>
    <w:p>
      <w:pPr>
        <w:widowControl/>
        <w:snapToGrid w:val="0"/>
        <w:spacing w:line="360" w:lineRule="auto"/>
        <w:ind w:firstLine="480" w:firstLineChars="200"/>
        <w:jc w:val="left"/>
        <w:rPr>
          <w:rFonts w:cs="宋体"/>
          <w:highlight w:val="none"/>
        </w:rPr>
      </w:pPr>
      <w:r>
        <w:rPr>
          <w:rFonts w:hint="eastAsia" w:cs="宋体"/>
          <w:highlight w:val="none"/>
        </w:rPr>
        <w:t xml:space="preserve">14、本着相互信任，相互理解的原则，双方遇事要多沟通。 </w:t>
      </w:r>
    </w:p>
    <w:p>
      <w:pPr>
        <w:snapToGrid w:val="0"/>
        <w:spacing w:before="81" w:line="360" w:lineRule="auto"/>
        <w:ind w:right="822"/>
        <w:rPr>
          <w:rFonts w:cs="宋体"/>
          <w:highlight w:val="none"/>
        </w:rPr>
      </w:pPr>
      <w:r>
        <w:rPr>
          <w:rFonts w:hint="eastAsia" w:cs="宋体"/>
          <w:b/>
          <w:bCs/>
          <w:spacing w:val="-8"/>
          <w:highlight w:val="none"/>
        </w:rPr>
        <w:t>注：以上打★内容均为实质性要求，不允许负偏离。若出现负偏离，将作</w:t>
      </w:r>
      <w:r>
        <w:rPr>
          <w:rFonts w:hint="eastAsia" w:cs="宋体"/>
          <w:b/>
          <w:bCs/>
          <w:spacing w:val="-13"/>
          <w:highlight w:val="none"/>
        </w:rPr>
        <w:t>为无效响应理。</w:t>
      </w:r>
    </w:p>
    <w:sectPr>
      <w:pgSz w:w="11906" w:h="16838"/>
      <w:pgMar w:top="1440" w:right="1083" w:bottom="1440" w:left="10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大标宋简体">
    <w:altName w:val="微软雅黑"/>
    <w:panose1 w:val="00000000000000000000"/>
    <w:charset w:val="86"/>
    <w:family w:val="script"/>
    <w:pitch w:val="default"/>
    <w:sig w:usb0="00000000" w:usb1="00000000" w:usb2="00000012"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4"/>
      </w:rPr>
    </w:pPr>
    <w:r>
      <w:fldChar w:fldCharType="begin"/>
    </w:r>
    <w:r>
      <w:rPr>
        <w:rStyle w:val="24"/>
      </w:rPr>
      <w:instrText xml:space="preserve">PAGE  </w:instrText>
    </w:r>
    <w:r>
      <w:fldChar w:fldCharType="end"/>
    </w:r>
  </w:p>
  <w:p>
    <w:pPr>
      <w:pStyle w:val="14"/>
    </w:pPr>
  </w:p>
  <w:p/>
  <w:p/>
  <w:p/>
  <w:p/>
  <w:p/>
  <w:p/>
  <w:p/>
  <w:p/>
  <w:p/>
  <w:p/>
  <w:p/>
  <w:p/>
  <w:p/>
  <w:p/>
  <w:p/>
  <w:p/>
  <w:p/>
  <w:p/>
  <w:p/>
  <w:p/>
  <w:p/>
  <w:p/>
  <w:p/>
  <w:p/>
  <w:p/>
  <w:p/>
  <w:p/>
  <w:p/>
  <w:p/>
  <w:p/>
  <w:p/>
  <w:p/>
  <w:p/>
  <w:p/>
  <w:p/>
  <w:p/>
  <w:p/>
  <w:p/>
  <w:p/>
  <w:p/>
  <w:p/>
  <w:p/>
  <w:p/>
  <w:p/>
  <w:p/>
  <w:p/>
  <w:p/>
  <w:p/>
  <w:p/>
  <w:p/>
  <w:p/>
  <w:p/>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4"/>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4"/>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412"/>
      <w:rPr>
        <w:rFonts w:cs="宋体"/>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4"/>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ZerI4AgAAb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Vl6sjgCAABvBAAADgAAAAAAAAABACAAAAAfAQAAZHJzL2Uyb0RvYy54&#10;bWxQSwUGAAAAAAYABgBZAQAAyQ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jc w:val="left"/>
      <w:rPr>
        <w:rFonts w:ascii="Times New Roman" w:hAnsi="Times New Roman"/>
        <w:b/>
        <w:bCs/>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4"/>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BCXA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R+vqQ9U9&#10;wBxaFrZ6Z3lME6XydnUMkDYpHgXqVEGn4gGTmHrWb00c9T/PKerx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awQlwNwIAAHEEAAAOAAAAAAAAAAEAIAAAAB8BAABkcnMvZTJvRG9jLnht&#10;bFBLBQYAAAAABgAGAFkBAADI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80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p/>
  <w:p/>
  <w:p/>
  <w:p/>
  <w:p/>
  <w:p/>
  <w:p/>
  <w:p/>
  <w:p/>
  <w:p/>
  <w:p/>
  <w:p/>
  <w:p/>
  <w:p/>
  <w:p/>
  <w:p/>
  <w:p/>
  <w:p/>
  <w:p/>
  <w:p/>
  <w:p/>
  <w:p/>
  <w:p/>
  <w:p/>
  <w:p/>
  <w:p/>
  <w:p/>
  <w:p/>
  <w:p/>
  <w:p/>
  <w:p/>
  <w:p/>
  <w:p/>
  <w:p/>
  <w:p/>
  <w:p/>
  <w:p/>
  <w:p/>
  <w:p/>
  <w:p/>
  <w:p/>
  <w:p/>
  <w:p/>
  <w:p/>
  <w:p/>
  <w:p/>
  <w:p/>
  <w:p/>
  <w:p/>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10" w:lineRule="auto"/>
      <w:rPr>
        <w:rFonts w:ascii="Times New Roman" w:hAnsi="Times New Roman"/>
        <w:sz w:val="21"/>
        <w:szCs w:val="21"/>
      </w:rPr>
    </w:pPr>
  </w:p>
  <w:p>
    <w:pPr>
      <w:spacing w:before="72" w:line="163" w:lineRule="auto"/>
      <w:ind w:left="6190"/>
      <w:rPr>
        <w:rFonts w:ascii="Times New Roman" w:hAnsi="Times New Roman" w:eastAsia="Times New Roman"/>
        <w:sz w:val="25"/>
        <w:szCs w:val="25"/>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1"/>
        <w:left w:val="none" w:color="auto" w:sz="0" w:space="4"/>
        <w:bottom w:val="none" w:color="auto" w:sz="0" w:space="1"/>
        <w:right w:val="none" w:color="auto" w:sz="0" w:space="4"/>
      </w:pBdr>
      <w:tabs>
        <w:tab w:val="center" w:pos="4153"/>
        <w:tab w:val="right" w:pos="8306"/>
      </w:tabs>
      <w:snapToGrid w:val="0"/>
      <w:rPr>
        <w:rFonts w:ascii="Times New Roman" w:hAnsi="Times New Roman"/>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B1AD87"/>
    <w:multiLevelType w:val="singleLevel"/>
    <w:tmpl w:val="85B1AD87"/>
    <w:lvl w:ilvl="0" w:tentative="0">
      <w:start w:val="1"/>
      <w:numFmt w:val="decimal"/>
      <w:pStyle w:val="7"/>
      <w:lvlText w:val="%1."/>
      <w:lvlJc w:val="left"/>
      <w:pPr>
        <w:tabs>
          <w:tab w:val="left" w:pos="780"/>
        </w:tabs>
        <w:ind w:left="780" w:hanging="360"/>
      </w:pPr>
    </w:lvl>
  </w:abstractNum>
  <w:abstractNum w:abstractNumId="1">
    <w:nsid w:val="95A0CA17"/>
    <w:multiLevelType w:val="singleLevel"/>
    <w:tmpl w:val="95A0CA17"/>
    <w:lvl w:ilvl="0" w:tentative="0">
      <w:start w:val="1"/>
      <w:numFmt w:val="decimal"/>
      <w:suff w:val="nothing"/>
      <w:lvlText w:val="（%1）"/>
      <w:lvlJc w:val="left"/>
    </w:lvl>
  </w:abstractNum>
  <w:abstractNum w:abstractNumId="2">
    <w:nsid w:val="AE5FBD0F"/>
    <w:multiLevelType w:val="singleLevel"/>
    <w:tmpl w:val="AE5FBD0F"/>
    <w:lvl w:ilvl="0" w:tentative="0">
      <w:start w:val="1"/>
      <w:numFmt w:val="chineseCounting"/>
      <w:suff w:val="nothing"/>
      <w:lvlText w:val="（%1）"/>
      <w:lvlJc w:val="left"/>
      <w:pPr>
        <w:ind w:left="0" w:firstLine="420"/>
      </w:pPr>
      <w:rPr>
        <w:rFonts w:hint="eastAsia"/>
      </w:rPr>
    </w:lvl>
  </w:abstractNum>
  <w:abstractNum w:abstractNumId="3">
    <w:nsid w:val="B30753DC"/>
    <w:multiLevelType w:val="singleLevel"/>
    <w:tmpl w:val="B30753DC"/>
    <w:lvl w:ilvl="0" w:tentative="0">
      <w:start w:val="1"/>
      <w:numFmt w:val="chineseCounting"/>
      <w:suff w:val="nothing"/>
      <w:lvlText w:val="（%1）"/>
      <w:lvlJc w:val="left"/>
      <w:pPr>
        <w:ind w:left="0" w:firstLine="420"/>
      </w:pPr>
      <w:rPr>
        <w:rFonts w:hint="eastAsia"/>
      </w:rPr>
    </w:lvl>
  </w:abstractNum>
  <w:abstractNum w:abstractNumId="4">
    <w:nsid w:val="B5000428"/>
    <w:multiLevelType w:val="singleLevel"/>
    <w:tmpl w:val="B5000428"/>
    <w:lvl w:ilvl="0" w:tentative="0">
      <w:start w:val="3"/>
      <w:numFmt w:val="decimal"/>
      <w:lvlText w:val="%1."/>
      <w:lvlJc w:val="left"/>
      <w:pPr>
        <w:tabs>
          <w:tab w:val="left" w:pos="312"/>
        </w:tabs>
      </w:pPr>
    </w:lvl>
  </w:abstractNum>
  <w:abstractNum w:abstractNumId="5">
    <w:nsid w:val="C3EC983B"/>
    <w:multiLevelType w:val="singleLevel"/>
    <w:tmpl w:val="C3EC983B"/>
    <w:lvl w:ilvl="0" w:tentative="0">
      <w:start w:val="1"/>
      <w:numFmt w:val="decimal"/>
      <w:suff w:val="nothing"/>
      <w:lvlText w:val="%1．"/>
      <w:lvlJc w:val="left"/>
      <w:pPr>
        <w:ind w:left="0" w:firstLine="400"/>
      </w:pPr>
      <w:rPr>
        <w:rFonts w:hint="default"/>
      </w:rPr>
    </w:lvl>
  </w:abstractNum>
  <w:abstractNum w:abstractNumId="6">
    <w:nsid w:val="CEAFA545"/>
    <w:multiLevelType w:val="singleLevel"/>
    <w:tmpl w:val="CEAFA545"/>
    <w:lvl w:ilvl="0" w:tentative="0">
      <w:start w:val="1"/>
      <w:numFmt w:val="chineseCounting"/>
      <w:suff w:val="nothing"/>
      <w:lvlText w:val="（%1）"/>
      <w:lvlJc w:val="left"/>
      <w:pPr>
        <w:ind w:left="0" w:firstLine="420"/>
      </w:pPr>
      <w:rPr>
        <w:rFonts w:hint="eastAsia"/>
      </w:rPr>
    </w:lvl>
  </w:abstractNum>
  <w:abstractNum w:abstractNumId="7">
    <w:nsid w:val="D26E7428"/>
    <w:multiLevelType w:val="singleLevel"/>
    <w:tmpl w:val="D26E7428"/>
    <w:lvl w:ilvl="0" w:tentative="0">
      <w:start w:val="1"/>
      <w:numFmt w:val="decimal"/>
      <w:suff w:val="nothing"/>
      <w:lvlText w:val="（%1）"/>
      <w:lvlJc w:val="left"/>
    </w:lvl>
  </w:abstractNum>
  <w:abstractNum w:abstractNumId="8">
    <w:nsid w:val="DE0EB41C"/>
    <w:multiLevelType w:val="singleLevel"/>
    <w:tmpl w:val="DE0EB41C"/>
    <w:lvl w:ilvl="0" w:tentative="0">
      <w:start w:val="1"/>
      <w:numFmt w:val="decimal"/>
      <w:suff w:val="nothing"/>
      <w:lvlText w:val="（%1）"/>
      <w:lvlJc w:val="left"/>
    </w:lvl>
  </w:abstractNum>
  <w:abstractNum w:abstractNumId="9">
    <w:nsid w:val="E2122D66"/>
    <w:multiLevelType w:val="singleLevel"/>
    <w:tmpl w:val="E2122D66"/>
    <w:lvl w:ilvl="0" w:tentative="0">
      <w:start w:val="1"/>
      <w:numFmt w:val="chineseCounting"/>
      <w:suff w:val="nothing"/>
      <w:lvlText w:val="（%1）"/>
      <w:lvlJc w:val="left"/>
      <w:pPr>
        <w:ind w:left="0" w:firstLine="420"/>
      </w:pPr>
      <w:rPr>
        <w:rFonts w:hint="eastAsia"/>
      </w:rPr>
    </w:lvl>
  </w:abstractNum>
  <w:abstractNum w:abstractNumId="10">
    <w:nsid w:val="FF02C794"/>
    <w:multiLevelType w:val="singleLevel"/>
    <w:tmpl w:val="FF02C794"/>
    <w:lvl w:ilvl="0" w:tentative="0">
      <w:start w:val="3"/>
      <w:numFmt w:val="decimal"/>
      <w:suff w:val="nothing"/>
      <w:lvlText w:val="%1、"/>
      <w:lvlJc w:val="left"/>
    </w:lvl>
  </w:abstractNum>
  <w:abstractNum w:abstractNumId="11">
    <w:nsid w:val="11072AB6"/>
    <w:multiLevelType w:val="singleLevel"/>
    <w:tmpl w:val="11072AB6"/>
    <w:lvl w:ilvl="0" w:tentative="0">
      <w:start w:val="3"/>
      <w:numFmt w:val="decimal"/>
      <w:suff w:val="nothing"/>
      <w:lvlText w:val="%1、"/>
      <w:lvlJc w:val="left"/>
    </w:lvl>
  </w:abstractNum>
  <w:abstractNum w:abstractNumId="12">
    <w:nsid w:val="1A8D28D4"/>
    <w:multiLevelType w:val="singleLevel"/>
    <w:tmpl w:val="1A8D28D4"/>
    <w:lvl w:ilvl="0" w:tentative="0">
      <w:start w:val="1"/>
      <w:numFmt w:val="chineseCounting"/>
      <w:suff w:val="nothing"/>
      <w:lvlText w:val="（%1）"/>
      <w:lvlJc w:val="left"/>
      <w:pPr>
        <w:ind w:left="0" w:firstLine="420"/>
      </w:pPr>
      <w:rPr>
        <w:rFonts w:hint="eastAsia"/>
      </w:rPr>
    </w:lvl>
  </w:abstractNum>
  <w:abstractNum w:abstractNumId="13">
    <w:nsid w:val="288F8751"/>
    <w:multiLevelType w:val="singleLevel"/>
    <w:tmpl w:val="288F8751"/>
    <w:lvl w:ilvl="0" w:tentative="0">
      <w:start w:val="1"/>
      <w:numFmt w:val="chineseCounting"/>
      <w:suff w:val="nothing"/>
      <w:lvlText w:val="（%1）"/>
      <w:lvlJc w:val="left"/>
      <w:pPr>
        <w:ind w:left="0" w:firstLine="420"/>
      </w:pPr>
      <w:rPr>
        <w:rFonts w:hint="eastAsia"/>
      </w:rPr>
    </w:lvl>
  </w:abstractNum>
  <w:abstractNum w:abstractNumId="14">
    <w:nsid w:val="47AA1FA0"/>
    <w:multiLevelType w:val="singleLevel"/>
    <w:tmpl w:val="47AA1FA0"/>
    <w:lvl w:ilvl="0" w:tentative="0">
      <w:start w:val="1"/>
      <w:numFmt w:val="chineseCounting"/>
      <w:suff w:val="nothing"/>
      <w:lvlText w:val="（%1）"/>
      <w:lvlJc w:val="left"/>
      <w:pPr>
        <w:ind w:left="0" w:firstLine="420"/>
      </w:pPr>
      <w:rPr>
        <w:rFonts w:hint="eastAsia"/>
      </w:rPr>
    </w:lvl>
  </w:abstractNum>
  <w:abstractNum w:abstractNumId="15">
    <w:nsid w:val="58B47630"/>
    <w:multiLevelType w:val="singleLevel"/>
    <w:tmpl w:val="58B47630"/>
    <w:lvl w:ilvl="0" w:tentative="0">
      <w:start w:val="1"/>
      <w:numFmt w:val="chineseCounting"/>
      <w:suff w:val="nothing"/>
      <w:lvlText w:val="（%1）"/>
      <w:lvlJc w:val="left"/>
      <w:pPr>
        <w:ind w:left="0" w:firstLine="420"/>
      </w:pPr>
      <w:rPr>
        <w:rFonts w:hint="eastAsia"/>
      </w:rPr>
    </w:lvl>
  </w:abstractNum>
  <w:abstractNum w:abstractNumId="16">
    <w:nsid w:val="5D10586C"/>
    <w:multiLevelType w:val="singleLevel"/>
    <w:tmpl w:val="5D10586C"/>
    <w:lvl w:ilvl="0" w:tentative="0">
      <w:start w:val="1"/>
      <w:numFmt w:val="chineseCounting"/>
      <w:suff w:val="nothing"/>
      <w:lvlText w:val="（%1）"/>
      <w:lvlJc w:val="left"/>
      <w:pPr>
        <w:ind w:left="0" w:firstLine="420"/>
      </w:pPr>
      <w:rPr>
        <w:rFonts w:hint="eastAsia"/>
      </w:rPr>
    </w:lvl>
  </w:abstractNum>
  <w:abstractNum w:abstractNumId="17">
    <w:nsid w:val="72421871"/>
    <w:multiLevelType w:val="singleLevel"/>
    <w:tmpl w:val="72421871"/>
    <w:lvl w:ilvl="0" w:tentative="0">
      <w:start w:val="1"/>
      <w:numFmt w:val="decimal"/>
      <w:suff w:val="nothing"/>
      <w:lvlText w:val="%1．"/>
      <w:lvlJc w:val="left"/>
      <w:pPr>
        <w:ind w:left="0" w:firstLine="400"/>
      </w:pPr>
      <w:rPr>
        <w:rFonts w:hint="default"/>
      </w:rPr>
    </w:lvl>
  </w:abstractNum>
  <w:num w:numId="1">
    <w:abstractNumId w:val="0"/>
  </w:num>
  <w:num w:numId="2">
    <w:abstractNumId w:val="1"/>
  </w:num>
  <w:num w:numId="3">
    <w:abstractNumId w:val="8"/>
  </w:num>
  <w:num w:numId="4">
    <w:abstractNumId w:val="7"/>
  </w:num>
  <w:num w:numId="5">
    <w:abstractNumId w:val="6"/>
  </w:num>
  <w:num w:numId="6">
    <w:abstractNumId w:val="14"/>
  </w:num>
  <w:num w:numId="7">
    <w:abstractNumId w:val="3"/>
  </w:num>
  <w:num w:numId="8">
    <w:abstractNumId w:val="16"/>
  </w:num>
  <w:num w:numId="9">
    <w:abstractNumId w:val="2"/>
  </w:num>
  <w:num w:numId="10">
    <w:abstractNumId w:val="17"/>
  </w:num>
  <w:num w:numId="11">
    <w:abstractNumId w:val="5"/>
  </w:num>
  <w:num w:numId="12">
    <w:abstractNumId w:val="12"/>
  </w:num>
  <w:num w:numId="13">
    <w:abstractNumId w:val="13"/>
  </w:num>
  <w:num w:numId="14">
    <w:abstractNumId w:val="9"/>
  </w:num>
  <w:num w:numId="15">
    <w:abstractNumId w:val="15"/>
  </w:num>
  <w:num w:numId="16">
    <w:abstractNumId w:val="11"/>
  </w:num>
  <w:num w:numId="17">
    <w:abstractNumId w:val="10"/>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mZWIzNDg2MmIzZjExOTIzMmViNTBmYTMwYTk0ZWYifQ=="/>
    <w:docVar w:name="KSO_WPS_MARK_KEY" w:val="6a286ce5-81b5-4fe2-ba1a-9ab178ab2744"/>
  </w:docVars>
  <w:rsids>
    <w:rsidRoot w:val="227726E5"/>
    <w:rsid w:val="000210D8"/>
    <w:rsid w:val="000D03BB"/>
    <w:rsid w:val="001B6B7C"/>
    <w:rsid w:val="002A074A"/>
    <w:rsid w:val="003D1B60"/>
    <w:rsid w:val="004669E7"/>
    <w:rsid w:val="00550806"/>
    <w:rsid w:val="0067462E"/>
    <w:rsid w:val="00675481"/>
    <w:rsid w:val="00963FBC"/>
    <w:rsid w:val="009F149A"/>
    <w:rsid w:val="00BF52BD"/>
    <w:rsid w:val="00C476AF"/>
    <w:rsid w:val="00DB6EC2"/>
    <w:rsid w:val="00DE482C"/>
    <w:rsid w:val="00E52F76"/>
    <w:rsid w:val="00ED5986"/>
    <w:rsid w:val="00F045D2"/>
    <w:rsid w:val="00F95944"/>
    <w:rsid w:val="010008C4"/>
    <w:rsid w:val="012E251C"/>
    <w:rsid w:val="0145402C"/>
    <w:rsid w:val="0184160E"/>
    <w:rsid w:val="01A73D87"/>
    <w:rsid w:val="01C10F14"/>
    <w:rsid w:val="01DB6127"/>
    <w:rsid w:val="01EE7C08"/>
    <w:rsid w:val="01FB40D3"/>
    <w:rsid w:val="020C0D2B"/>
    <w:rsid w:val="0224362A"/>
    <w:rsid w:val="022C78EE"/>
    <w:rsid w:val="02306473"/>
    <w:rsid w:val="023B66F4"/>
    <w:rsid w:val="027A666A"/>
    <w:rsid w:val="028E4F47"/>
    <w:rsid w:val="029D33DC"/>
    <w:rsid w:val="02A97FD3"/>
    <w:rsid w:val="035D43E1"/>
    <w:rsid w:val="036D2DAF"/>
    <w:rsid w:val="036E446E"/>
    <w:rsid w:val="03960557"/>
    <w:rsid w:val="03AF33C7"/>
    <w:rsid w:val="03DA48E8"/>
    <w:rsid w:val="03FA20DB"/>
    <w:rsid w:val="040000C7"/>
    <w:rsid w:val="041D47D5"/>
    <w:rsid w:val="04245B63"/>
    <w:rsid w:val="0430031C"/>
    <w:rsid w:val="04471852"/>
    <w:rsid w:val="047B14FB"/>
    <w:rsid w:val="047D7A83"/>
    <w:rsid w:val="047F723D"/>
    <w:rsid w:val="04AB3B8E"/>
    <w:rsid w:val="04ED23F9"/>
    <w:rsid w:val="050D2A9B"/>
    <w:rsid w:val="0523406D"/>
    <w:rsid w:val="054E5609"/>
    <w:rsid w:val="05685F23"/>
    <w:rsid w:val="057E74F5"/>
    <w:rsid w:val="05AB7BBE"/>
    <w:rsid w:val="05BC4CCB"/>
    <w:rsid w:val="05C80770"/>
    <w:rsid w:val="05E15C31"/>
    <w:rsid w:val="060E19D4"/>
    <w:rsid w:val="06287461"/>
    <w:rsid w:val="062F7121"/>
    <w:rsid w:val="06316315"/>
    <w:rsid w:val="06481185"/>
    <w:rsid w:val="066D1AB1"/>
    <w:rsid w:val="067D3DF4"/>
    <w:rsid w:val="068414A6"/>
    <w:rsid w:val="068648B3"/>
    <w:rsid w:val="06DA69AD"/>
    <w:rsid w:val="06F35831"/>
    <w:rsid w:val="07E00A0F"/>
    <w:rsid w:val="07E31891"/>
    <w:rsid w:val="07F730C0"/>
    <w:rsid w:val="08057A5A"/>
    <w:rsid w:val="080717AD"/>
    <w:rsid w:val="082F0F7A"/>
    <w:rsid w:val="085B32F8"/>
    <w:rsid w:val="085F360E"/>
    <w:rsid w:val="08F97134"/>
    <w:rsid w:val="090468D2"/>
    <w:rsid w:val="09AB2883"/>
    <w:rsid w:val="09DB2C4D"/>
    <w:rsid w:val="09E518F1"/>
    <w:rsid w:val="09E91933"/>
    <w:rsid w:val="0A1A3FBC"/>
    <w:rsid w:val="0A242217"/>
    <w:rsid w:val="0A2A0561"/>
    <w:rsid w:val="0A410AF1"/>
    <w:rsid w:val="0A6A0048"/>
    <w:rsid w:val="0A7F68DD"/>
    <w:rsid w:val="0A826892"/>
    <w:rsid w:val="0A99133A"/>
    <w:rsid w:val="0AA0673D"/>
    <w:rsid w:val="0AB21F41"/>
    <w:rsid w:val="0B071D3B"/>
    <w:rsid w:val="0B41524D"/>
    <w:rsid w:val="0B732F2C"/>
    <w:rsid w:val="0B9A495D"/>
    <w:rsid w:val="0BEF5C9E"/>
    <w:rsid w:val="0BFB5CEE"/>
    <w:rsid w:val="0C032502"/>
    <w:rsid w:val="0C0A3890"/>
    <w:rsid w:val="0C0A675F"/>
    <w:rsid w:val="0C210BDA"/>
    <w:rsid w:val="0C395F24"/>
    <w:rsid w:val="0C4D5E73"/>
    <w:rsid w:val="0C550884"/>
    <w:rsid w:val="0C5745FC"/>
    <w:rsid w:val="0CD56232"/>
    <w:rsid w:val="0CF4009D"/>
    <w:rsid w:val="0CFD0B96"/>
    <w:rsid w:val="0D1628D9"/>
    <w:rsid w:val="0D352EC6"/>
    <w:rsid w:val="0D4E1EA3"/>
    <w:rsid w:val="0D58687D"/>
    <w:rsid w:val="0D6E42F3"/>
    <w:rsid w:val="0D702E76"/>
    <w:rsid w:val="0D786F20"/>
    <w:rsid w:val="0D7D0092"/>
    <w:rsid w:val="0DB53CD0"/>
    <w:rsid w:val="0DFA1880"/>
    <w:rsid w:val="0E250E55"/>
    <w:rsid w:val="0E7771D7"/>
    <w:rsid w:val="0E8417E5"/>
    <w:rsid w:val="0EAF4BC3"/>
    <w:rsid w:val="0F1C63B4"/>
    <w:rsid w:val="0F5F5E91"/>
    <w:rsid w:val="0F9811B3"/>
    <w:rsid w:val="0FB81855"/>
    <w:rsid w:val="0FB8763D"/>
    <w:rsid w:val="0FFF1232"/>
    <w:rsid w:val="101B44A3"/>
    <w:rsid w:val="102902A4"/>
    <w:rsid w:val="10635C65"/>
    <w:rsid w:val="109202F8"/>
    <w:rsid w:val="10A15E89"/>
    <w:rsid w:val="10C61D50"/>
    <w:rsid w:val="10D4446D"/>
    <w:rsid w:val="111B1EAF"/>
    <w:rsid w:val="113D64B6"/>
    <w:rsid w:val="11904D01"/>
    <w:rsid w:val="119F4A7B"/>
    <w:rsid w:val="11A51171"/>
    <w:rsid w:val="11FC011F"/>
    <w:rsid w:val="120664A5"/>
    <w:rsid w:val="1227133C"/>
    <w:rsid w:val="122F22A3"/>
    <w:rsid w:val="12493A33"/>
    <w:rsid w:val="125735A8"/>
    <w:rsid w:val="12706417"/>
    <w:rsid w:val="12710E53"/>
    <w:rsid w:val="132A0CBC"/>
    <w:rsid w:val="134C29E0"/>
    <w:rsid w:val="1361772B"/>
    <w:rsid w:val="136D04A3"/>
    <w:rsid w:val="13755250"/>
    <w:rsid w:val="139A7BF0"/>
    <w:rsid w:val="13DB5B12"/>
    <w:rsid w:val="13F07810"/>
    <w:rsid w:val="144E09DA"/>
    <w:rsid w:val="1455167B"/>
    <w:rsid w:val="14926B19"/>
    <w:rsid w:val="14A405FA"/>
    <w:rsid w:val="14BC76F2"/>
    <w:rsid w:val="15023C9F"/>
    <w:rsid w:val="15AC7766"/>
    <w:rsid w:val="16191663"/>
    <w:rsid w:val="161B666D"/>
    <w:rsid w:val="1626576B"/>
    <w:rsid w:val="16300563"/>
    <w:rsid w:val="16360BC6"/>
    <w:rsid w:val="1638724C"/>
    <w:rsid w:val="164A5664"/>
    <w:rsid w:val="167F30CD"/>
    <w:rsid w:val="16E66CA8"/>
    <w:rsid w:val="170859CA"/>
    <w:rsid w:val="172D0D7B"/>
    <w:rsid w:val="178A289D"/>
    <w:rsid w:val="17EB1D7F"/>
    <w:rsid w:val="180A2E6A"/>
    <w:rsid w:val="181028E7"/>
    <w:rsid w:val="18493992"/>
    <w:rsid w:val="18702CCD"/>
    <w:rsid w:val="188624F1"/>
    <w:rsid w:val="18C272A1"/>
    <w:rsid w:val="18F953B8"/>
    <w:rsid w:val="192E42C7"/>
    <w:rsid w:val="19BE5CBA"/>
    <w:rsid w:val="1A295829"/>
    <w:rsid w:val="1A6515CA"/>
    <w:rsid w:val="1A703458"/>
    <w:rsid w:val="1A7840BB"/>
    <w:rsid w:val="1AB41575"/>
    <w:rsid w:val="1AB86BAD"/>
    <w:rsid w:val="1AE57555"/>
    <w:rsid w:val="1AE856E5"/>
    <w:rsid w:val="1B004C08"/>
    <w:rsid w:val="1B180477"/>
    <w:rsid w:val="1B281F85"/>
    <w:rsid w:val="1B3C15F9"/>
    <w:rsid w:val="1BAA0BEC"/>
    <w:rsid w:val="1BC34A50"/>
    <w:rsid w:val="1BC752FA"/>
    <w:rsid w:val="1BDC5123"/>
    <w:rsid w:val="1C606B66"/>
    <w:rsid w:val="1C771265"/>
    <w:rsid w:val="1CB645F0"/>
    <w:rsid w:val="1CB92472"/>
    <w:rsid w:val="1D3377CB"/>
    <w:rsid w:val="1D562F59"/>
    <w:rsid w:val="1D9A259A"/>
    <w:rsid w:val="1DAD7C73"/>
    <w:rsid w:val="1DCE63FD"/>
    <w:rsid w:val="1DE25D6B"/>
    <w:rsid w:val="1E2A6014"/>
    <w:rsid w:val="1E58492F"/>
    <w:rsid w:val="1E650DFA"/>
    <w:rsid w:val="1E875215"/>
    <w:rsid w:val="1E9D7F7A"/>
    <w:rsid w:val="1F0028D1"/>
    <w:rsid w:val="1F1A2F77"/>
    <w:rsid w:val="1F1A5B7D"/>
    <w:rsid w:val="1F572E39"/>
    <w:rsid w:val="1F9C4CF0"/>
    <w:rsid w:val="1FBD7929"/>
    <w:rsid w:val="1FCD6C57"/>
    <w:rsid w:val="1FF64400"/>
    <w:rsid w:val="20036B1D"/>
    <w:rsid w:val="202D76F6"/>
    <w:rsid w:val="20390790"/>
    <w:rsid w:val="207215AC"/>
    <w:rsid w:val="209704FB"/>
    <w:rsid w:val="20A51982"/>
    <w:rsid w:val="20A756FA"/>
    <w:rsid w:val="20B05AB9"/>
    <w:rsid w:val="20DD2A63"/>
    <w:rsid w:val="20F876B3"/>
    <w:rsid w:val="20FB0D9A"/>
    <w:rsid w:val="21274A8D"/>
    <w:rsid w:val="212D20A3"/>
    <w:rsid w:val="213D605E"/>
    <w:rsid w:val="21543A6A"/>
    <w:rsid w:val="215D1AC5"/>
    <w:rsid w:val="215F4227"/>
    <w:rsid w:val="217F6E19"/>
    <w:rsid w:val="21B24356"/>
    <w:rsid w:val="21C5052E"/>
    <w:rsid w:val="21E32762"/>
    <w:rsid w:val="22010E3A"/>
    <w:rsid w:val="221D181A"/>
    <w:rsid w:val="2225042B"/>
    <w:rsid w:val="22582EC6"/>
    <w:rsid w:val="227726E5"/>
    <w:rsid w:val="22837D01"/>
    <w:rsid w:val="228637FA"/>
    <w:rsid w:val="22885BF9"/>
    <w:rsid w:val="22B94C28"/>
    <w:rsid w:val="22F20B8D"/>
    <w:rsid w:val="23107D1D"/>
    <w:rsid w:val="231E0C58"/>
    <w:rsid w:val="23436F00"/>
    <w:rsid w:val="2351194D"/>
    <w:rsid w:val="23694EE9"/>
    <w:rsid w:val="23A81EB5"/>
    <w:rsid w:val="23CE7442"/>
    <w:rsid w:val="240D3AC6"/>
    <w:rsid w:val="242F0861"/>
    <w:rsid w:val="24575689"/>
    <w:rsid w:val="24682A58"/>
    <w:rsid w:val="248364FB"/>
    <w:rsid w:val="24AA7567"/>
    <w:rsid w:val="24E0742D"/>
    <w:rsid w:val="252E16F5"/>
    <w:rsid w:val="255676EF"/>
    <w:rsid w:val="25987D07"/>
    <w:rsid w:val="25D85D70"/>
    <w:rsid w:val="260333D3"/>
    <w:rsid w:val="26325A66"/>
    <w:rsid w:val="26727FA6"/>
    <w:rsid w:val="26864004"/>
    <w:rsid w:val="26B24DF9"/>
    <w:rsid w:val="26C16DEA"/>
    <w:rsid w:val="26C2328E"/>
    <w:rsid w:val="26E50D2A"/>
    <w:rsid w:val="27072EEB"/>
    <w:rsid w:val="27221F7E"/>
    <w:rsid w:val="274C6FFB"/>
    <w:rsid w:val="2767173F"/>
    <w:rsid w:val="27736336"/>
    <w:rsid w:val="278E4F1E"/>
    <w:rsid w:val="27B53A26"/>
    <w:rsid w:val="27BB1438"/>
    <w:rsid w:val="27C13EDC"/>
    <w:rsid w:val="27CC5A46"/>
    <w:rsid w:val="27E014F2"/>
    <w:rsid w:val="27E2170E"/>
    <w:rsid w:val="27F154AD"/>
    <w:rsid w:val="27FC155E"/>
    <w:rsid w:val="27FC27CF"/>
    <w:rsid w:val="28133675"/>
    <w:rsid w:val="283C7070"/>
    <w:rsid w:val="289008AE"/>
    <w:rsid w:val="28996270"/>
    <w:rsid w:val="28B648A7"/>
    <w:rsid w:val="28C66939"/>
    <w:rsid w:val="28C75D08"/>
    <w:rsid w:val="28F17E5A"/>
    <w:rsid w:val="295201CD"/>
    <w:rsid w:val="29657F00"/>
    <w:rsid w:val="29787C34"/>
    <w:rsid w:val="29CC4423"/>
    <w:rsid w:val="2A067935"/>
    <w:rsid w:val="2A0C65CE"/>
    <w:rsid w:val="2A0E2346"/>
    <w:rsid w:val="2A13241B"/>
    <w:rsid w:val="2A151926"/>
    <w:rsid w:val="2A416565"/>
    <w:rsid w:val="2A616490"/>
    <w:rsid w:val="2A701253"/>
    <w:rsid w:val="2A781EB5"/>
    <w:rsid w:val="2A9221FA"/>
    <w:rsid w:val="2AF27EBA"/>
    <w:rsid w:val="2B481888"/>
    <w:rsid w:val="2B6F150A"/>
    <w:rsid w:val="2B7C45EA"/>
    <w:rsid w:val="2C101890"/>
    <w:rsid w:val="2C183950"/>
    <w:rsid w:val="2C3209AA"/>
    <w:rsid w:val="2C335B5A"/>
    <w:rsid w:val="2C980EBB"/>
    <w:rsid w:val="2C9A6113"/>
    <w:rsid w:val="2CD51841"/>
    <w:rsid w:val="2CD624D9"/>
    <w:rsid w:val="2D0A159E"/>
    <w:rsid w:val="2D12214D"/>
    <w:rsid w:val="2D286E61"/>
    <w:rsid w:val="2D483DC1"/>
    <w:rsid w:val="2D55028C"/>
    <w:rsid w:val="2DBB0A37"/>
    <w:rsid w:val="2DCF44E2"/>
    <w:rsid w:val="2DD37B2E"/>
    <w:rsid w:val="2DDD6BFF"/>
    <w:rsid w:val="2DE24215"/>
    <w:rsid w:val="2DF07DB4"/>
    <w:rsid w:val="2DF816E2"/>
    <w:rsid w:val="2E093550"/>
    <w:rsid w:val="2E1A01D2"/>
    <w:rsid w:val="2E5C3FC8"/>
    <w:rsid w:val="2E5E3791"/>
    <w:rsid w:val="2E644C2A"/>
    <w:rsid w:val="2E7F7CB6"/>
    <w:rsid w:val="2ECB2EFB"/>
    <w:rsid w:val="2EE6563F"/>
    <w:rsid w:val="2EE91DEC"/>
    <w:rsid w:val="2F0A3A24"/>
    <w:rsid w:val="2F171C9D"/>
    <w:rsid w:val="2F193C67"/>
    <w:rsid w:val="2F346BC5"/>
    <w:rsid w:val="2F56121E"/>
    <w:rsid w:val="2F603644"/>
    <w:rsid w:val="2FD162F0"/>
    <w:rsid w:val="2FED67F0"/>
    <w:rsid w:val="300F1252"/>
    <w:rsid w:val="301B5882"/>
    <w:rsid w:val="303B19BB"/>
    <w:rsid w:val="30562C99"/>
    <w:rsid w:val="306A2A83"/>
    <w:rsid w:val="306A5958"/>
    <w:rsid w:val="30907F59"/>
    <w:rsid w:val="310E0E7D"/>
    <w:rsid w:val="316C114C"/>
    <w:rsid w:val="316D2048"/>
    <w:rsid w:val="31905D36"/>
    <w:rsid w:val="31AF7290"/>
    <w:rsid w:val="31EC1292"/>
    <w:rsid w:val="32242981"/>
    <w:rsid w:val="32A9073B"/>
    <w:rsid w:val="32D81743"/>
    <w:rsid w:val="32DA06A1"/>
    <w:rsid w:val="32F04CDF"/>
    <w:rsid w:val="33291F9F"/>
    <w:rsid w:val="333D3C9C"/>
    <w:rsid w:val="33423DE0"/>
    <w:rsid w:val="336254B1"/>
    <w:rsid w:val="3381680B"/>
    <w:rsid w:val="339F04B3"/>
    <w:rsid w:val="33D068BE"/>
    <w:rsid w:val="34180991"/>
    <w:rsid w:val="345E3ECA"/>
    <w:rsid w:val="348334BA"/>
    <w:rsid w:val="34CA155F"/>
    <w:rsid w:val="35246EC1"/>
    <w:rsid w:val="35441312"/>
    <w:rsid w:val="35540C3D"/>
    <w:rsid w:val="35B2271F"/>
    <w:rsid w:val="35BF3846"/>
    <w:rsid w:val="36032F7B"/>
    <w:rsid w:val="36154A5C"/>
    <w:rsid w:val="36260A17"/>
    <w:rsid w:val="362B4280"/>
    <w:rsid w:val="364771DF"/>
    <w:rsid w:val="36721EAF"/>
    <w:rsid w:val="36AA789A"/>
    <w:rsid w:val="36C5247C"/>
    <w:rsid w:val="36C7303A"/>
    <w:rsid w:val="36F11025"/>
    <w:rsid w:val="372E7693"/>
    <w:rsid w:val="37397DA9"/>
    <w:rsid w:val="376C6029"/>
    <w:rsid w:val="3770058A"/>
    <w:rsid w:val="37710FF7"/>
    <w:rsid w:val="37976071"/>
    <w:rsid w:val="37B5307D"/>
    <w:rsid w:val="37C530CB"/>
    <w:rsid w:val="37C93D50"/>
    <w:rsid w:val="38637D01"/>
    <w:rsid w:val="38786CAE"/>
    <w:rsid w:val="388163D9"/>
    <w:rsid w:val="38B467AE"/>
    <w:rsid w:val="38BF587F"/>
    <w:rsid w:val="38D201A2"/>
    <w:rsid w:val="38EC46E7"/>
    <w:rsid w:val="38F512A1"/>
    <w:rsid w:val="392F6E44"/>
    <w:rsid w:val="393C7DC4"/>
    <w:rsid w:val="397E31A6"/>
    <w:rsid w:val="399B5556"/>
    <w:rsid w:val="39BC3D54"/>
    <w:rsid w:val="39E1222C"/>
    <w:rsid w:val="3A245EA1"/>
    <w:rsid w:val="3A445910"/>
    <w:rsid w:val="3A4B6C9E"/>
    <w:rsid w:val="3A5E69D2"/>
    <w:rsid w:val="3A850402"/>
    <w:rsid w:val="3AA47EC1"/>
    <w:rsid w:val="3AF364B7"/>
    <w:rsid w:val="3B1E77A1"/>
    <w:rsid w:val="3B466B72"/>
    <w:rsid w:val="3B4734EC"/>
    <w:rsid w:val="3B583D69"/>
    <w:rsid w:val="3B7010B2"/>
    <w:rsid w:val="3BA26D92"/>
    <w:rsid w:val="3C5472C0"/>
    <w:rsid w:val="3C5A766D"/>
    <w:rsid w:val="3C8F7316"/>
    <w:rsid w:val="3C992249"/>
    <w:rsid w:val="3CBB45AF"/>
    <w:rsid w:val="3CE27D8E"/>
    <w:rsid w:val="3D672041"/>
    <w:rsid w:val="3D740C53"/>
    <w:rsid w:val="3DD84CED"/>
    <w:rsid w:val="3DE511B8"/>
    <w:rsid w:val="3DFC0A87"/>
    <w:rsid w:val="3E285C74"/>
    <w:rsid w:val="3E3D10AA"/>
    <w:rsid w:val="3E421533"/>
    <w:rsid w:val="3E493AB1"/>
    <w:rsid w:val="3E502AD5"/>
    <w:rsid w:val="3E7760E0"/>
    <w:rsid w:val="3E8F1850"/>
    <w:rsid w:val="3E9260D6"/>
    <w:rsid w:val="3EEB64C0"/>
    <w:rsid w:val="3F0B4C4E"/>
    <w:rsid w:val="3F4A07A2"/>
    <w:rsid w:val="3F680864"/>
    <w:rsid w:val="3F7647BE"/>
    <w:rsid w:val="3FA550A3"/>
    <w:rsid w:val="3FB753AD"/>
    <w:rsid w:val="3FE5028A"/>
    <w:rsid w:val="3FEB25B5"/>
    <w:rsid w:val="3FFD0A3B"/>
    <w:rsid w:val="403B1563"/>
    <w:rsid w:val="404D2E17"/>
    <w:rsid w:val="405759DA"/>
    <w:rsid w:val="4057639D"/>
    <w:rsid w:val="40664832"/>
    <w:rsid w:val="40765A20"/>
    <w:rsid w:val="40851632"/>
    <w:rsid w:val="40A62E81"/>
    <w:rsid w:val="40B85ED8"/>
    <w:rsid w:val="40C7080B"/>
    <w:rsid w:val="40F57964"/>
    <w:rsid w:val="41013F36"/>
    <w:rsid w:val="41245722"/>
    <w:rsid w:val="41B617E9"/>
    <w:rsid w:val="4202058A"/>
    <w:rsid w:val="427B3BD4"/>
    <w:rsid w:val="427F1BDB"/>
    <w:rsid w:val="42D812EB"/>
    <w:rsid w:val="42EA54EA"/>
    <w:rsid w:val="42FF4201"/>
    <w:rsid w:val="430345BA"/>
    <w:rsid w:val="4326474D"/>
    <w:rsid w:val="433062D1"/>
    <w:rsid w:val="43486471"/>
    <w:rsid w:val="43A10A30"/>
    <w:rsid w:val="43A51B15"/>
    <w:rsid w:val="43A87D09"/>
    <w:rsid w:val="43B458B4"/>
    <w:rsid w:val="43D9356D"/>
    <w:rsid w:val="43EC504E"/>
    <w:rsid w:val="44101485"/>
    <w:rsid w:val="443F5AC6"/>
    <w:rsid w:val="445B21D4"/>
    <w:rsid w:val="44C45FCB"/>
    <w:rsid w:val="450C2D66"/>
    <w:rsid w:val="453A52BD"/>
    <w:rsid w:val="45596713"/>
    <w:rsid w:val="45967CB0"/>
    <w:rsid w:val="45AF27D7"/>
    <w:rsid w:val="45FA6330"/>
    <w:rsid w:val="460C72C5"/>
    <w:rsid w:val="46565349"/>
    <w:rsid w:val="465A6BE7"/>
    <w:rsid w:val="466022E5"/>
    <w:rsid w:val="467A1037"/>
    <w:rsid w:val="46BA58D8"/>
    <w:rsid w:val="46FB7F8A"/>
    <w:rsid w:val="47190850"/>
    <w:rsid w:val="473C009B"/>
    <w:rsid w:val="4740402F"/>
    <w:rsid w:val="47590C4D"/>
    <w:rsid w:val="479E26CA"/>
    <w:rsid w:val="47A33BDD"/>
    <w:rsid w:val="47A93662"/>
    <w:rsid w:val="47DB5B06"/>
    <w:rsid w:val="47DF1EF6"/>
    <w:rsid w:val="47ED3A8B"/>
    <w:rsid w:val="481F6949"/>
    <w:rsid w:val="48324F9F"/>
    <w:rsid w:val="48343468"/>
    <w:rsid w:val="483B44AA"/>
    <w:rsid w:val="483B47F6"/>
    <w:rsid w:val="48401E0D"/>
    <w:rsid w:val="486D24D6"/>
    <w:rsid w:val="48951133"/>
    <w:rsid w:val="48B56357"/>
    <w:rsid w:val="48BC3E9B"/>
    <w:rsid w:val="48BC5937"/>
    <w:rsid w:val="48CA7C8C"/>
    <w:rsid w:val="48E465FA"/>
    <w:rsid w:val="49060960"/>
    <w:rsid w:val="490C7F41"/>
    <w:rsid w:val="495A5150"/>
    <w:rsid w:val="49AE2DA6"/>
    <w:rsid w:val="49B52386"/>
    <w:rsid w:val="49B60D79"/>
    <w:rsid w:val="49CA3A8D"/>
    <w:rsid w:val="49CE4453"/>
    <w:rsid w:val="49E41883"/>
    <w:rsid w:val="49F904C5"/>
    <w:rsid w:val="49FE3D2D"/>
    <w:rsid w:val="4A280725"/>
    <w:rsid w:val="4A322279"/>
    <w:rsid w:val="4A506004"/>
    <w:rsid w:val="4A563B69"/>
    <w:rsid w:val="4A887BBB"/>
    <w:rsid w:val="4A946440"/>
    <w:rsid w:val="4A9D2228"/>
    <w:rsid w:val="4AC97E97"/>
    <w:rsid w:val="4B0B4660"/>
    <w:rsid w:val="4B7C7600"/>
    <w:rsid w:val="4BD03DBE"/>
    <w:rsid w:val="4BEF7DD1"/>
    <w:rsid w:val="4C0D1AB5"/>
    <w:rsid w:val="4C19436A"/>
    <w:rsid w:val="4C2832E3"/>
    <w:rsid w:val="4C2C2DD4"/>
    <w:rsid w:val="4C416153"/>
    <w:rsid w:val="4C6E0880"/>
    <w:rsid w:val="4C73080C"/>
    <w:rsid w:val="4C9149E5"/>
    <w:rsid w:val="4CE90CC5"/>
    <w:rsid w:val="4D1B0752"/>
    <w:rsid w:val="4D2832EB"/>
    <w:rsid w:val="4D5A571F"/>
    <w:rsid w:val="4D6A2B8E"/>
    <w:rsid w:val="4D6C2F10"/>
    <w:rsid w:val="4D7F313C"/>
    <w:rsid w:val="4D880385"/>
    <w:rsid w:val="4D9329DF"/>
    <w:rsid w:val="4DC25072"/>
    <w:rsid w:val="4DFE60AA"/>
    <w:rsid w:val="4E0336C0"/>
    <w:rsid w:val="4E0F66EE"/>
    <w:rsid w:val="4E140C20"/>
    <w:rsid w:val="4E404914"/>
    <w:rsid w:val="4E7B3B9E"/>
    <w:rsid w:val="4E832A53"/>
    <w:rsid w:val="4EA2509B"/>
    <w:rsid w:val="4EA529C9"/>
    <w:rsid w:val="4EA74993"/>
    <w:rsid w:val="4EB175C0"/>
    <w:rsid w:val="4ED908C5"/>
    <w:rsid w:val="4EDB63EB"/>
    <w:rsid w:val="4EE74D90"/>
    <w:rsid w:val="4EF13E61"/>
    <w:rsid w:val="4F652159"/>
    <w:rsid w:val="4FB31116"/>
    <w:rsid w:val="4FFC7A3E"/>
    <w:rsid w:val="5015592D"/>
    <w:rsid w:val="50546455"/>
    <w:rsid w:val="50624906"/>
    <w:rsid w:val="506F7733"/>
    <w:rsid w:val="50887115"/>
    <w:rsid w:val="50B921EC"/>
    <w:rsid w:val="50E13A61"/>
    <w:rsid w:val="51273B6A"/>
    <w:rsid w:val="512D6CA6"/>
    <w:rsid w:val="51387B25"/>
    <w:rsid w:val="51960CEF"/>
    <w:rsid w:val="519A1675"/>
    <w:rsid w:val="51BF3DA2"/>
    <w:rsid w:val="51EE28D9"/>
    <w:rsid w:val="51FF4AE6"/>
    <w:rsid w:val="52065E75"/>
    <w:rsid w:val="52505342"/>
    <w:rsid w:val="52707792"/>
    <w:rsid w:val="52B84125"/>
    <w:rsid w:val="52E8648C"/>
    <w:rsid w:val="53566988"/>
    <w:rsid w:val="535F3A8F"/>
    <w:rsid w:val="537C5E39"/>
    <w:rsid w:val="53803A05"/>
    <w:rsid w:val="53C102A5"/>
    <w:rsid w:val="53C37E9A"/>
    <w:rsid w:val="53D40A2D"/>
    <w:rsid w:val="53DD49B3"/>
    <w:rsid w:val="53E358CB"/>
    <w:rsid w:val="53E47AF0"/>
    <w:rsid w:val="542919A7"/>
    <w:rsid w:val="5452339C"/>
    <w:rsid w:val="54756820"/>
    <w:rsid w:val="547D1CF3"/>
    <w:rsid w:val="54B03E76"/>
    <w:rsid w:val="54BF230B"/>
    <w:rsid w:val="54C94F38"/>
    <w:rsid w:val="54CA12A9"/>
    <w:rsid w:val="54E270C5"/>
    <w:rsid w:val="552D21D3"/>
    <w:rsid w:val="55427024"/>
    <w:rsid w:val="5583158B"/>
    <w:rsid w:val="559612BE"/>
    <w:rsid w:val="55B654BC"/>
    <w:rsid w:val="55B94FAC"/>
    <w:rsid w:val="55BC36B8"/>
    <w:rsid w:val="561B17C3"/>
    <w:rsid w:val="562B6B84"/>
    <w:rsid w:val="56446392"/>
    <w:rsid w:val="56505911"/>
    <w:rsid w:val="56517321"/>
    <w:rsid w:val="567E247E"/>
    <w:rsid w:val="568A42C6"/>
    <w:rsid w:val="568B52A7"/>
    <w:rsid w:val="56C43C09"/>
    <w:rsid w:val="56C500AD"/>
    <w:rsid w:val="57051220"/>
    <w:rsid w:val="570C5CDB"/>
    <w:rsid w:val="57174680"/>
    <w:rsid w:val="572A7F10"/>
    <w:rsid w:val="577218B7"/>
    <w:rsid w:val="577E200A"/>
    <w:rsid w:val="57A75A04"/>
    <w:rsid w:val="57B47A99"/>
    <w:rsid w:val="57E55786"/>
    <w:rsid w:val="57F14ED1"/>
    <w:rsid w:val="583D1EC5"/>
    <w:rsid w:val="58450B68"/>
    <w:rsid w:val="58515970"/>
    <w:rsid w:val="5867225C"/>
    <w:rsid w:val="586E02D0"/>
    <w:rsid w:val="58BE05E1"/>
    <w:rsid w:val="58C06A9A"/>
    <w:rsid w:val="58D42829"/>
    <w:rsid w:val="590F2FD0"/>
    <w:rsid w:val="591B7986"/>
    <w:rsid w:val="591F1946"/>
    <w:rsid w:val="59266DFD"/>
    <w:rsid w:val="594352B9"/>
    <w:rsid w:val="598B6C60"/>
    <w:rsid w:val="59AF294E"/>
    <w:rsid w:val="59BB12F3"/>
    <w:rsid w:val="59C42947"/>
    <w:rsid w:val="59D466BA"/>
    <w:rsid w:val="59E00D5A"/>
    <w:rsid w:val="59E023C6"/>
    <w:rsid w:val="59EC3BB9"/>
    <w:rsid w:val="5A4A2677"/>
    <w:rsid w:val="5A623D66"/>
    <w:rsid w:val="5A8E1D43"/>
    <w:rsid w:val="5ABA77FD"/>
    <w:rsid w:val="5AD563E4"/>
    <w:rsid w:val="5AEB18AD"/>
    <w:rsid w:val="5AEB3E5A"/>
    <w:rsid w:val="5B174C4F"/>
    <w:rsid w:val="5B597015"/>
    <w:rsid w:val="5B9444F1"/>
    <w:rsid w:val="5B995664"/>
    <w:rsid w:val="5C296E7F"/>
    <w:rsid w:val="5C501309"/>
    <w:rsid w:val="5C553C81"/>
    <w:rsid w:val="5C5F68AD"/>
    <w:rsid w:val="5C7F0CFE"/>
    <w:rsid w:val="5CA40764"/>
    <w:rsid w:val="5CC13910"/>
    <w:rsid w:val="5D157638"/>
    <w:rsid w:val="5D3C6BEF"/>
    <w:rsid w:val="5D637A40"/>
    <w:rsid w:val="5D6B74D4"/>
    <w:rsid w:val="5DB449D7"/>
    <w:rsid w:val="5DC70453"/>
    <w:rsid w:val="5E074AB8"/>
    <w:rsid w:val="5E6F231D"/>
    <w:rsid w:val="5E7C6C04"/>
    <w:rsid w:val="5EC7073A"/>
    <w:rsid w:val="5EE71853"/>
    <w:rsid w:val="5F1F2324"/>
    <w:rsid w:val="5F590EF3"/>
    <w:rsid w:val="5F681F1D"/>
    <w:rsid w:val="5F764577"/>
    <w:rsid w:val="5F7905CB"/>
    <w:rsid w:val="5F7C1A71"/>
    <w:rsid w:val="5FD2383A"/>
    <w:rsid w:val="5FD64C3D"/>
    <w:rsid w:val="600F223D"/>
    <w:rsid w:val="604069F6"/>
    <w:rsid w:val="60566219"/>
    <w:rsid w:val="608763D3"/>
    <w:rsid w:val="60996106"/>
    <w:rsid w:val="60A46F85"/>
    <w:rsid w:val="60C51BF1"/>
    <w:rsid w:val="60E43825"/>
    <w:rsid w:val="61614E76"/>
    <w:rsid w:val="616C7377"/>
    <w:rsid w:val="618163CD"/>
    <w:rsid w:val="623C143F"/>
    <w:rsid w:val="62444614"/>
    <w:rsid w:val="62574B27"/>
    <w:rsid w:val="62894684"/>
    <w:rsid w:val="62960B4F"/>
    <w:rsid w:val="62A019CE"/>
    <w:rsid w:val="62A0552A"/>
    <w:rsid w:val="62D13F91"/>
    <w:rsid w:val="62E93375"/>
    <w:rsid w:val="62F67840"/>
    <w:rsid w:val="631450D2"/>
    <w:rsid w:val="631D0BEE"/>
    <w:rsid w:val="631F28F3"/>
    <w:rsid w:val="63224191"/>
    <w:rsid w:val="63612F0B"/>
    <w:rsid w:val="63776102"/>
    <w:rsid w:val="63816F00"/>
    <w:rsid w:val="63822E81"/>
    <w:rsid w:val="63B76FCF"/>
    <w:rsid w:val="63EE0517"/>
    <w:rsid w:val="647A3D7D"/>
    <w:rsid w:val="64833FCA"/>
    <w:rsid w:val="64AC17B9"/>
    <w:rsid w:val="64CC5F47"/>
    <w:rsid w:val="64DE2339"/>
    <w:rsid w:val="65387AD4"/>
    <w:rsid w:val="654E3963"/>
    <w:rsid w:val="656960A7"/>
    <w:rsid w:val="657D1B52"/>
    <w:rsid w:val="65876E75"/>
    <w:rsid w:val="65882DCF"/>
    <w:rsid w:val="65CB2E66"/>
    <w:rsid w:val="65E16585"/>
    <w:rsid w:val="6695111E"/>
    <w:rsid w:val="66CD5B94"/>
    <w:rsid w:val="66F105F1"/>
    <w:rsid w:val="67140C0C"/>
    <w:rsid w:val="672A3F5C"/>
    <w:rsid w:val="6753700F"/>
    <w:rsid w:val="676E209B"/>
    <w:rsid w:val="678A67A9"/>
    <w:rsid w:val="67B6396A"/>
    <w:rsid w:val="67C65A33"/>
    <w:rsid w:val="67DD4B2A"/>
    <w:rsid w:val="67EE0FC7"/>
    <w:rsid w:val="68050144"/>
    <w:rsid w:val="6847745D"/>
    <w:rsid w:val="68582403"/>
    <w:rsid w:val="685B2959"/>
    <w:rsid w:val="685C1120"/>
    <w:rsid w:val="687E630D"/>
    <w:rsid w:val="68A33FC6"/>
    <w:rsid w:val="68AA5354"/>
    <w:rsid w:val="68C006D4"/>
    <w:rsid w:val="68C55CEA"/>
    <w:rsid w:val="68ED6FEF"/>
    <w:rsid w:val="68FB170C"/>
    <w:rsid w:val="692844CB"/>
    <w:rsid w:val="6942733B"/>
    <w:rsid w:val="69692B1A"/>
    <w:rsid w:val="69B12E3A"/>
    <w:rsid w:val="69D112C7"/>
    <w:rsid w:val="69EC32FE"/>
    <w:rsid w:val="69F523FA"/>
    <w:rsid w:val="69F66377"/>
    <w:rsid w:val="6A537326"/>
    <w:rsid w:val="6A6165D5"/>
    <w:rsid w:val="6A6A3D76"/>
    <w:rsid w:val="6AD00976"/>
    <w:rsid w:val="6AEF74BC"/>
    <w:rsid w:val="6B032AFA"/>
    <w:rsid w:val="6B1C5A6F"/>
    <w:rsid w:val="6B287A18"/>
    <w:rsid w:val="6B403D4E"/>
    <w:rsid w:val="6B7E4876"/>
    <w:rsid w:val="6B804F99"/>
    <w:rsid w:val="6BD1485D"/>
    <w:rsid w:val="6BE40B7D"/>
    <w:rsid w:val="6C034C46"/>
    <w:rsid w:val="6C392068"/>
    <w:rsid w:val="6C420B21"/>
    <w:rsid w:val="6C5532C3"/>
    <w:rsid w:val="6C755AA6"/>
    <w:rsid w:val="6C8D7497"/>
    <w:rsid w:val="6CA1081C"/>
    <w:rsid w:val="6CA50A00"/>
    <w:rsid w:val="6CC83FFB"/>
    <w:rsid w:val="6CC91B21"/>
    <w:rsid w:val="6D2F109B"/>
    <w:rsid w:val="6D356715"/>
    <w:rsid w:val="6D3836D1"/>
    <w:rsid w:val="6D765805"/>
    <w:rsid w:val="6D8048D6"/>
    <w:rsid w:val="6D8A1E9B"/>
    <w:rsid w:val="6D9B170F"/>
    <w:rsid w:val="6D9E2FAE"/>
    <w:rsid w:val="6DBE1582"/>
    <w:rsid w:val="6DD34202"/>
    <w:rsid w:val="6DD84DB2"/>
    <w:rsid w:val="6DE05374"/>
    <w:rsid w:val="6DFD5F26"/>
    <w:rsid w:val="6E0549CA"/>
    <w:rsid w:val="6E241705"/>
    <w:rsid w:val="6E2B2A93"/>
    <w:rsid w:val="6EBE6D82"/>
    <w:rsid w:val="6EC01CE8"/>
    <w:rsid w:val="6F1352D6"/>
    <w:rsid w:val="6F526261"/>
    <w:rsid w:val="6F991C7F"/>
    <w:rsid w:val="6FA50623"/>
    <w:rsid w:val="6FC767EC"/>
    <w:rsid w:val="6FD131C7"/>
    <w:rsid w:val="6FD26F3F"/>
    <w:rsid w:val="6FE32AAB"/>
    <w:rsid w:val="6FE5761E"/>
    <w:rsid w:val="70180D6C"/>
    <w:rsid w:val="706202C3"/>
    <w:rsid w:val="7073539A"/>
    <w:rsid w:val="70771865"/>
    <w:rsid w:val="707D6EAA"/>
    <w:rsid w:val="708F3550"/>
    <w:rsid w:val="70BD374B"/>
    <w:rsid w:val="70F3716D"/>
    <w:rsid w:val="710E21F8"/>
    <w:rsid w:val="71123A97"/>
    <w:rsid w:val="71185FB7"/>
    <w:rsid w:val="712E63F7"/>
    <w:rsid w:val="715220E5"/>
    <w:rsid w:val="71602887"/>
    <w:rsid w:val="71706A0F"/>
    <w:rsid w:val="71754026"/>
    <w:rsid w:val="71816E6E"/>
    <w:rsid w:val="71C91A73"/>
    <w:rsid w:val="71FD677A"/>
    <w:rsid w:val="721B2843"/>
    <w:rsid w:val="723A2BE4"/>
    <w:rsid w:val="72A577D6"/>
    <w:rsid w:val="72A66B8C"/>
    <w:rsid w:val="72AB13CD"/>
    <w:rsid w:val="72B34E05"/>
    <w:rsid w:val="72E651DB"/>
    <w:rsid w:val="73163E8B"/>
    <w:rsid w:val="732D2E0A"/>
    <w:rsid w:val="734273A9"/>
    <w:rsid w:val="73504D4A"/>
    <w:rsid w:val="73522870"/>
    <w:rsid w:val="73740E55"/>
    <w:rsid w:val="737A6252"/>
    <w:rsid w:val="739F6935"/>
    <w:rsid w:val="73EF6311"/>
    <w:rsid w:val="74017DF2"/>
    <w:rsid w:val="74100036"/>
    <w:rsid w:val="74253AE1"/>
    <w:rsid w:val="743106D8"/>
    <w:rsid w:val="74955D2B"/>
    <w:rsid w:val="74A215D5"/>
    <w:rsid w:val="74AF784E"/>
    <w:rsid w:val="7516591D"/>
    <w:rsid w:val="75330480"/>
    <w:rsid w:val="755B7CB2"/>
    <w:rsid w:val="75722525"/>
    <w:rsid w:val="758B02BC"/>
    <w:rsid w:val="759233F8"/>
    <w:rsid w:val="75DB4D9F"/>
    <w:rsid w:val="76004806"/>
    <w:rsid w:val="760342F6"/>
    <w:rsid w:val="7610431D"/>
    <w:rsid w:val="763044F2"/>
    <w:rsid w:val="766537ED"/>
    <w:rsid w:val="768C42EB"/>
    <w:rsid w:val="76FA21CF"/>
    <w:rsid w:val="770B3462"/>
    <w:rsid w:val="77170059"/>
    <w:rsid w:val="772B7660"/>
    <w:rsid w:val="77400C32"/>
    <w:rsid w:val="77754D7F"/>
    <w:rsid w:val="778139C7"/>
    <w:rsid w:val="77A318EC"/>
    <w:rsid w:val="77A60777"/>
    <w:rsid w:val="77C80128"/>
    <w:rsid w:val="781C0323"/>
    <w:rsid w:val="78236589"/>
    <w:rsid w:val="78872FBC"/>
    <w:rsid w:val="788E2390"/>
    <w:rsid w:val="789E013A"/>
    <w:rsid w:val="78AD248D"/>
    <w:rsid w:val="78CD2A29"/>
    <w:rsid w:val="78D56A89"/>
    <w:rsid w:val="79206F6D"/>
    <w:rsid w:val="79336085"/>
    <w:rsid w:val="795D1F6F"/>
    <w:rsid w:val="797B38AA"/>
    <w:rsid w:val="7997722F"/>
    <w:rsid w:val="79AE27CB"/>
    <w:rsid w:val="7A0B76AE"/>
    <w:rsid w:val="7A146AD1"/>
    <w:rsid w:val="7A2F56B9"/>
    <w:rsid w:val="7A4F7B0A"/>
    <w:rsid w:val="7A9E639B"/>
    <w:rsid w:val="7ACE655D"/>
    <w:rsid w:val="7AE448F9"/>
    <w:rsid w:val="7AF406B1"/>
    <w:rsid w:val="7AF62F71"/>
    <w:rsid w:val="7BA07EF1"/>
    <w:rsid w:val="7BC2255D"/>
    <w:rsid w:val="7C0D6D22"/>
    <w:rsid w:val="7C26489A"/>
    <w:rsid w:val="7C683105"/>
    <w:rsid w:val="7C844214"/>
    <w:rsid w:val="7CA852AF"/>
    <w:rsid w:val="7CEF3F9C"/>
    <w:rsid w:val="7D3D633F"/>
    <w:rsid w:val="7D513B99"/>
    <w:rsid w:val="7D6878F6"/>
    <w:rsid w:val="7D807FDA"/>
    <w:rsid w:val="7DBA60F6"/>
    <w:rsid w:val="7DD520D4"/>
    <w:rsid w:val="7DE37223"/>
    <w:rsid w:val="7DEC499A"/>
    <w:rsid w:val="7DF914EC"/>
    <w:rsid w:val="7DFF53A3"/>
    <w:rsid w:val="7E0230E5"/>
    <w:rsid w:val="7E1621A7"/>
    <w:rsid w:val="7E3F017E"/>
    <w:rsid w:val="7E512C87"/>
    <w:rsid w:val="7E5B2B33"/>
    <w:rsid w:val="7E790FBB"/>
    <w:rsid w:val="7E885398"/>
    <w:rsid w:val="7E9F26E2"/>
    <w:rsid w:val="7EAA3560"/>
    <w:rsid w:val="7EAF501B"/>
    <w:rsid w:val="7EE2719E"/>
    <w:rsid w:val="7F0C5FC9"/>
    <w:rsid w:val="7F492D2C"/>
    <w:rsid w:val="7F607653"/>
    <w:rsid w:val="7F765B38"/>
    <w:rsid w:val="7FCD29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Times New Roman"/>
      <w:kern w:val="2"/>
      <w:sz w:val="24"/>
      <w:szCs w:val="24"/>
      <w:lang w:val="en-US" w:eastAsia="zh-CN" w:bidi="ar-SA"/>
    </w:rPr>
  </w:style>
  <w:style w:type="paragraph" w:styleId="2">
    <w:name w:val="heading 1"/>
    <w:basedOn w:val="1"/>
    <w:next w:val="1"/>
    <w:link w:val="26"/>
    <w:qFormat/>
    <w:uiPriority w:val="0"/>
    <w:pPr>
      <w:keepNext/>
      <w:keepLines/>
      <w:autoSpaceDE w:val="0"/>
      <w:autoSpaceDN w:val="0"/>
      <w:spacing w:line="360" w:lineRule="auto"/>
      <w:jc w:val="center"/>
      <w:outlineLvl w:val="0"/>
    </w:pPr>
    <w:rPr>
      <w:rFonts w:eastAsia="仿宋"/>
      <w:b/>
      <w:snapToGrid w:val="0"/>
      <w:color w:val="000000"/>
      <w:kern w:val="44"/>
      <w:sz w:val="36"/>
      <w:szCs w:val="20"/>
    </w:rPr>
  </w:style>
  <w:style w:type="paragraph" w:styleId="3">
    <w:name w:val="heading 2"/>
    <w:basedOn w:val="1"/>
    <w:next w:val="1"/>
    <w:link w:val="29"/>
    <w:semiHidden/>
    <w:unhideWhenUsed/>
    <w:qFormat/>
    <w:uiPriority w:val="0"/>
    <w:pPr>
      <w:keepNext/>
      <w:keepLines/>
      <w:autoSpaceDE w:val="0"/>
      <w:autoSpaceDN w:val="0"/>
      <w:spacing w:line="360" w:lineRule="auto"/>
      <w:outlineLvl w:val="1"/>
    </w:pPr>
    <w:rPr>
      <w:rFonts w:ascii="Arial" w:hAnsi="Arial" w:eastAsia="仿宋" w:cs="Arial"/>
      <w:b/>
      <w:snapToGrid w:val="0"/>
      <w:color w:val="000000"/>
      <w:kern w:val="0"/>
      <w:sz w:val="28"/>
      <w:szCs w:val="20"/>
    </w:rPr>
  </w:style>
  <w:style w:type="paragraph" w:styleId="4">
    <w:name w:val="heading 3"/>
    <w:basedOn w:val="1"/>
    <w:next w:val="1"/>
    <w:link w:val="28"/>
    <w:unhideWhenUsed/>
    <w:qFormat/>
    <w:uiPriority w:val="0"/>
    <w:pPr>
      <w:keepNext/>
      <w:keepLines/>
      <w:autoSpaceDE w:val="0"/>
      <w:autoSpaceDN w:val="0"/>
      <w:spacing w:line="360" w:lineRule="auto"/>
      <w:outlineLvl w:val="2"/>
    </w:pPr>
    <w:rPr>
      <w:rFonts w:ascii="仿宋" w:hAnsi="仿宋" w:eastAsia="华文中宋"/>
      <w:b/>
      <w:szCs w:val="20"/>
      <w:u w:val="single"/>
    </w:rPr>
  </w:style>
  <w:style w:type="paragraph" w:styleId="5">
    <w:name w:val="heading 4"/>
    <w:basedOn w:val="1"/>
    <w:next w:val="1"/>
    <w:unhideWhenUsed/>
    <w:qFormat/>
    <w:uiPriority w:val="0"/>
    <w:pPr>
      <w:keepNext/>
      <w:keepLines/>
      <w:spacing w:line="360" w:lineRule="auto"/>
      <w:outlineLvl w:val="3"/>
    </w:pPr>
    <w:rPr>
      <w:rFonts w:ascii="仿宋_GB2312" w:hAnsi="仿宋_GB2312"/>
      <w:b/>
      <w:sz w:val="28"/>
    </w:rPr>
  </w:style>
  <w:style w:type="paragraph" w:styleId="6">
    <w:name w:val="heading 5"/>
    <w:basedOn w:val="7"/>
    <w:next w:val="8"/>
    <w:qFormat/>
    <w:uiPriority w:val="9"/>
    <w:pPr>
      <w:keepNext/>
      <w:keepLines/>
      <w:tabs>
        <w:tab w:val="left" w:pos="780"/>
      </w:tabs>
      <w:spacing w:before="280" w:after="290" w:line="377" w:lineRule="auto"/>
      <w:ind w:firstLine="200" w:firstLineChars="200"/>
      <w:outlineLvl w:val="4"/>
    </w:pPr>
    <w:rPr>
      <w:rFonts w:ascii="Times New Roman" w:hAnsi="Times New Roman" w:eastAsia="仿宋_GB2312"/>
      <w:bCs/>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7">
    <w:name w:val="List Number 2"/>
    <w:basedOn w:val="1"/>
    <w:qFormat/>
    <w:uiPriority w:val="0"/>
    <w:pPr>
      <w:numPr>
        <w:ilvl w:val="0"/>
        <w:numId w:val="1"/>
      </w:numPr>
    </w:pPr>
  </w:style>
  <w:style w:type="paragraph" w:styleId="8">
    <w:name w:val="Normal (Web)"/>
    <w:basedOn w:val="1"/>
    <w:unhideWhenUsed/>
    <w:qFormat/>
    <w:uiPriority w:val="99"/>
    <w:pPr>
      <w:widowControl/>
      <w:spacing w:before="100" w:beforeAutospacing="1" w:after="100" w:afterAutospacing="1"/>
      <w:jc w:val="left"/>
    </w:pPr>
    <w:rPr>
      <w:rFonts w:cs="宋体"/>
      <w:kern w:val="0"/>
    </w:rPr>
  </w:style>
  <w:style w:type="paragraph" w:styleId="9">
    <w:name w:val="Normal Indent"/>
    <w:basedOn w:val="1"/>
    <w:qFormat/>
    <w:uiPriority w:val="0"/>
    <w:pPr>
      <w:ind w:firstLine="420" w:firstLineChars="200"/>
    </w:pPr>
  </w:style>
  <w:style w:type="paragraph" w:styleId="10">
    <w:name w:val="annotation text"/>
    <w:basedOn w:val="1"/>
    <w:qFormat/>
    <w:uiPriority w:val="99"/>
    <w:pPr>
      <w:jc w:val="left"/>
    </w:pPr>
    <w:rPr>
      <w:kern w:val="0"/>
      <w:sz w:val="20"/>
      <w:szCs w:val="20"/>
    </w:rPr>
  </w:style>
  <w:style w:type="paragraph" w:styleId="11">
    <w:name w:val="Body Text"/>
    <w:basedOn w:val="1"/>
    <w:qFormat/>
    <w:uiPriority w:val="0"/>
  </w:style>
  <w:style w:type="paragraph" w:styleId="12">
    <w:name w:val="toc 3"/>
    <w:basedOn w:val="1"/>
    <w:next w:val="1"/>
    <w:qFormat/>
    <w:uiPriority w:val="0"/>
    <w:pPr>
      <w:ind w:left="840" w:leftChars="400"/>
    </w:pPr>
  </w:style>
  <w:style w:type="paragraph" w:styleId="13">
    <w:name w:val="Plain Text"/>
    <w:basedOn w:val="1"/>
    <w:unhideWhenUsed/>
    <w:qFormat/>
    <w:uiPriority w:val="99"/>
    <w:rPr>
      <w:rFonts w:hAnsi="Courier New" w:cs="Courier New"/>
      <w:szCs w:val="21"/>
    </w:rPr>
  </w:style>
  <w:style w:type="paragraph" w:styleId="14">
    <w:name w:val="footer"/>
    <w:basedOn w:val="1"/>
    <w:next w:val="1"/>
    <w:unhideWhenUsed/>
    <w:qFormat/>
    <w:uiPriority w:val="99"/>
    <w:pPr>
      <w:tabs>
        <w:tab w:val="center" w:pos="4153"/>
        <w:tab w:val="right" w:pos="8306"/>
      </w:tabs>
      <w:snapToGrid w:val="0"/>
      <w:jc w:val="left"/>
    </w:pPr>
    <w:rPr>
      <w:sz w:val="18"/>
      <w:szCs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Title"/>
    <w:basedOn w:val="1"/>
    <w:qFormat/>
    <w:uiPriority w:val="0"/>
    <w:pPr>
      <w:jc w:val="center"/>
      <w:outlineLvl w:val="0"/>
    </w:pPr>
    <w:rPr>
      <w:rFonts w:ascii="Arial" w:hAnsi="Arial"/>
      <w:b/>
      <w:sz w:val="32"/>
    </w:rPr>
  </w:style>
  <w:style w:type="paragraph" w:styleId="19">
    <w:name w:val="Body Text First Indent"/>
    <w:basedOn w:val="11"/>
    <w:qFormat/>
    <w:uiPriority w:val="0"/>
    <w:pPr>
      <w:ind w:left="730" w:firstLine="420" w:firstLineChars="100"/>
    </w:pPr>
    <w:rPr>
      <w:sz w:val="23"/>
      <w:szCs w:val="23"/>
    </w:r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0"/>
    <w:rPr>
      <w:b/>
    </w:rPr>
  </w:style>
  <w:style w:type="character" w:styleId="24">
    <w:name w:val="page number"/>
    <w:basedOn w:val="22"/>
    <w:qFormat/>
    <w:uiPriority w:val="99"/>
  </w:style>
  <w:style w:type="character" w:styleId="25">
    <w:name w:val="Hyperlink"/>
    <w:unhideWhenUsed/>
    <w:qFormat/>
    <w:uiPriority w:val="99"/>
    <w:rPr>
      <w:color w:val="0000FF"/>
      <w:u w:val="single"/>
    </w:rPr>
  </w:style>
  <w:style w:type="character" w:customStyle="1" w:styleId="26">
    <w:name w:val="标题 1 Char"/>
    <w:basedOn w:val="22"/>
    <w:link w:val="2"/>
    <w:qFormat/>
    <w:uiPriority w:val="0"/>
    <w:rPr>
      <w:rFonts w:ascii="宋体" w:hAnsi="宋体" w:eastAsia="仿宋" w:cs="Times New Roman"/>
      <w:b/>
      <w:snapToGrid w:val="0"/>
      <w:color w:val="000000"/>
      <w:kern w:val="44"/>
      <w:sz w:val="32"/>
      <w:szCs w:val="20"/>
    </w:rPr>
  </w:style>
  <w:style w:type="character" w:customStyle="1" w:styleId="27">
    <w:name w:val="标题 2 Char"/>
    <w:link w:val="3"/>
    <w:qFormat/>
    <w:locked/>
    <w:uiPriority w:val="99"/>
    <w:rPr>
      <w:rFonts w:ascii="Cambria" w:hAnsi="Cambria"/>
      <w:b/>
      <w:bCs/>
      <w:kern w:val="0"/>
      <w:sz w:val="32"/>
      <w:szCs w:val="32"/>
    </w:rPr>
  </w:style>
  <w:style w:type="character" w:customStyle="1" w:styleId="28">
    <w:name w:val="标题 3 Char"/>
    <w:basedOn w:val="22"/>
    <w:link w:val="4"/>
    <w:qFormat/>
    <w:uiPriority w:val="9"/>
    <w:rPr>
      <w:rFonts w:ascii="仿宋" w:hAnsi="仿宋" w:eastAsia="华文中宋" w:cs="Times New Roman"/>
      <w:b/>
      <w:sz w:val="24"/>
      <w:szCs w:val="20"/>
      <w:u w:val="single"/>
    </w:rPr>
  </w:style>
  <w:style w:type="character" w:customStyle="1" w:styleId="29">
    <w:name w:val="标题 2 字符1"/>
    <w:link w:val="3"/>
    <w:qFormat/>
    <w:uiPriority w:val="0"/>
    <w:rPr>
      <w:rFonts w:ascii="Arial" w:hAnsi="Arial" w:eastAsia="华文中宋" w:cs="Arial"/>
      <w:b/>
      <w:snapToGrid w:val="0"/>
      <w:color w:val="000000"/>
      <w:kern w:val="0"/>
      <w:sz w:val="30"/>
      <w:szCs w:val="20"/>
    </w:rPr>
  </w:style>
  <w:style w:type="paragraph" w:customStyle="1" w:styleId="30">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null3"/>
    <w:qFormat/>
    <w:uiPriority w:val="0"/>
    <w:rPr>
      <w:rFonts w:hint="eastAsia" w:ascii="Calibri" w:hAnsi="Calibri" w:eastAsia="宋体" w:cs="Times New Roman"/>
      <w:lang w:val="en-US" w:eastAsia="zh-CN" w:bidi="ar-SA"/>
    </w:rPr>
  </w:style>
  <w:style w:type="paragraph" w:customStyle="1" w:styleId="32">
    <w:name w:val="样式1"/>
    <w:basedOn w:val="1"/>
    <w:qFormat/>
    <w:uiPriority w:val="0"/>
    <w:pPr>
      <w:jc w:val="center"/>
    </w:pPr>
    <w:rPr>
      <w:rFonts w:eastAsia="方正大标宋简体"/>
      <w:sz w:val="52"/>
    </w:rPr>
  </w:style>
  <w:style w:type="paragraph" w:customStyle="1" w:styleId="33">
    <w:name w:val="Normal Indent1"/>
    <w:qFormat/>
    <w:uiPriority w:val="0"/>
    <w:pPr>
      <w:spacing w:afterLines="50" w:line="360" w:lineRule="auto"/>
      <w:ind w:firstLine="420" w:firstLineChars="200"/>
    </w:pPr>
    <w:rPr>
      <w:rFonts w:ascii="Times New Roman" w:hAnsi="Times New Roman" w:eastAsia="宋体" w:cs="Times New Roman"/>
      <w:lang w:val="en-US" w:eastAsia="zh-CN" w:bidi="ar-SA"/>
    </w:rPr>
  </w:style>
  <w:style w:type="paragraph" w:customStyle="1" w:styleId="34">
    <w:name w:val="列出段落3"/>
    <w:basedOn w:val="1"/>
    <w:unhideWhenUsed/>
    <w:qFormat/>
    <w:uiPriority w:val="99"/>
    <w:pPr>
      <w:ind w:firstLine="420" w:firstLineChars="200"/>
    </w:pPr>
  </w:style>
  <w:style w:type="table" w:customStyle="1" w:styleId="3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81</Pages>
  <Words>1630</Words>
  <Characters>1837</Characters>
  <Lines>47</Lines>
  <Paragraphs>91</Paragraphs>
  <TotalTime>0</TotalTime>
  <ScaleCrop>false</ScaleCrop>
  <LinksUpToDate>false</LinksUpToDate>
  <CharactersWithSpaces>1889</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2024-04-16T01:16:00Z</dcterms:created>
  <dc:creator>中采招标</dc:creator>
  <cp:lastModifiedBy>刘咏芳</cp:lastModifiedBy>
  <cp:lastPrinted>2025-08-08T01:42:00Z</cp:lastPrinted>
  <dcterms:modified xsi:type="dcterms:W3CDTF">2025-11-03T01:28:27Z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ICV">
    <vt:lpwstr>DD0B8F03EF4C4FB68D5F05456BAE9B45_13</vt:lpwstr>
  </property>
  <property fmtid="{D5CDD505-2E9C-101B-9397-08002B2CF9AE}" pid="4" name="KSOTemplateDocerSaveRecord">
    <vt:lpwstr>eyJoZGlkIjoiMjgzZjFjOTI3YjE3MmFmNmI4ZTViNWRjZTRlNTRmMWUiLCJ1c2VySWQiOiI0Mzg5NTk5OTIifQ==</vt:lpwstr>
  </property>
</Properties>
</file>