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cs="宋体"/>
          <w:b/>
          <w:sz w:val="32"/>
          <w:szCs w:val="32"/>
          <w:highlight w:val="none"/>
        </w:rPr>
      </w:pPr>
    </w:p>
    <w:p>
      <w:pPr>
        <w:pStyle w:val="11"/>
        <w:rPr>
          <w:rFonts w:cs="宋体"/>
          <w:b/>
          <w:sz w:val="32"/>
          <w:szCs w:val="32"/>
          <w:highlight w:val="none"/>
        </w:rPr>
      </w:pPr>
    </w:p>
    <w:p>
      <w:pPr>
        <w:rPr>
          <w:rFonts w:cs="宋体"/>
          <w:highlight w:val="none"/>
        </w:rPr>
      </w:pPr>
    </w:p>
    <w:p>
      <w:pPr>
        <w:topLinePunct/>
        <w:autoSpaceDE w:val="0"/>
        <w:autoSpaceDN w:val="0"/>
        <w:jc w:val="center"/>
        <w:rPr>
          <w:rFonts w:cs="宋体"/>
          <w:b/>
          <w:sz w:val="84"/>
          <w:szCs w:val="84"/>
          <w:highlight w:val="none"/>
        </w:rPr>
      </w:pPr>
      <w:r>
        <w:rPr>
          <w:rFonts w:hint="eastAsia" w:cs="宋体"/>
          <w:b/>
          <w:sz w:val="84"/>
          <w:szCs w:val="84"/>
          <w:highlight w:val="none"/>
        </w:rPr>
        <w:t>招标文件</w:t>
      </w:r>
    </w:p>
    <w:p>
      <w:pPr>
        <w:rPr>
          <w:highlight w:val="none"/>
        </w:rPr>
      </w:pPr>
    </w:p>
    <w:p>
      <w:pPr>
        <w:topLinePunct/>
        <w:autoSpaceDE w:val="0"/>
        <w:autoSpaceDN w:val="0"/>
        <w:spacing w:line="60" w:lineRule="exact"/>
        <w:jc w:val="center"/>
        <w:rPr>
          <w:rFonts w:cs="宋体"/>
          <w:bCs/>
          <w:sz w:val="32"/>
          <w:szCs w:val="32"/>
          <w:highlight w:val="none"/>
        </w:rPr>
      </w:pPr>
    </w:p>
    <w:p>
      <w:pPr>
        <w:topLinePunct/>
        <w:autoSpaceDE w:val="0"/>
        <w:autoSpaceDN w:val="0"/>
        <w:snapToGrid w:val="0"/>
        <w:jc w:val="center"/>
        <w:rPr>
          <w:rFonts w:cs="宋体"/>
          <w:bCs/>
          <w:sz w:val="32"/>
          <w:szCs w:val="32"/>
          <w:highlight w:val="none"/>
        </w:rPr>
      </w:pPr>
      <w:r>
        <w:rPr>
          <w:rFonts w:hint="eastAsia" w:cs="宋体"/>
          <w:bCs/>
          <w:sz w:val="32"/>
          <w:szCs w:val="32"/>
          <w:highlight w:val="none"/>
        </w:rPr>
        <w:t>（商务部分）</w:t>
      </w:r>
    </w:p>
    <w:p>
      <w:pPr>
        <w:topLinePunct/>
        <w:autoSpaceDE w:val="0"/>
        <w:autoSpaceDN w:val="0"/>
        <w:snapToGrid w:val="0"/>
        <w:rPr>
          <w:rFonts w:cs="宋体"/>
          <w:bCs/>
          <w:sz w:val="32"/>
          <w:szCs w:val="32"/>
          <w:highlight w:val="none"/>
        </w:rPr>
      </w:pPr>
    </w:p>
    <w:p>
      <w:pPr>
        <w:jc w:val="center"/>
        <w:rPr>
          <w:rFonts w:cs="宋体"/>
          <w:highlight w:val="none"/>
        </w:rPr>
      </w:pP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项目名称：国家税务总局十堰市税务局2025年度食堂餐饮服务项目</w:t>
      </w: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项目编号：HB2025-DLGK-C0080-B00</w:t>
      </w:r>
    </w:p>
    <w:p>
      <w:pPr>
        <w:pStyle w:val="13"/>
        <w:snapToGrid w:val="0"/>
        <w:spacing w:line="480" w:lineRule="auto"/>
        <w:ind w:left="2760" w:leftChars="400" w:right="-1061" w:rightChars="-442" w:hanging="1800" w:hangingChars="643"/>
        <w:rPr>
          <w:rFonts w:hAnsi="宋体" w:cs="宋体"/>
          <w:sz w:val="28"/>
          <w:szCs w:val="28"/>
          <w:highlight w:val="none"/>
        </w:rPr>
      </w:pPr>
      <w:bookmarkStart w:id="0" w:name="_Toc13952"/>
      <w:r>
        <w:rPr>
          <w:rFonts w:hint="eastAsia" w:hAnsi="宋体" w:cs="宋体"/>
          <w:sz w:val="28"/>
          <w:szCs w:val="28"/>
          <w:highlight w:val="none"/>
        </w:rPr>
        <w:t>采购人：</w:t>
      </w:r>
      <w:bookmarkEnd w:id="0"/>
      <w:r>
        <w:rPr>
          <w:rFonts w:hint="eastAsia" w:hAnsi="宋体" w:cs="宋体"/>
          <w:sz w:val="28"/>
          <w:szCs w:val="28"/>
          <w:highlight w:val="none"/>
        </w:rPr>
        <w:t>国家税务总局十堰市税务局</w:t>
      </w: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采购代理机构：湖北普华工程咨询有限公司</w:t>
      </w:r>
    </w:p>
    <w:p>
      <w:pPr>
        <w:pStyle w:val="13"/>
        <w:ind w:left="2823" w:leftChars="600" w:right="-1061" w:rightChars="-442" w:hanging="1383" w:hangingChars="494"/>
        <w:rPr>
          <w:rFonts w:hAnsi="宋体" w:cs="宋体"/>
          <w:sz w:val="28"/>
          <w:szCs w:val="28"/>
          <w:highlight w:val="none"/>
        </w:rPr>
      </w:pPr>
    </w:p>
    <w:p>
      <w:pPr>
        <w:pStyle w:val="13"/>
        <w:ind w:left="2823" w:leftChars="600" w:right="-1061" w:rightChars="-442" w:hanging="1383" w:hangingChars="494"/>
        <w:rPr>
          <w:rFonts w:hAnsi="宋体" w:cs="宋体"/>
          <w:sz w:val="28"/>
          <w:szCs w:val="28"/>
          <w:highlight w:val="none"/>
        </w:rPr>
      </w:pPr>
    </w:p>
    <w:p>
      <w:pPr>
        <w:pStyle w:val="13"/>
        <w:ind w:left="2823" w:leftChars="600" w:right="-1061" w:rightChars="-442" w:hanging="1383" w:hangingChars="494"/>
        <w:rPr>
          <w:rFonts w:hAnsi="宋体" w:cs="宋体"/>
          <w:sz w:val="28"/>
          <w:szCs w:val="28"/>
          <w:highlight w:val="none"/>
        </w:rPr>
      </w:pPr>
    </w:p>
    <w:p>
      <w:pPr>
        <w:topLinePunct/>
        <w:autoSpaceDE w:val="0"/>
        <w:autoSpaceDN w:val="0"/>
        <w:spacing w:line="460" w:lineRule="exact"/>
        <w:rPr>
          <w:rFonts w:cs="宋体"/>
          <w:highlight w:val="none"/>
        </w:rPr>
      </w:pPr>
    </w:p>
    <w:p>
      <w:pPr>
        <w:topLinePunct/>
        <w:autoSpaceDE w:val="0"/>
        <w:autoSpaceDN w:val="0"/>
        <w:spacing w:line="460" w:lineRule="exact"/>
        <w:jc w:val="center"/>
        <w:rPr>
          <w:rFonts w:cs="宋体"/>
          <w:highlight w:val="none"/>
        </w:rPr>
      </w:pPr>
      <w:r>
        <w:rPr>
          <w:rFonts w:hint="eastAsia" w:cs="宋体"/>
          <w:sz w:val="28"/>
          <w:szCs w:val="28"/>
          <w:highlight w:val="none"/>
        </w:rPr>
        <w:t>国家税务总局十堰市税务局</w:t>
      </w:r>
    </w:p>
    <w:p>
      <w:pPr>
        <w:topLinePunct/>
        <w:autoSpaceDE w:val="0"/>
        <w:autoSpaceDN w:val="0"/>
        <w:spacing w:line="160" w:lineRule="exact"/>
        <w:jc w:val="center"/>
        <w:rPr>
          <w:rFonts w:cs="宋体"/>
          <w:highlight w:val="none"/>
        </w:rPr>
      </w:pPr>
    </w:p>
    <w:p>
      <w:pPr>
        <w:topLinePunct/>
        <w:autoSpaceDE w:val="0"/>
        <w:autoSpaceDN w:val="0"/>
        <w:spacing w:line="460" w:lineRule="exact"/>
        <w:jc w:val="center"/>
        <w:rPr>
          <w:rFonts w:cs="宋体"/>
          <w:highlight w:val="none"/>
        </w:rPr>
      </w:pPr>
      <w:r>
        <w:rPr>
          <w:rFonts w:hint="eastAsia" w:cs="宋体"/>
          <w:sz w:val="28"/>
          <w:szCs w:val="28"/>
          <w:highlight w:val="none"/>
        </w:rPr>
        <w:t>2025年7月</w:t>
      </w:r>
    </w:p>
    <w:p>
      <w:pPr>
        <w:rPr>
          <w:rFonts w:cs="宋体"/>
          <w:sz w:val="32"/>
          <w:szCs w:val="32"/>
          <w:highlight w:val="none"/>
        </w:rPr>
      </w:pPr>
    </w:p>
    <w:p>
      <w:pPr>
        <w:rPr>
          <w:rFonts w:cs="宋体"/>
          <w:sz w:val="32"/>
          <w:szCs w:val="32"/>
          <w:highlight w:val="none"/>
        </w:rPr>
        <w:sectPr>
          <w:footerReference r:id="rId3" w:type="default"/>
          <w:pgSz w:w="11906" w:h="16838"/>
          <w:pgMar w:top="1440" w:right="1752" w:bottom="1440" w:left="1752" w:header="851" w:footer="992" w:gutter="0"/>
          <w:cols w:space="720" w:num="1"/>
          <w:docGrid w:type="lines" w:linePitch="312" w:charSpace="0"/>
        </w:sectPr>
      </w:pPr>
    </w:p>
    <w:p>
      <w:pPr>
        <w:snapToGrid w:val="0"/>
        <w:spacing w:line="480" w:lineRule="auto"/>
        <w:jc w:val="center"/>
        <w:rPr>
          <w:rFonts w:cs="宋体"/>
          <w:b/>
          <w:bCs/>
          <w:sz w:val="32"/>
          <w:szCs w:val="32"/>
          <w:highlight w:val="none"/>
        </w:rPr>
      </w:pPr>
      <w:r>
        <w:rPr>
          <w:rFonts w:hint="eastAsia" w:cs="宋体"/>
          <w:b/>
          <w:bCs/>
          <w:sz w:val="32"/>
          <w:szCs w:val="32"/>
          <w:highlight w:val="none"/>
        </w:rPr>
        <w:t>商务部分</w:t>
      </w:r>
      <w:r>
        <w:rPr>
          <w:rFonts w:hint="eastAsia" w:cs="宋体"/>
          <w:b/>
          <w:bCs/>
          <w:sz w:val="32"/>
          <w:szCs w:val="32"/>
          <w:highlight w:val="none"/>
          <w:lang w:val="zh-CN"/>
        </w:rPr>
        <w:t>目录</w:t>
      </w:r>
    </w:p>
    <w:p>
      <w:pPr>
        <w:pStyle w:val="16"/>
        <w:tabs>
          <w:tab w:val="right" w:leader="dot" w:pos="8402"/>
        </w:tabs>
        <w:snapToGrid w:val="0"/>
        <w:spacing w:line="480" w:lineRule="auto"/>
        <w:rPr>
          <w:highlight w:val="none"/>
        </w:rPr>
      </w:pPr>
      <w:r>
        <w:rPr>
          <w:rFonts w:hint="eastAsia" w:cs="宋体"/>
          <w:highlight w:val="none"/>
        </w:rPr>
        <w:fldChar w:fldCharType="begin"/>
      </w:r>
      <w:r>
        <w:rPr>
          <w:rFonts w:hint="eastAsia" w:cs="宋体"/>
          <w:highlight w:val="none"/>
        </w:rPr>
        <w:instrText xml:space="preserve"> TOC \o "1-3" \h \z \u </w:instrText>
      </w:r>
      <w:r>
        <w:rPr>
          <w:rFonts w:hint="eastAsia" w:cs="宋体"/>
          <w:highlight w:val="none"/>
        </w:rPr>
        <w:fldChar w:fldCharType="separate"/>
      </w:r>
      <w:r>
        <w:rPr>
          <w:highlight w:val="none"/>
        </w:rPr>
        <w:fldChar w:fldCharType="begin"/>
      </w:r>
      <w:r>
        <w:rPr>
          <w:highlight w:val="none"/>
        </w:rPr>
        <w:instrText xml:space="preserve"> HYPERLINK \l "_Toc2791" </w:instrText>
      </w:r>
      <w:r>
        <w:rPr>
          <w:highlight w:val="none"/>
        </w:rPr>
        <w:fldChar w:fldCharType="separate"/>
      </w:r>
      <w:r>
        <w:rPr>
          <w:rFonts w:hint="eastAsia" w:cs="宋体"/>
          <w:highlight w:val="none"/>
        </w:rPr>
        <w:t>第一部分 商务部分</w:t>
      </w:r>
      <w:r>
        <w:rPr>
          <w:highlight w:val="none"/>
        </w:rPr>
        <w:tab/>
      </w:r>
      <w:r>
        <w:rPr>
          <w:highlight w:val="none"/>
        </w:rPr>
        <w:fldChar w:fldCharType="begin"/>
      </w:r>
      <w:r>
        <w:rPr>
          <w:highlight w:val="none"/>
        </w:rPr>
        <w:instrText xml:space="preserve"> PAGEREF _Toc2791 \h </w:instrText>
      </w:r>
      <w:r>
        <w:rPr>
          <w:highlight w:val="none"/>
        </w:rPr>
        <w:fldChar w:fldCharType="separate"/>
      </w:r>
      <w:r>
        <w:rPr>
          <w:highlight w:val="none"/>
        </w:rPr>
        <w:t>1</w:t>
      </w:r>
      <w:r>
        <w:rPr>
          <w:highlight w:val="none"/>
        </w:rPr>
        <w:fldChar w:fldCharType="end"/>
      </w:r>
      <w:r>
        <w:rPr>
          <w:highlight w:val="none"/>
        </w:rPr>
        <w:fldChar w:fldCharType="end"/>
      </w:r>
    </w:p>
    <w:p>
      <w:pPr>
        <w:pStyle w:val="17"/>
        <w:tabs>
          <w:tab w:val="right" w:leader="dot" w:pos="8402"/>
        </w:tabs>
        <w:snapToGrid w:val="0"/>
        <w:spacing w:line="480" w:lineRule="auto"/>
        <w:ind w:left="480"/>
        <w:rPr>
          <w:highlight w:val="none"/>
        </w:rPr>
      </w:pPr>
      <w:r>
        <w:rPr>
          <w:highlight w:val="none"/>
        </w:rPr>
        <w:fldChar w:fldCharType="begin"/>
      </w:r>
      <w:r>
        <w:rPr>
          <w:highlight w:val="none"/>
        </w:rPr>
        <w:instrText xml:space="preserve"> HYPERLINK \l "_Toc12049" </w:instrText>
      </w:r>
      <w:r>
        <w:rPr>
          <w:highlight w:val="none"/>
        </w:rPr>
        <w:fldChar w:fldCharType="separate"/>
      </w:r>
      <w:r>
        <w:rPr>
          <w:rFonts w:hint="eastAsia" w:cs="宋体"/>
          <w:bCs/>
          <w:highlight w:val="none"/>
        </w:rPr>
        <w:t>第一章投标邀请</w:t>
      </w:r>
      <w:r>
        <w:rPr>
          <w:highlight w:val="none"/>
        </w:rPr>
        <w:tab/>
      </w:r>
      <w:r>
        <w:rPr>
          <w:highlight w:val="none"/>
        </w:rPr>
        <w:fldChar w:fldCharType="begin"/>
      </w:r>
      <w:r>
        <w:rPr>
          <w:highlight w:val="none"/>
        </w:rPr>
        <w:instrText xml:space="preserve"> PAGEREF _Toc12049 \h </w:instrText>
      </w:r>
      <w:r>
        <w:rPr>
          <w:highlight w:val="none"/>
        </w:rPr>
        <w:fldChar w:fldCharType="separate"/>
      </w:r>
      <w:r>
        <w:rPr>
          <w:highlight w:val="none"/>
        </w:rPr>
        <w:t>1</w:t>
      </w:r>
      <w:r>
        <w:rPr>
          <w:highlight w:val="none"/>
        </w:rPr>
        <w:fldChar w:fldCharType="end"/>
      </w:r>
      <w:r>
        <w:rPr>
          <w:highlight w:val="none"/>
        </w:rPr>
        <w:fldChar w:fldCharType="end"/>
      </w:r>
    </w:p>
    <w:p>
      <w:pPr>
        <w:pStyle w:val="17"/>
        <w:tabs>
          <w:tab w:val="right" w:leader="dot" w:pos="8402"/>
        </w:tabs>
        <w:snapToGrid w:val="0"/>
        <w:spacing w:line="480" w:lineRule="auto"/>
        <w:ind w:left="480"/>
        <w:rPr>
          <w:highlight w:val="none"/>
        </w:rPr>
      </w:pPr>
      <w:r>
        <w:rPr>
          <w:highlight w:val="none"/>
        </w:rPr>
        <w:fldChar w:fldCharType="begin"/>
      </w:r>
      <w:r>
        <w:rPr>
          <w:highlight w:val="none"/>
        </w:rPr>
        <w:instrText xml:space="preserve"> HYPERLINK \l "_Toc191" </w:instrText>
      </w:r>
      <w:r>
        <w:rPr>
          <w:highlight w:val="none"/>
        </w:rPr>
        <w:fldChar w:fldCharType="separate"/>
      </w:r>
      <w:r>
        <w:rPr>
          <w:rFonts w:hint="eastAsia" w:cs="宋体"/>
          <w:bCs/>
          <w:highlight w:val="none"/>
        </w:rPr>
        <w:t>第二章投标人须知</w:t>
      </w:r>
      <w:r>
        <w:rPr>
          <w:highlight w:val="none"/>
        </w:rPr>
        <w:tab/>
      </w:r>
      <w:r>
        <w:rPr>
          <w:highlight w:val="none"/>
        </w:rPr>
        <w:fldChar w:fldCharType="begin"/>
      </w:r>
      <w:r>
        <w:rPr>
          <w:highlight w:val="none"/>
        </w:rPr>
        <w:instrText xml:space="preserve"> PAGEREF _Toc191 \h </w:instrText>
      </w:r>
      <w:r>
        <w:rPr>
          <w:highlight w:val="none"/>
        </w:rPr>
        <w:fldChar w:fldCharType="separate"/>
      </w:r>
      <w:r>
        <w:rPr>
          <w:highlight w:val="none"/>
        </w:rPr>
        <w:t>4</w:t>
      </w:r>
      <w:r>
        <w:rPr>
          <w:highlight w:val="none"/>
        </w:rPr>
        <w:fldChar w:fldCharType="end"/>
      </w:r>
      <w:r>
        <w:rPr>
          <w:highlight w:val="none"/>
        </w:rPr>
        <w:fldChar w:fldCharType="end"/>
      </w:r>
    </w:p>
    <w:p>
      <w:pPr>
        <w:pStyle w:val="17"/>
        <w:tabs>
          <w:tab w:val="right" w:leader="dot" w:pos="8402"/>
        </w:tabs>
        <w:snapToGrid w:val="0"/>
        <w:spacing w:line="480" w:lineRule="auto"/>
        <w:ind w:left="480"/>
        <w:rPr>
          <w:highlight w:val="none"/>
        </w:rPr>
      </w:pPr>
      <w:r>
        <w:rPr>
          <w:highlight w:val="none"/>
        </w:rPr>
        <w:fldChar w:fldCharType="begin"/>
      </w:r>
      <w:r>
        <w:rPr>
          <w:highlight w:val="none"/>
        </w:rPr>
        <w:instrText xml:space="preserve"> HYPERLINK \l "_Toc16998" </w:instrText>
      </w:r>
      <w:r>
        <w:rPr>
          <w:highlight w:val="none"/>
        </w:rPr>
        <w:fldChar w:fldCharType="separate"/>
      </w:r>
      <w:r>
        <w:rPr>
          <w:rFonts w:hint="eastAsia" w:cs="宋体"/>
          <w:bCs/>
          <w:highlight w:val="none"/>
        </w:rPr>
        <w:t>第三章评标方法及标准</w:t>
      </w:r>
      <w:r>
        <w:rPr>
          <w:highlight w:val="none"/>
        </w:rPr>
        <w:tab/>
      </w:r>
      <w:r>
        <w:rPr>
          <w:highlight w:val="none"/>
        </w:rPr>
        <w:fldChar w:fldCharType="begin"/>
      </w:r>
      <w:r>
        <w:rPr>
          <w:highlight w:val="none"/>
        </w:rPr>
        <w:instrText xml:space="preserve"> PAGEREF _Toc16998 \h </w:instrText>
      </w:r>
      <w:r>
        <w:rPr>
          <w:highlight w:val="none"/>
        </w:rPr>
        <w:fldChar w:fldCharType="separate"/>
      </w:r>
      <w:r>
        <w:rPr>
          <w:highlight w:val="none"/>
        </w:rPr>
        <w:t>14</w:t>
      </w:r>
      <w:r>
        <w:rPr>
          <w:highlight w:val="none"/>
        </w:rPr>
        <w:fldChar w:fldCharType="end"/>
      </w:r>
      <w:r>
        <w:rPr>
          <w:highlight w:val="none"/>
        </w:rPr>
        <w:fldChar w:fldCharType="end"/>
      </w:r>
    </w:p>
    <w:p>
      <w:pPr>
        <w:pStyle w:val="17"/>
        <w:tabs>
          <w:tab w:val="right" w:leader="dot" w:pos="8402"/>
        </w:tabs>
        <w:snapToGrid w:val="0"/>
        <w:spacing w:line="480" w:lineRule="auto"/>
        <w:ind w:left="480"/>
        <w:rPr>
          <w:highlight w:val="none"/>
        </w:rPr>
      </w:pPr>
      <w:r>
        <w:rPr>
          <w:highlight w:val="none"/>
        </w:rPr>
        <w:fldChar w:fldCharType="begin"/>
      </w:r>
      <w:r>
        <w:rPr>
          <w:highlight w:val="none"/>
        </w:rPr>
        <w:instrText xml:space="preserve"> HYPERLINK \l "_Toc17872" </w:instrText>
      </w:r>
      <w:r>
        <w:rPr>
          <w:highlight w:val="none"/>
        </w:rPr>
        <w:fldChar w:fldCharType="separate"/>
      </w:r>
      <w:r>
        <w:rPr>
          <w:rFonts w:hint="eastAsia" w:cs="宋体"/>
          <w:bCs/>
          <w:highlight w:val="none"/>
        </w:rPr>
        <w:t>第四章政府采购合同文本</w:t>
      </w:r>
      <w:r>
        <w:rPr>
          <w:highlight w:val="none"/>
        </w:rPr>
        <w:tab/>
      </w:r>
      <w:r>
        <w:rPr>
          <w:highlight w:val="none"/>
        </w:rPr>
        <w:fldChar w:fldCharType="begin"/>
      </w:r>
      <w:r>
        <w:rPr>
          <w:highlight w:val="none"/>
        </w:rPr>
        <w:instrText xml:space="preserve"> PAGEREF _Toc17872 \h </w:instrText>
      </w:r>
      <w:r>
        <w:rPr>
          <w:highlight w:val="none"/>
        </w:rPr>
        <w:fldChar w:fldCharType="separate"/>
      </w:r>
      <w:r>
        <w:rPr>
          <w:highlight w:val="none"/>
        </w:rPr>
        <w:t>38</w:t>
      </w:r>
      <w:r>
        <w:rPr>
          <w:highlight w:val="none"/>
        </w:rPr>
        <w:fldChar w:fldCharType="end"/>
      </w:r>
      <w:r>
        <w:rPr>
          <w:highlight w:val="none"/>
        </w:rPr>
        <w:fldChar w:fldCharType="end"/>
      </w:r>
    </w:p>
    <w:p>
      <w:pPr>
        <w:pStyle w:val="12"/>
        <w:tabs>
          <w:tab w:val="right" w:leader="dot" w:pos="8402"/>
        </w:tabs>
        <w:snapToGrid w:val="0"/>
        <w:spacing w:line="480" w:lineRule="auto"/>
        <w:ind w:left="960"/>
        <w:rPr>
          <w:highlight w:val="none"/>
        </w:rPr>
      </w:pPr>
      <w:r>
        <w:rPr>
          <w:highlight w:val="none"/>
        </w:rPr>
        <w:fldChar w:fldCharType="begin"/>
      </w:r>
      <w:r>
        <w:rPr>
          <w:highlight w:val="none"/>
        </w:rPr>
        <w:instrText xml:space="preserve"> HYPERLINK \l "_Toc23844" </w:instrText>
      </w:r>
      <w:r>
        <w:rPr>
          <w:highlight w:val="none"/>
        </w:rPr>
        <w:fldChar w:fldCharType="separate"/>
      </w:r>
      <w:r>
        <w:rPr>
          <w:rFonts w:hint="eastAsia" w:cs="宋体"/>
          <w:szCs w:val="21"/>
          <w:highlight w:val="none"/>
        </w:rPr>
        <w:t>合同条款前附表</w:t>
      </w:r>
      <w:r>
        <w:rPr>
          <w:highlight w:val="none"/>
        </w:rPr>
        <w:tab/>
      </w:r>
      <w:r>
        <w:rPr>
          <w:highlight w:val="none"/>
        </w:rPr>
        <w:fldChar w:fldCharType="begin"/>
      </w:r>
      <w:r>
        <w:rPr>
          <w:highlight w:val="none"/>
        </w:rPr>
        <w:instrText xml:space="preserve"> PAGEREF _Toc23844 \h </w:instrText>
      </w:r>
      <w:r>
        <w:rPr>
          <w:highlight w:val="none"/>
        </w:rPr>
        <w:fldChar w:fldCharType="separate"/>
      </w:r>
      <w:r>
        <w:rPr>
          <w:highlight w:val="none"/>
        </w:rPr>
        <w:t>39</w:t>
      </w:r>
      <w:r>
        <w:rPr>
          <w:highlight w:val="none"/>
        </w:rPr>
        <w:fldChar w:fldCharType="end"/>
      </w:r>
      <w:r>
        <w:rPr>
          <w:highlight w:val="none"/>
        </w:rPr>
        <w:fldChar w:fldCharType="end"/>
      </w:r>
    </w:p>
    <w:p>
      <w:pPr>
        <w:pStyle w:val="17"/>
        <w:tabs>
          <w:tab w:val="right" w:leader="dot" w:pos="8402"/>
        </w:tabs>
        <w:snapToGrid w:val="0"/>
        <w:spacing w:line="480" w:lineRule="auto"/>
        <w:ind w:left="480"/>
        <w:rPr>
          <w:highlight w:val="none"/>
        </w:rPr>
      </w:pPr>
      <w:r>
        <w:rPr>
          <w:highlight w:val="none"/>
        </w:rPr>
        <w:fldChar w:fldCharType="begin"/>
      </w:r>
      <w:r>
        <w:rPr>
          <w:highlight w:val="none"/>
        </w:rPr>
        <w:instrText xml:space="preserve"> HYPERLINK \l "_Toc26733" </w:instrText>
      </w:r>
      <w:r>
        <w:rPr>
          <w:highlight w:val="none"/>
        </w:rPr>
        <w:fldChar w:fldCharType="separate"/>
      </w:r>
      <w:r>
        <w:rPr>
          <w:rFonts w:hint="eastAsia" w:cs="宋体"/>
          <w:bCs/>
          <w:highlight w:val="none"/>
        </w:rPr>
        <w:t>第五章投标文件格式</w:t>
      </w:r>
      <w:r>
        <w:rPr>
          <w:highlight w:val="none"/>
        </w:rPr>
        <w:tab/>
      </w:r>
      <w:r>
        <w:rPr>
          <w:highlight w:val="none"/>
        </w:rPr>
        <w:fldChar w:fldCharType="begin"/>
      </w:r>
      <w:r>
        <w:rPr>
          <w:highlight w:val="none"/>
        </w:rPr>
        <w:instrText xml:space="preserve"> PAGEREF _Toc26733 \h </w:instrText>
      </w:r>
      <w:r>
        <w:rPr>
          <w:highlight w:val="none"/>
        </w:rPr>
        <w:fldChar w:fldCharType="separate"/>
      </w:r>
      <w:r>
        <w:rPr>
          <w:highlight w:val="none"/>
        </w:rPr>
        <w:t>47</w:t>
      </w:r>
      <w:r>
        <w:rPr>
          <w:highlight w:val="none"/>
        </w:rPr>
        <w:fldChar w:fldCharType="end"/>
      </w:r>
      <w:r>
        <w:rPr>
          <w:highlight w:val="none"/>
        </w:rPr>
        <w:fldChar w:fldCharType="end"/>
      </w:r>
    </w:p>
    <w:p>
      <w:pPr>
        <w:snapToGrid w:val="0"/>
        <w:spacing w:line="480" w:lineRule="auto"/>
        <w:rPr>
          <w:rFonts w:cs="宋体"/>
          <w:highlight w:val="none"/>
        </w:rPr>
      </w:pPr>
      <w:r>
        <w:rPr>
          <w:rFonts w:hint="eastAsia" w:cs="宋体"/>
          <w:highlight w:val="none"/>
        </w:rPr>
        <w:fldChar w:fldCharType="end"/>
      </w:r>
    </w:p>
    <w:p>
      <w:pPr>
        <w:rPr>
          <w:rFonts w:cs="宋体"/>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cols w:space="720" w:num="1"/>
          <w:titlePg/>
          <w:docGrid w:type="lines" w:linePitch="312" w:charSpace="0"/>
        </w:sectPr>
      </w:pPr>
    </w:p>
    <w:p>
      <w:pPr>
        <w:pStyle w:val="2"/>
        <w:rPr>
          <w:rFonts w:eastAsia="宋体" w:cs="宋体"/>
          <w:highlight w:val="none"/>
        </w:rPr>
      </w:pPr>
      <w:bookmarkStart w:id="1" w:name="_Toc2791"/>
      <w:bookmarkStart w:id="2" w:name="_Toc14260"/>
      <w:bookmarkStart w:id="3" w:name="_Toc8812"/>
      <w:bookmarkStart w:id="4" w:name="_Toc10756"/>
      <w:bookmarkStart w:id="5" w:name="_Toc22577"/>
      <w:bookmarkStart w:id="6" w:name="_Toc12374"/>
      <w:r>
        <w:rPr>
          <w:rFonts w:hint="eastAsia" w:eastAsia="宋体" w:cs="宋体"/>
          <w:highlight w:val="none"/>
        </w:rPr>
        <w:t>第一部分 商务部分</w:t>
      </w:r>
      <w:bookmarkEnd w:id="1"/>
      <w:bookmarkEnd w:id="2"/>
      <w:bookmarkEnd w:id="3"/>
      <w:bookmarkEnd w:id="4"/>
      <w:bookmarkEnd w:id="5"/>
      <w:bookmarkEnd w:id="6"/>
    </w:p>
    <w:p>
      <w:pPr>
        <w:widowControl/>
        <w:spacing w:line="360" w:lineRule="auto"/>
        <w:jc w:val="center"/>
        <w:outlineLvl w:val="1"/>
        <w:rPr>
          <w:rStyle w:val="27"/>
          <w:rFonts w:ascii="宋体" w:hAnsi="宋体" w:cs="宋体"/>
          <w:highlight w:val="none"/>
        </w:rPr>
      </w:pPr>
      <w:bookmarkStart w:id="7" w:name="_Toc28119"/>
      <w:bookmarkStart w:id="8" w:name="_Toc23033"/>
      <w:bookmarkStart w:id="9" w:name="_Toc5805"/>
      <w:bookmarkStart w:id="10" w:name="_Toc12049"/>
      <w:r>
        <w:rPr>
          <w:rFonts w:hint="eastAsia" w:cs="宋体"/>
          <w:bCs/>
          <w:sz w:val="32"/>
          <w:highlight w:val="none"/>
        </w:rPr>
        <w:t>第一章</w:t>
      </w:r>
      <w:r>
        <w:rPr>
          <w:rFonts w:hint="eastAsia" w:cs="宋体"/>
          <w:bCs/>
          <w:sz w:val="32"/>
          <w:highlight w:val="none"/>
          <w:lang w:val="en-US" w:eastAsia="zh-CN"/>
        </w:rPr>
        <w:t xml:space="preserve"> </w:t>
      </w:r>
      <w:r>
        <w:rPr>
          <w:rFonts w:hint="eastAsia" w:cs="宋体"/>
          <w:bCs/>
          <w:sz w:val="32"/>
          <w:highlight w:val="none"/>
        </w:rPr>
        <w:t>投标</w:t>
      </w:r>
      <w:bookmarkEnd w:id="7"/>
      <w:bookmarkEnd w:id="8"/>
      <w:bookmarkEnd w:id="9"/>
      <w:bookmarkEnd w:id="10"/>
      <w:r>
        <w:rPr>
          <w:rFonts w:hint="eastAsia" w:cs="宋体"/>
          <w:bCs/>
          <w:sz w:val="32"/>
          <w:highlight w:val="none"/>
        </w:rPr>
        <w:t>公告</w:t>
      </w:r>
    </w:p>
    <w:tbl>
      <w:tblPr>
        <w:tblStyle w:val="20"/>
        <w:tblpPr w:leftFromText="180" w:rightFromText="180" w:vertAnchor="text" w:horzAnchor="page" w:tblpXSpec="center" w:tblpY="94"/>
        <w:tblOverlap w:val="never"/>
        <w:tblW w:w="502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8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24" w:hRule="atLeast"/>
          <w:jc w:val="center"/>
        </w:trPr>
        <w:tc>
          <w:tcPr>
            <w:tcW w:w="5000" w:type="pc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snapToGrid w:val="0"/>
              <w:spacing w:line="420" w:lineRule="auto"/>
              <w:rPr>
                <w:rFonts w:cs="宋体"/>
                <w:b/>
                <w:bCs/>
                <w:highlight w:val="none"/>
              </w:rPr>
            </w:pPr>
            <w:bookmarkStart w:id="11" w:name="_Toc31722"/>
            <w:bookmarkStart w:id="12" w:name="_Toc7007"/>
            <w:bookmarkStart w:id="13" w:name="_Toc29936"/>
            <w:r>
              <w:rPr>
                <w:rFonts w:hint="eastAsia" w:cs="宋体"/>
                <w:b/>
                <w:bCs/>
                <w:highlight w:val="none"/>
              </w:rPr>
              <w:t>项目概况</w:t>
            </w:r>
          </w:p>
          <w:p>
            <w:pPr>
              <w:snapToGrid w:val="0"/>
              <w:spacing w:line="420" w:lineRule="auto"/>
              <w:ind w:firstLine="480" w:firstLineChars="200"/>
              <w:rPr>
                <w:rFonts w:cs="宋体"/>
                <w:highlight w:val="none"/>
              </w:rPr>
            </w:pPr>
            <w:r>
              <w:rPr>
                <w:rFonts w:hint="eastAsia" w:cs="宋体"/>
                <w:highlight w:val="none"/>
              </w:rPr>
              <w:t>国家税务总局十堰市税务局2025年度食堂餐饮服务项目的潜在供应商应在湖北普华工程咨询有限公司（十堰市茅箭区重庆路99号汉成天地2号写字楼22层）获取招标文件，并于2025年8月11日14点30分（北京时间）前提交投标文件。</w:t>
            </w:r>
          </w:p>
        </w:tc>
      </w:tr>
    </w:tbl>
    <w:p>
      <w:pPr>
        <w:rPr>
          <w:rFonts w:cs="宋体"/>
          <w:highlight w:val="none"/>
        </w:rPr>
      </w:pPr>
      <w:bookmarkStart w:id="14" w:name="_Toc30687"/>
      <w:bookmarkStart w:id="15" w:name="_Toc113982808"/>
      <w:bookmarkStart w:id="16" w:name="_Toc2150"/>
      <w:bookmarkStart w:id="17" w:name="_Toc23457"/>
      <w:bookmarkStart w:id="18" w:name="_Toc29583"/>
    </w:p>
    <w:p>
      <w:pPr>
        <w:snapToGrid w:val="0"/>
        <w:spacing w:line="420" w:lineRule="auto"/>
        <w:rPr>
          <w:rFonts w:cs="宋体"/>
          <w:b/>
          <w:bCs/>
          <w:highlight w:val="none"/>
        </w:rPr>
      </w:pPr>
      <w:r>
        <w:rPr>
          <w:rFonts w:hint="eastAsia" w:cs="宋体"/>
          <w:b/>
          <w:bCs/>
          <w:highlight w:val="none"/>
        </w:rPr>
        <w:t>一、项目基本情况</w:t>
      </w:r>
      <w:bookmarkEnd w:id="14"/>
      <w:bookmarkEnd w:id="15"/>
    </w:p>
    <w:p>
      <w:pPr>
        <w:snapToGrid w:val="0"/>
        <w:spacing w:line="420" w:lineRule="auto"/>
        <w:ind w:firstLine="480" w:firstLineChars="200"/>
        <w:rPr>
          <w:rFonts w:cs="宋体"/>
          <w:highlight w:val="none"/>
        </w:rPr>
      </w:pPr>
      <w:r>
        <w:rPr>
          <w:rFonts w:hint="eastAsia" w:cs="宋体"/>
          <w:highlight w:val="none"/>
        </w:rPr>
        <w:t>1、项目编号：HB2025-DLGK-C0080-B00</w:t>
      </w:r>
    </w:p>
    <w:p>
      <w:pPr>
        <w:snapToGrid w:val="0"/>
        <w:spacing w:line="420" w:lineRule="auto"/>
        <w:ind w:firstLine="480" w:firstLineChars="200"/>
        <w:rPr>
          <w:rFonts w:cs="宋体"/>
          <w:highlight w:val="none"/>
        </w:rPr>
      </w:pPr>
      <w:r>
        <w:rPr>
          <w:rFonts w:hint="eastAsia" w:cs="宋体"/>
          <w:highlight w:val="none"/>
        </w:rPr>
        <w:t>2、项目名称：国家税务总局十堰市税务局2025年度食堂餐饮服务项目</w:t>
      </w:r>
    </w:p>
    <w:p>
      <w:pPr>
        <w:snapToGrid w:val="0"/>
        <w:spacing w:line="420" w:lineRule="auto"/>
        <w:ind w:firstLine="480" w:firstLineChars="200"/>
        <w:rPr>
          <w:rFonts w:cs="宋体"/>
          <w:highlight w:val="none"/>
        </w:rPr>
      </w:pPr>
      <w:r>
        <w:rPr>
          <w:rFonts w:hint="eastAsia" w:cs="宋体"/>
          <w:highlight w:val="none"/>
        </w:rPr>
        <w:t>3、项目内容：国家税务总局十堰市税务局2025年度食堂餐饮服务，具体服务标准与要求详见招标文件“第六章 项目采购需求”。</w:t>
      </w:r>
    </w:p>
    <w:p>
      <w:pPr>
        <w:snapToGrid w:val="0"/>
        <w:spacing w:line="420" w:lineRule="auto"/>
        <w:ind w:firstLine="480" w:firstLineChars="200"/>
        <w:rPr>
          <w:rFonts w:cs="宋体"/>
          <w:highlight w:val="none"/>
        </w:rPr>
      </w:pPr>
      <w:r>
        <w:rPr>
          <w:rFonts w:hint="eastAsia" w:cs="宋体"/>
          <w:highlight w:val="none"/>
        </w:rPr>
        <w:t>4、采购方式：公开招标</w:t>
      </w:r>
    </w:p>
    <w:p>
      <w:pPr>
        <w:snapToGrid w:val="0"/>
        <w:spacing w:line="420" w:lineRule="auto"/>
        <w:ind w:firstLine="480" w:firstLineChars="200"/>
        <w:rPr>
          <w:rFonts w:cs="宋体"/>
          <w:highlight w:val="none"/>
        </w:rPr>
      </w:pPr>
      <w:r>
        <w:rPr>
          <w:rFonts w:hint="eastAsia" w:cs="宋体"/>
          <w:highlight w:val="none"/>
        </w:rPr>
        <w:t>5、采购预算：219万元/年</w:t>
      </w:r>
    </w:p>
    <w:p>
      <w:pPr>
        <w:snapToGrid w:val="0"/>
        <w:spacing w:line="420" w:lineRule="auto"/>
        <w:ind w:firstLine="480" w:firstLineChars="200"/>
        <w:rPr>
          <w:rFonts w:cs="宋体"/>
          <w:highlight w:val="none"/>
        </w:rPr>
      </w:pPr>
      <w:r>
        <w:rPr>
          <w:rFonts w:hint="eastAsia" w:cs="宋体"/>
          <w:highlight w:val="none"/>
        </w:rPr>
        <w:t>6、服务期限：一年</w:t>
      </w:r>
    </w:p>
    <w:p>
      <w:pPr>
        <w:widowControl/>
        <w:snapToGrid w:val="0"/>
        <w:spacing w:line="420" w:lineRule="auto"/>
        <w:ind w:firstLine="480" w:firstLineChars="200"/>
        <w:rPr>
          <w:rFonts w:cs="宋体"/>
          <w:highlight w:val="none"/>
        </w:rPr>
      </w:pPr>
      <w:r>
        <w:rPr>
          <w:rFonts w:hint="eastAsia" w:cs="宋体"/>
          <w:highlight w:val="none"/>
        </w:rPr>
        <w:t>7、服务质量：合格，符合采购人要求。</w:t>
      </w:r>
    </w:p>
    <w:p>
      <w:pPr>
        <w:widowControl/>
        <w:snapToGrid w:val="0"/>
        <w:spacing w:line="420" w:lineRule="auto"/>
        <w:ind w:firstLine="480" w:firstLineChars="200"/>
        <w:rPr>
          <w:rFonts w:cs="宋体"/>
          <w:highlight w:val="none"/>
        </w:rPr>
      </w:pPr>
      <w:r>
        <w:rPr>
          <w:rFonts w:hint="eastAsia" w:cs="宋体"/>
          <w:highlight w:val="none"/>
        </w:rPr>
        <w:t>8、本项目（是/否）接受联合体投标：否</w:t>
      </w:r>
    </w:p>
    <w:p>
      <w:pPr>
        <w:snapToGrid w:val="0"/>
        <w:spacing w:line="420" w:lineRule="auto"/>
        <w:rPr>
          <w:rFonts w:cs="宋体"/>
          <w:b/>
          <w:bCs/>
          <w:highlight w:val="none"/>
        </w:rPr>
      </w:pPr>
      <w:bookmarkStart w:id="19" w:name="_Toc113982809"/>
      <w:bookmarkStart w:id="20" w:name="_Toc22992"/>
      <w:r>
        <w:rPr>
          <w:rFonts w:hint="eastAsia" w:cs="宋体"/>
          <w:b/>
          <w:bCs/>
          <w:highlight w:val="none"/>
        </w:rPr>
        <w:t>二、申请人资格要求</w:t>
      </w:r>
      <w:bookmarkEnd w:id="16"/>
      <w:bookmarkEnd w:id="17"/>
      <w:bookmarkEnd w:id="18"/>
      <w:bookmarkEnd w:id="19"/>
      <w:bookmarkEnd w:id="20"/>
    </w:p>
    <w:p>
      <w:pPr>
        <w:snapToGrid w:val="0"/>
        <w:spacing w:line="420" w:lineRule="auto"/>
        <w:ind w:firstLine="480" w:firstLineChars="200"/>
        <w:rPr>
          <w:rFonts w:cs="宋体"/>
          <w:highlight w:val="none"/>
        </w:rPr>
      </w:pPr>
      <w:r>
        <w:rPr>
          <w:rFonts w:hint="eastAsia" w:cs="宋体"/>
          <w:highlight w:val="none"/>
        </w:rPr>
        <w:t>1、满足《中华人民共和国政府采购法》第二十二条规定，即：</w:t>
      </w:r>
    </w:p>
    <w:p>
      <w:pPr>
        <w:snapToGrid w:val="0"/>
        <w:spacing w:line="420" w:lineRule="auto"/>
        <w:ind w:firstLine="480" w:firstLineChars="200"/>
        <w:rPr>
          <w:rFonts w:cs="宋体"/>
          <w:highlight w:val="none"/>
        </w:rPr>
      </w:pPr>
      <w:r>
        <w:rPr>
          <w:rFonts w:hint="eastAsia" w:cs="宋体"/>
          <w:highlight w:val="none"/>
        </w:rPr>
        <w:t>（1）具有独立承担民事责任的能力；</w:t>
      </w:r>
    </w:p>
    <w:p>
      <w:pPr>
        <w:snapToGrid w:val="0"/>
        <w:spacing w:line="420" w:lineRule="auto"/>
        <w:ind w:firstLine="480" w:firstLineChars="200"/>
        <w:rPr>
          <w:rFonts w:cs="宋体"/>
          <w:highlight w:val="none"/>
        </w:rPr>
      </w:pPr>
      <w:r>
        <w:rPr>
          <w:rFonts w:hint="eastAsia" w:cs="宋体"/>
          <w:highlight w:val="none"/>
        </w:rPr>
        <w:t>（2）具有良好的商业信誉和健全的财务会计制度；</w:t>
      </w:r>
    </w:p>
    <w:p>
      <w:pPr>
        <w:snapToGrid w:val="0"/>
        <w:spacing w:line="420" w:lineRule="auto"/>
        <w:ind w:firstLine="480" w:firstLineChars="200"/>
        <w:rPr>
          <w:rFonts w:cs="宋体"/>
          <w:highlight w:val="none"/>
        </w:rPr>
      </w:pPr>
      <w:r>
        <w:rPr>
          <w:rFonts w:hint="eastAsia" w:cs="宋体"/>
          <w:highlight w:val="none"/>
        </w:rPr>
        <w:t>（3）具有履行合同所必需的设备和专业技术能力；</w:t>
      </w:r>
    </w:p>
    <w:p>
      <w:pPr>
        <w:snapToGrid w:val="0"/>
        <w:spacing w:line="420" w:lineRule="auto"/>
        <w:ind w:firstLine="480" w:firstLineChars="200"/>
        <w:rPr>
          <w:rFonts w:cs="宋体"/>
          <w:highlight w:val="none"/>
        </w:rPr>
      </w:pPr>
      <w:r>
        <w:rPr>
          <w:rFonts w:hint="eastAsia" w:cs="宋体"/>
          <w:highlight w:val="none"/>
        </w:rPr>
        <w:t>（4）有依法缴纳税收和社会保障资金的良好记录；</w:t>
      </w:r>
    </w:p>
    <w:p>
      <w:pPr>
        <w:snapToGrid w:val="0"/>
        <w:spacing w:line="420" w:lineRule="auto"/>
        <w:ind w:firstLine="480" w:firstLineChars="200"/>
        <w:rPr>
          <w:rFonts w:cs="宋体"/>
          <w:highlight w:val="none"/>
        </w:rPr>
      </w:pPr>
      <w:r>
        <w:rPr>
          <w:rFonts w:hint="eastAsia" w:cs="宋体"/>
          <w:highlight w:val="none"/>
        </w:rPr>
        <w:t>（5）参加政府采购活动前三年内，在经营活动中没有重大违法记录；</w:t>
      </w:r>
    </w:p>
    <w:p>
      <w:pPr>
        <w:snapToGrid w:val="0"/>
        <w:spacing w:line="420" w:lineRule="auto"/>
        <w:ind w:firstLine="480" w:firstLineChars="200"/>
        <w:rPr>
          <w:rFonts w:cs="宋体"/>
          <w:highlight w:val="none"/>
        </w:rPr>
      </w:pPr>
      <w:r>
        <w:rPr>
          <w:rFonts w:hint="eastAsia" w:cs="宋体"/>
          <w:highlight w:val="none"/>
        </w:rPr>
        <w:t>（6）法律、行政法规规定的其他条件。</w:t>
      </w:r>
    </w:p>
    <w:p>
      <w:pPr>
        <w:pStyle w:val="14"/>
        <w:spacing w:line="420" w:lineRule="auto"/>
        <w:ind w:firstLine="480" w:firstLineChars="200"/>
        <w:rPr>
          <w:rFonts w:cs="宋体"/>
          <w:sz w:val="24"/>
          <w:highlight w:val="none"/>
        </w:rPr>
      </w:pPr>
      <w:r>
        <w:rPr>
          <w:rFonts w:hint="eastAsia" w:cs="宋体"/>
          <w:sz w:val="24"/>
          <w:highlight w:val="none"/>
        </w:rPr>
        <w:t>2、主体信用记录符合政府采购活动要求：</w:t>
      </w:r>
    </w:p>
    <w:p>
      <w:pPr>
        <w:pStyle w:val="14"/>
        <w:spacing w:line="420" w:lineRule="auto"/>
        <w:ind w:firstLine="480" w:firstLineChars="200"/>
        <w:rPr>
          <w:rFonts w:cs="宋体"/>
          <w:sz w:val="24"/>
          <w:highlight w:val="none"/>
        </w:rPr>
      </w:pPr>
      <w:r>
        <w:rPr>
          <w:rFonts w:hint="eastAsia" w:cs="宋体"/>
          <w:sz w:val="24"/>
          <w:highlight w:val="none"/>
        </w:rPr>
        <w:t>（1）供应商未被“信用中国”网站（www.creditchina.gov.cn）列入失信被执行人、重大税收违法失信主体、严重失信主体（若查询结果存在异议，开标时以现场查询为准）；</w:t>
      </w:r>
    </w:p>
    <w:p>
      <w:pPr>
        <w:pStyle w:val="14"/>
        <w:spacing w:line="420" w:lineRule="auto"/>
        <w:ind w:firstLine="480" w:firstLineChars="200"/>
        <w:rPr>
          <w:rFonts w:cs="宋体"/>
          <w:sz w:val="24"/>
          <w:highlight w:val="none"/>
        </w:rPr>
      </w:pPr>
      <w:r>
        <w:rPr>
          <w:rFonts w:hint="eastAsia" w:cs="宋体"/>
          <w:sz w:val="24"/>
          <w:highlight w:val="none"/>
        </w:rPr>
        <w:t>（2）供应商未被“中国政府采购网”网站（www.ccgp.gov.cn）列入政府采购严重违法失信行为记录名单（若查询结果存在异议，开标时以现场查询为准）。</w:t>
      </w:r>
    </w:p>
    <w:p>
      <w:pPr>
        <w:snapToGrid w:val="0"/>
        <w:spacing w:line="420" w:lineRule="auto"/>
        <w:ind w:firstLine="480" w:firstLineChars="200"/>
        <w:rPr>
          <w:rFonts w:cs="宋体"/>
          <w:highlight w:val="none"/>
        </w:rPr>
      </w:pPr>
      <w:r>
        <w:rPr>
          <w:rFonts w:hint="eastAsia" w:cs="宋体"/>
          <w:highlight w:val="none"/>
        </w:rPr>
        <w:t>3、单位负责人为同一人或者存在直接控股、管理关系的不同供应商，不得参加本项目同一合同项下的政府采购活动。</w:t>
      </w:r>
    </w:p>
    <w:p>
      <w:pPr>
        <w:snapToGrid w:val="0"/>
        <w:spacing w:line="420" w:lineRule="auto"/>
        <w:ind w:firstLine="480" w:firstLineChars="200"/>
        <w:rPr>
          <w:rFonts w:cs="宋体"/>
          <w:highlight w:val="none"/>
        </w:rPr>
      </w:pPr>
      <w:r>
        <w:rPr>
          <w:rFonts w:hint="eastAsia" w:cs="宋体"/>
          <w:highlight w:val="none"/>
        </w:rPr>
        <w:t>4、本项目的特定资格要求：供应商须具备有效的餐饮服务许可证或食品经营许可证。</w:t>
      </w:r>
    </w:p>
    <w:bookmarkEnd w:id="11"/>
    <w:bookmarkEnd w:id="12"/>
    <w:bookmarkEnd w:id="13"/>
    <w:p>
      <w:pPr>
        <w:snapToGrid w:val="0"/>
        <w:spacing w:line="420" w:lineRule="auto"/>
        <w:ind w:firstLine="482" w:firstLineChars="200"/>
        <w:rPr>
          <w:rFonts w:cs="宋体"/>
          <w:highlight w:val="none"/>
        </w:rPr>
      </w:pPr>
      <w:bookmarkStart w:id="21" w:name="_Toc113982810"/>
      <w:bookmarkStart w:id="22" w:name="_Toc24347"/>
      <w:bookmarkStart w:id="23" w:name="_Toc31316"/>
      <w:bookmarkStart w:id="24" w:name="_Toc21820"/>
      <w:r>
        <w:rPr>
          <w:rFonts w:hint="eastAsia" w:cs="宋体"/>
          <w:b/>
          <w:bCs/>
          <w:highlight w:val="none"/>
        </w:rPr>
        <w:t>5、政府采购相关政策执行：</w:t>
      </w:r>
      <w:r>
        <w:rPr>
          <w:rFonts w:hint="eastAsia" w:cs="宋体"/>
          <w:color w:val="0000FF"/>
          <w:highlight w:val="none"/>
        </w:rPr>
        <w:t>本项目为专门面向小微企业采购项目</w:t>
      </w:r>
      <w:r>
        <w:rPr>
          <w:rFonts w:hint="eastAsia" w:cs="宋体"/>
          <w:highlight w:val="none"/>
        </w:rPr>
        <w:t>。落实政府采购强制、优先采购节能产品政策；政府采购优先采购环保产品政策；政府采购促进中小企业发展（监狱企业、残疾人福利性单位视同小微企业）等政策。</w:t>
      </w:r>
    </w:p>
    <w:p>
      <w:pPr>
        <w:snapToGrid w:val="0"/>
        <w:spacing w:line="420" w:lineRule="auto"/>
        <w:rPr>
          <w:rFonts w:cs="宋体"/>
          <w:highlight w:val="none"/>
        </w:rPr>
      </w:pPr>
      <w:r>
        <w:rPr>
          <w:rFonts w:hint="eastAsia" w:cs="宋体"/>
          <w:b/>
          <w:bCs/>
          <w:highlight w:val="none"/>
        </w:rPr>
        <w:t>三、获取招标文件</w:t>
      </w:r>
      <w:bookmarkEnd w:id="21"/>
      <w:bookmarkEnd w:id="22"/>
      <w:bookmarkEnd w:id="23"/>
      <w:bookmarkEnd w:id="24"/>
    </w:p>
    <w:p>
      <w:pPr>
        <w:snapToGrid w:val="0"/>
        <w:spacing w:line="420" w:lineRule="auto"/>
        <w:ind w:firstLine="480" w:firstLineChars="200"/>
        <w:rPr>
          <w:rFonts w:cs="宋体"/>
          <w:highlight w:val="none"/>
        </w:rPr>
      </w:pPr>
      <w:bookmarkStart w:id="25" w:name="_Toc18666"/>
      <w:r>
        <w:rPr>
          <w:rFonts w:hint="eastAsia" w:cs="宋体"/>
          <w:highlight w:val="none"/>
        </w:rPr>
        <w:t>1、时间：2025年7月21日至2025年7月25日，每天上午08:30至12:00，下午14:30至17:30（北京时间，法定节假日除外）。</w:t>
      </w:r>
    </w:p>
    <w:p>
      <w:pPr>
        <w:snapToGrid w:val="0"/>
        <w:spacing w:line="420" w:lineRule="auto"/>
        <w:ind w:firstLine="480" w:firstLineChars="200"/>
        <w:rPr>
          <w:rFonts w:cs="宋体"/>
          <w:highlight w:val="none"/>
        </w:rPr>
      </w:pPr>
      <w:r>
        <w:rPr>
          <w:rFonts w:hint="eastAsia" w:cs="宋体"/>
          <w:highlight w:val="none"/>
        </w:rPr>
        <w:t>2、地点：湖北普华工程咨询有限公司（十堰市茅箭区重庆路99号汉成天地2号写字楼22层）。</w:t>
      </w:r>
    </w:p>
    <w:p>
      <w:pPr>
        <w:snapToGrid w:val="0"/>
        <w:spacing w:line="420" w:lineRule="auto"/>
        <w:ind w:firstLine="480" w:firstLineChars="200"/>
        <w:rPr>
          <w:rFonts w:cs="宋体"/>
          <w:highlight w:val="none"/>
        </w:rPr>
      </w:pPr>
      <w:r>
        <w:rPr>
          <w:rFonts w:hint="eastAsia" w:cs="宋体"/>
          <w:highlight w:val="none"/>
        </w:rPr>
        <w:t>3、方式：</w:t>
      </w:r>
      <w:r>
        <w:rPr>
          <w:rFonts w:hint="eastAsia" w:cs="宋体"/>
          <w:kern w:val="0"/>
          <w:highlight w:val="none"/>
          <w:shd w:val="clear" w:color="auto" w:fill="FFFFFF"/>
        </w:rPr>
        <w:t>现场获取</w:t>
      </w:r>
    </w:p>
    <w:p>
      <w:pPr>
        <w:snapToGrid w:val="0"/>
        <w:spacing w:line="420" w:lineRule="auto"/>
        <w:ind w:firstLine="480" w:firstLineChars="200"/>
        <w:rPr>
          <w:rFonts w:cs="宋体"/>
          <w:highlight w:val="none"/>
        </w:rPr>
      </w:pPr>
      <w:r>
        <w:rPr>
          <w:rFonts w:hint="eastAsia" w:cs="宋体"/>
          <w:kern w:val="0"/>
          <w:highlight w:val="none"/>
          <w:shd w:val="clear" w:color="auto" w:fill="FFFFFF"/>
        </w:rPr>
        <w:t>由法定代表人持本人身份证原件、法人身份证明书和营业执照复印件或委托代理人(须为本单位正式员工)持本人身份证原件、法定代表人授权委托书和营业执照复印件及本公告第二条申请人资格要求的相关材料(加盖本单位公章)一套，在</w:t>
      </w:r>
      <w:r>
        <w:rPr>
          <w:rFonts w:hint="eastAsia" w:cs="宋体"/>
          <w:highlight w:val="none"/>
        </w:rPr>
        <w:t>湖北普华工程咨询有限公司（十堰市茅箭区重庆路99号汉成天地2号写字楼22层）报名。</w:t>
      </w:r>
    </w:p>
    <w:p>
      <w:pPr>
        <w:snapToGrid w:val="0"/>
        <w:spacing w:line="420" w:lineRule="auto"/>
        <w:ind w:firstLine="480" w:firstLineChars="200"/>
        <w:rPr>
          <w:rFonts w:cs="宋体"/>
          <w:highlight w:val="none"/>
        </w:rPr>
      </w:pPr>
      <w:r>
        <w:rPr>
          <w:rFonts w:hint="eastAsia" w:cs="宋体"/>
          <w:highlight w:val="none"/>
        </w:rPr>
        <w:t>4、招标文件获取方式：统一以电子邮件方式向供应商发送。</w:t>
      </w:r>
    </w:p>
    <w:p>
      <w:pPr>
        <w:snapToGrid w:val="0"/>
        <w:spacing w:line="420" w:lineRule="auto"/>
        <w:ind w:firstLine="480" w:firstLineChars="200"/>
        <w:rPr>
          <w:rFonts w:cs="宋体"/>
          <w:highlight w:val="none"/>
        </w:rPr>
      </w:pPr>
      <w:r>
        <w:rPr>
          <w:rFonts w:hint="eastAsia" w:cs="宋体"/>
          <w:highlight w:val="none"/>
        </w:rPr>
        <w:t>5、售价：0元</w:t>
      </w:r>
    </w:p>
    <w:p>
      <w:pPr>
        <w:snapToGrid w:val="0"/>
        <w:spacing w:line="420" w:lineRule="auto"/>
        <w:rPr>
          <w:rFonts w:cs="宋体"/>
          <w:b/>
          <w:bCs/>
          <w:highlight w:val="none"/>
        </w:rPr>
      </w:pPr>
      <w:bookmarkStart w:id="26" w:name="_Toc31728"/>
      <w:bookmarkStart w:id="27" w:name="_Toc113982811"/>
      <w:r>
        <w:rPr>
          <w:rFonts w:hint="eastAsia" w:cs="宋体"/>
          <w:b/>
          <w:bCs/>
          <w:highlight w:val="none"/>
        </w:rPr>
        <w:t>四、提交投标文件截止时间、开标时间和地点</w:t>
      </w:r>
      <w:bookmarkEnd w:id="25"/>
      <w:bookmarkEnd w:id="26"/>
      <w:bookmarkEnd w:id="27"/>
      <w:bookmarkStart w:id="28" w:name="_Toc10153"/>
      <w:bookmarkStart w:id="29" w:name="_Toc24375"/>
      <w:bookmarkStart w:id="30" w:name="_Toc14850"/>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1、开始时间：2025年8月11日14点30分（北京时间）</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2、截止时间：2025年8月11日14点30分（北京时间）</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3、地点：湖北普华工程咨询有限公司开标室（十堰市茅箭区重庆路99号汉成天地2号写字楼22层）。</w:t>
      </w:r>
    </w:p>
    <w:p>
      <w:pPr>
        <w:snapToGrid w:val="0"/>
        <w:spacing w:line="420" w:lineRule="auto"/>
        <w:rPr>
          <w:rFonts w:cs="宋体"/>
          <w:b/>
          <w:bCs/>
          <w:highlight w:val="none"/>
        </w:rPr>
      </w:pPr>
      <w:bookmarkStart w:id="31" w:name="_Toc27410"/>
      <w:bookmarkStart w:id="32" w:name="_Toc113982812"/>
      <w:r>
        <w:rPr>
          <w:rFonts w:hint="eastAsia" w:cs="宋体"/>
          <w:b/>
          <w:bCs/>
          <w:highlight w:val="none"/>
        </w:rPr>
        <w:t>五、公告期限</w:t>
      </w:r>
      <w:bookmarkEnd w:id="28"/>
      <w:bookmarkEnd w:id="29"/>
      <w:bookmarkEnd w:id="30"/>
      <w:bookmarkEnd w:id="31"/>
      <w:bookmarkEnd w:id="32"/>
    </w:p>
    <w:p>
      <w:pPr>
        <w:snapToGrid w:val="0"/>
        <w:spacing w:line="420" w:lineRule="auto"/>
        <w:ind w:firstLine="480" w:firstLineChars="200"/>
        <w:rPr>
          <w:rFonts w:cs="宋体"/>
          <w:highlight w:val="none"/>
        </w:rPr>
      </w:pPr>
      <w:r>
        <w:rPr>
          <w:rFonts w:hint="eastAsia" w:cs="宋体"/>
          <w:highlight w:val="none"/>
        </w:rPr>
        <w:t>自本公告发布之日起5个工作日。</w:t>
      </w:r>
    </w:p>
    <w:p>
      <w:pPr>
        <w:snapToGrid w:val="0"/>
        <w:spacing w:line="420" w:lineRule="auto"/>
        <w:rPr>
          <w:rFonts w:cs="宋体"/>
          <w:b/>
          <w:bCs/>
          <w:highlight w:val="none"/>
        </w:rPr>
      </w:pPr>
      <w:bookmarkStart w:id="33" w:name="_Toc30385"/>
      <w:bookmarkStart w:id="34" w:name="_Toc13354"/>
      <w:bookmarkStart w:id="35" w:name="_Toc12699"/>
      <w:bookmarkStart w:id="36" w:name="_Toc113982813"/>
      <w:bookmarkStart w:id="37" w:name="_Toc10619"/>
      <w:r>
        <w:rPr>
          <w:rFonts w:hint="eastAsia" w:cs="宋体"/>
          <w:b/>
          <w:bCs/>
          <w:highlight w:val="none"/>
        </w:rPr>
        <w:t>六、其他补充事宜</w:t>
      </w:r>
      <w:bookmarkEnd w:id="33"/>
      <w:bookmarkEnd w:id="34"/>
      <w:bookmarkEnd w:id="35"/>
      <w:bookmarkEnd w:id="36"/>
      <w:bookmarkEnd w:id="37"/>
    </w:p>
    <w:p>
      <w:pPr>
        <w:snapToGrid w:val="0"/>
        <w:spacing w:line="420" w:lineRule="auto"/>
        <w:ind w:firstLine="480" w:firstLineChars="200"/>
        <w:rPr>
          <w:rFonts w:cs="宋体"/>
          <w:highlight w:val="none"/>
        </w:rPr>
      </w:pPr>
      <w:r>
        <w:rPr>
          <w:rFonts w:hint="eastAsia" w:cs="宋体"/>
          <w:highlight w:val="none"/>
        </w:rPr>
        <w:t>本项目在中国政府采购网（网址：</w:t>
      </w:r>
      <w:r>
        <w:rPr>
          <w:rFonts w:hint="eastAsia" w:cs="宋体"/>
          <w:color w:val="000000"/>
          <w:highlight w:val="none"/>
          <w:shd w:val="clear" w:color="auto" w:fill="FFFFFF"/>
        </w:rPr>
        <w:t>http://www.ccgp.gov.cn/</w:t>
      </w:r>
      <w:r>
        <w:rPr>
          <w:rFonts w:hint="eastAsia" w:cs="宋体"/>
          <w:highlight w:val="none"/>
        </w:rPr>
        <w:t>）上发布。</w:t>
      </w:r>
    </w:p>
    <w:p>
      <w:pPr>
        <w:snapToGrid w:val="0"/>
        <w:spacing w:line="420" w:lineRule="auto"/>
        <w:rPr>
          <w:rFonts w:cs="宋体"/>
          <w:b/>
          <w:bCs/>
          <w:highlight w:val="none"/>
        </w:rPr>
      </w:pPr>
      <w:bookmarkStart w:id="38" w:name="_Toc29256"/>
      <w:bookmarkStart w:id="39" w:name="_Toc12316"/>
      <w:bookmarkStart w:id="40" w:name="_Toc10003"/>
      <w:bookmarkStart w:id="41" w:name="_Toc21446"/>
      <w:bookmarkStart w:id="42" w:name="_Toc113982814"/>
      <w:r>
        <w:rPr>
          <w:rFonts w:hint="eastAsia" w:cs="宋体"/>
          <w:b/>
          <w:bCs/>
          <w:highlight w:val="none"/>
        </w:rPr>
        <w:t>七、</w:t>
      </w:r>
      <w:bookmarkEnd w:id="38"/>
      <w:bookmarkEnd w:id="39"/>
      <w:bookmarkEnd w:id="40"/>
      <w:r>
        <w:rPr>
          <w:rFonts w:hint="eastAsia" w:cs="宋体"/>
          <w:b/>
          <w:bCs/>
          <w:highlight w:val="none"/>
        </w:rPr>
        <w:t>对本次招标提出询问，请按以下方式联系</w:t>
      </w:r>
      <w:bookmarkEnd w:id="41"/>
      <w:bookmarkEnd w:id="42"/>
    </w:p>
    <w:p>
      <w:pPr>
        <w:snapToGrid w:val="0"/>
        <w:spacing w:line="420" w:lineRule="auto"/>
        <w:ind w:firstLine="482" w:firstLineChars="200"/>
        <w:rPr>
          <w:rFonts w:cs="宋体"/>
          <w:kern w:val="0"/>
          <w:highlight w:val="none"/>
          <w:shd w:val="clear" w:color="auto" w:fill="FFFFFF"/>
        </w:rPr>
      </w:pPr>
      <w:r>
        <w:rPr>
          <w:rFonts w:hint="eastAsia" w:cs="宋体"/>
          <w:b/>
          <w:bCs/>
          <w:kern w:val="0"/>
          <w:highlight w:val="none"/>
          <w:shd w:val="clear" w:color="auto" w:fill="FFFFFF"/>
        </w:rPr>
        <w:t>1、采购人信息</w:t>
      </w:r>
      <w:r>
        <w:rPr>
          <w:rFonts w:hint="eastAsia" w:cs="宋体"/>
          <w:kern w:val="0"/>
          <w:highlight w:val="none"/>
          <w:shd w:val="clear" w:color="auto" w:fill="FFFFFF"/>
        </w:rPr>
        <w:t>：</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名    称：</w:t>
      </w:r>
      <w:r>
        <w:rPr>
          <w:rFonts w:hint="eastAsia" w:cs="宋体"/>
          <w:highlight w:val="none"/>
        </w:rPr>
        <w:t>国家税务总局十堰市税务局</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地    址：</w:t>
      </w:r>
      <w:r>
        <w:rPr>
          <w:rFonts w:hint="eastAsia" w:cs="宋体"/>
          <w:highlight w:val="none"/>
        </w:rPr>
        <w:t>十堰市朝阳中路15号</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联 系 人：陈思</w:t>
      </w:r>
    </w:p>
    <w:p>
      <w:pPr>
        <w:snapToGrid w:val="0"/>
        <w:spacing w:line="420" w:lineRule="auto"/>
        <w:ind w:firstLine="480" w:firstLineChars="200"/>
        <w:rPr>
          <w:rFonts w:cs="宋体"/>
          <w:highlight w:val="none"/>
        </w:rPr>
      </w:pPr>
      <w:r>
        <w:rPr>
          <w:rFonts w:hint="eastAsia" w:cs="宋体"/>
          <w:kern w:val="0"/>
          <w:highlight w:val="none"/>
          <w:shd w:val="clear" w:color="auto" w:fill="FFFFFF"/>
        </w:rPr>
        <w:t>电    话：0719-8110328</w:t>
      </w:r>
    </w:p>
    <w:p>
      <w:pPr>
        <w:rPr>
          <w:rFonts w:cs="宋体"/>
          <w:highlight w:val="none"/>
        </w:rPr>
      </w:pPr>
    </w:p>
    <w:p>
      <w:pPr>
        <w:snapToGrid w:val="0"/>
        <w:spacing w:line="420" w:lineRule="auto"/>
        <w:ind w:firstLine="482" w:firstLineChars="200"/>
        <w:rPr>
          <w:rFonts w:cs="宋体"/>
          <w:b/>
          <w:bCs/>
          <w:kern w:val="0"/>
          <w:highlight w:val="none"/>
          <w:shd w:val="clear" w:color="auto" w:fill="FFFFFF"/>
        </w:rPr>
      </w:pPr>
      <w:r>
        <w:rPr>
          <w:rFonts w:hint="eastAsia" w:cs="宋体"/>
          <w:b/>
          <w:bCs/>
          <w:kern w:val="0"/>
          <w:highlight w:val="none"/>
          <w:shd w:val="clear" w:color="auto" w:fill="FFFFFF"/>
        </w:rPr>
        <w:t>2、采购代理机构信息：</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名    称：湖北普华工程咨询有限公司</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地    址：十堰市茅箭区重庆路99号汉成天地2号写字楼22层</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联系 人：邬杨</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电    话：0719-8789589</w:t>
      </w:r>
    </w:p>
    <w:p>
      <w:pPr>
        <w:rPr>
          <w:rFonts w:cs="宋体"/>
          <w:highlight w:val="none"/>
        </w:rPr>
      </w:pPr>
    </w:p>
    <w:p>
      <w:pPr>
        <w:snapToGrid w:val="0"/>
        <w:spacing w:line="420" w:lineRule="auto"/>
        <w:ind w:firstLine="482" w:firstLineChars="200"/>
        <w:rPr>
          <w:rFonts w:cs="宋体"/>
          <w:b/>
          <w:bCs/>
          <w:highlight w:val="none"/>
        </w:rPr>
      </w:pPr>
      <w:r>
        <w:rPr>
          <w:rFonts w:hint="eastAsia" w:cs="宋体"/>
          <w:b/>
          <w:bCs/>
          <w:highlight w:val="none"/>
        </w:rPr>
        <w:t>3、</w:t>
      </w:r>
      <w:r>
        <w:rPr>
          <w:rFonts w:hint="eastAsia" w:cs="宋体"/>
          <w:b/>
          <w:bCs/>
          <w:kern w:val="0"/>
          <w:highlight w:val="none"/>
          <w:shd w:val="clear" w:color="auto" w:fill="FFFFFF"/>
        </w:rPr>
        <w:t>项目联系方式：</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联 系 人：赵冠均</w:t>
      </w:r>
    </w:p>
    <w:p>
      <w:pPr>
        <w:snapToGrid w:val="0"/>
        <w:spacing w:line="420" w:lineRule="auto"/>
        <w:ind w:firstLine="480" w:firstLineChars="200"/>
        <w:rPr>
          <w:rFonts w:cs="宋体"/>
          <w:kern w:val="0"/>
          <w:highlight w:val="none"/>
          <w:shd w:val="clear" w:color="auto" w:fill="FFFFFF"/>
        </w:rPr>
      </w:pPr>
      <w:r>
        <w:rPr>
          <w:rFonts w:hint="eastAsia" w:cs="宋体"/>
          <w:kern w:val="0"/>
          <w:highlight w:val="none"/>
          <w:shd w:val="clear" w:color="auto" w:fill="FFFFFF"/>
        </w:rPr>
        <w:t>电    话：0719-8110400</w:t>
      </w:r>
    </w:p>
    <w:p>
      <w:pPr>
        <w:spacing w:line="360" w:lineRule="auto"/>
        <w:rPr>
          <w:rFonts w:cs="宋体"/>
          <w:highlight w:val="none"/>
        </w:rPr>
      </w:pPr>
    </w:p>
    <w:p>
      <w:pPr>
        <w:spacing w:line="360" w:lineRule="auto"/>
        <w:rPr>
          <w:rFonts w:cs="宋体"/>
          <w:highlight w:val="none"/>
        </w:rPr>
        <w:sectPr>
          <w:footerReference r:id="rId9" w:type="first"/>
          <w:footerReference r:id="rId8" w:type="default"/>
          <w:pgSz w:w="11906" w:h="16838"/>
          <w:pgMar w:top="1440" w:right="1083" w:bottom="1440" w:left="1083" w:header="851" w:footer="992" w:gutter="0"/>
          <w:pgNumType w:start="1"/>
          <w:cols w:space="720" w:num="1"/>
          <w:titlePg/>
          <w:docGrid w:type="lines" w:linePitch="312" w:charSpace="0"/>
        </w:sectPr>
      </w:pPr>
    </w:p>
    <w:p>
      <w:pPr>
        <w:pStyle w:val="3"/>
        <w:autoSpaceDE/>
        <w:autoSpaceDN/>
        <w:spacing w:line="720" w:lineRule="auto"/>
        <w:jc w:val="center"/>
        <w:rPr>
          <w:rFonts w:ascii="宋体" w:hAnsi="宋体" w:eastAsia="宋体" w:cs="宋体"/>
          <w:bCs/>
          <w:snapToGrid/>
          <w:kern w:val="2"/>
          <w:sz w:val="32"/>
          <w:highlight w:val="none"/>
        </w:rPr>
      </w:pPr>
      <w:bookmarkStart w:id="43" w:name="_Toc21832"/>
      <w:bookmarkStart w:id="44" w:name="_Toc29967"/>
      <w:bookmarkStart w:id="45" w:name="_Toc191"/>
      <w:bookmarkStart w:id="46" w:name="_Toc30484"/>
      <w:r>
        <w:rPr>
          <w:rFonts w:hint="eastAsia" w:ascii="宋体" w:hAnsi="宋体" w:eastAsia="宋体" w:cs="宋体"/>
          <w:bCs/>
          <w:snapToGrid/>
          <w:kern w:val="2"/>
          <w:sz w:val="32"/>
          <w:highlight w:val="none"/>
        </w:rPr>
        <w:t>第二章投标人须知</w:t>
      </w:r>
      <w:bookmarkEnd w:id="43"/>
      <w:bookmarkEnd w:id="44"/>
      <w:bookmarkEnd w:id="45"/>
      <w:bookmarkEnd w:id="46"/>
    </w:p>
    <w:p>
      <w:pPr>
        <w:snapToGrid w:val="0"/>
        <w:spacing w:line="312" w:lineRule="auto"/>
        <w:jc w:val="center"/>
        <w:rPr>
          <w:rFonts w:hint="eastAsia" w:cs="宋体"/>
          <w:highlight w:val="none"/>
        </w:rPr>
      </w:pPr>
      <w:r>
        <w:rPr>
          <w:rFonts w:hint="eastAsia" w:cs="宋体"/>
          <w:highlight w:val="none"/>
        </w:rPr>
        <w:t>投标人须知前附表</w:t>
      </w:r>
    </w:p>
    <w:tbl>
      <w:tblPr>
        <w:tblStyle w:val="20"/>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b/>
                <w:bCs/>
                <w:highlight w:val="none"/>
                <w:lang w:eastAsia="zh-CN"/>
              </w:rPr>
            </w:pPr>
            <w:r>
              <w:rPr>
                <w:rFonts w:hint="eastAsia" w:ascii="宋体" w:hAnsi="宋体" w:eastAsia="宋体" w:cs="宋体"/>
                <w:b/>
                <w:bCs/>
                <w:highlight w:val="none"/>
                <w:lang w:eastAsia="zh-CN"/>
              </w:rPr>
              <w:t>序 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b/>
                <w:bCs/>
                <w:highlight w:val="none"/>
                <w:lang w:eastAsia="zh-CN"/>
              </w:rPr>
            </w:pPr>
            <w:r>
              <w:rPr>
                <w:rFonts w:hint="eastAsia" w:ascii="宋体" w:hAnsi="宋体" w:eastAsia="宋体" w:cs="宋体"/>
                <w:b/>
                <w:bCs/>
                <w:highlight w:val="none"/>
                <w:lang w:eastAsia="zh-CN"/>
              </w:rPr>
              <w:t>类  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b/>
                <w:bCs/>
                <w:highlight w:val="none"/>
                <w:lang w:eastAsia="zh-CN"/>
              </w:rPr>
            </w:pPr>
            <w:r>
              <w:rPr>
                <w:rFonts w:hint="eastAsia" w:ascii="宋体" w:hAnsi="宋体" w:eastAsia="宋体" w:cs="宋体"/>
                <w:b/>
                <w:bCs/>
                <w:highlight w:val="none"/>
                <w:lang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tcBorders>
              <w:top w:val="single" w:color="auto" w:sz="4" w:space="0"/>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国家税务总局十堰市税务局2025年度食堂餐饮服务项目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tcBorders>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tcBorders>
              <w:left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项目编号：</w:t>
            </w:r>
            <w:r>
              <w:rPr>
                <w:rFonts w:hint="eastAsia" w:cs="宋体"/>
                <w:highlight w:val="none"/>
              </w:rPr>
              <w:t>HB2025-DLGK-C0080-B00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tcBorders>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tcBorders>
              <w:left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项目预算：219万元/年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tcBorders>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tcBorders>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最高限价：219万元/年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项目属性和类别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项目属性：</w:t>
            </w:r>
            <w:r>
              <w:rPr>
                <w:rFonts w:hint="eastAsia" w:ascii="宋体" w:hAnsi="宋体" w:eastAsia="宋体" w:cs="宋体"/>
                <w:highlight w:val="none"/>
              </w:rPr>
              <w:sym w:font="Wingdings 2" w:char="F0A3"/>
            </w:r>
            <w:r>
              <w:rPr>
                <w:rFonts w:hint="eastAsia" w:ascii="宋体" w:hAnsi="宋体" w:eastAsia="宋体" w:cs="宋体"/>
                <w:highlight w:val="none"/>
              </w:rPr>
              <w:t xml:space="preserve">货物           </w:t>
            </w:r>
            <w:r>
              <w:rPr>
                <w:rFonts w:hint="eastAsia" w:ascii="宋体" w:hAnsi="宋体" w:eastAsia="宋体" w:cs="宋体"/>
                <w:highlight w:val="none"/>
              </w:rPr>
              <w:sym w:font="Wingdings 2" w:char="0052"/>
            </w:r>
            <w:r>
              <w:rPr>
                <w:rFonts w:hint="eastAsia" w:ascii="宋体" w:hAnsi="宋体" w:eastAsia="宋体" w:cs="宋体"/>
                <w:highlight w:val="none"/>
              </w:rPr>
              <w:t>服务</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项目类别：</w:t>
            </w:r>
            <w:r>
              <w:rPr>
                <w:rFonts w:hint="eastAsia" w:ascii="宋体" w:hAnsi="宋体" w:eastAsia="宋体" w:cs="宋体"/>
                <w:highlight w:val="none"/>
              </w:rPr>
              <w:sym w:font="Wingdings 2" w:char="00A3"/>
            </w:r>
            <w:r>
              <w:rPr>
                <w:rFonts w:hint="eastAsia" w:ascii="宋体" w:hAnsi="宋体" w:eastAsia="宋体" w:cs="宋体"/>
                <w:highlight w:val="none"/>
              </w:rPr>
              <w:t xml:space="preserve">信息化项目     </w:t>
            </w:r>
            <w:r>
              <w:rPr>
                <w:rFonts w:hint="eastAsia" w:ascii="宋体" w:hAnsi="宋体" w:eastAsia="宋体" w:cs="宋体"/>
                <w:highlight w:val="none"/>
              </w:rPr>
              <w:sym w:font="Wingdings 2" w:char="0052"/>
            </w:r>
            <w:r>
              <w:rPr>
                <w:rFonts w:hint="eastAsia" w:ascii="宋体" w:hAnsi="宋体" w:eastAsia="宋体" w:cs="宋体"/>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4</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lang w:val="zh-CN"/>
              </w:rPr>
            </w:pPr>
            <w:r>
              <w:rPr>
                <w:rFonts w:hint="eastAsia" w:ascii="宋体" w:hAnsi="宋体" w:eastAsia="宋体" w:cs="宋体"/>
                <w:highlight w:val="none"/>
                <w:lang w:val="zh-CN"/>
              </w:rPr>
              <w:t>采购人</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cs="宋体"/>
                <w:highlight w:val="none"/>
              </w:rPr>
            </w:pPr>
            <w:r>
              <w:rPr>
                <w:rFonts w:hint="eastAsia" w:cs="宋体"/>
                <w:highlight w:val="none"/>
              </w:rPr>
              <w:t>名  称：国家税务总局十堰市税务局</w:t>
            </w:r>
          </w:p>
          <w:p>
            <w:pPr>
              <w:adjustRightInd w:val="0"/>
              <w:snapToGrid w:val="0"/>
              <w:spacing w:line="312" w:lineRule="auto"/>
              <w:rPr>
                <w:rFonts w:cs="宋体"/>
                <w:highlight w:val="none"/>
              </w:rPr>
            </w:pPr>
            <w:r>
              <w:rPr>
                <w:rFonts w:hint="eastAsia" w:cs="宋体"/>
                <w:highlight w:val="none"/>
              </w:rPr>
              <w:t>地  址：十堰市朝阳中路15号</w:t>
            </w:r>
          </w:p>
          <w:p>
            <w:pPr>
              <w:adjustRightInd w:val="0"/>
              <w:snapToGrid w:val="0"/>
              <w:spacing w:line="312" w:lineRule="auto"/>
              <w:rPr>
                <w:rFonts w:cs="宋体"/>
                <w:highlight w:val="none"/>
              </w:rPr>
            </w:pPr>
            <w:r>
              <w:rPr>
                <w:rFonts w:hint="eastAsia" w:cs="宋体"/>
                <w:highlight w:val="none"/>
              </w:rPr>
              <w:t>联系人：陈思</w:t>
            </w:r>
          </w:p>
          <w:p>
            <w:pPr>
              <w:snapToGrid w:val="0"/>
              <w:spacing w:line="312" w:lineRule="auto"/>
              <w:rPr>
                <w:rFonts w:hint="eastAsia" w:ascii="宋体" w:hAnsi="宋体" w:eastAsia="宋体" w:cs="宋体"/>
                <w:highlight w:val="none"/>
                <w:lang w:val="zh-CN"/>
              </w:rPr>
            </w:pPr>
            <w:r>
              <w:rPr>
                <w:rFonts w:hint="eastAsia" w:cs="宋体"/>
                <w:sz w:val="24"/>
                <w:highlight w:val="none"/>
              </w:rPr>
              <w:t>电  话：0719-8110328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cs="宋体"/>
                <w:highlight w:val="none"/>
              </w:rPr>
            </w:pPr>
            <w:r>
              <w:rPr>
                <w:rFonts w:hint="eastAsia" w:cs="宋体"/>
                <w:highlight w:val="none"/>
              </w:rPr>
              <w:t>名  称：湖北普华工程咨询有限公司</w:t>
            </w:r>
          </w:p>
          <w:p>
            <w:pPr>
              <w:adjustRightInd w:val="0"/>
              <w:snapToGrid w:val="0"/>
              <w:spacing w:line="312" w:lineRule="auto"/>
              <w:rPr>
                <w:rFonts w:cs="宋体"/>
                <w:highlight w:val="none"/>
                <w:shd w:val="clear" w:color="auto" w:fill="FFFFFF"/>
              </w:rPr>
            </w:pPr>
            <w:r>
              <w:rPr>
                <w:rFonts w:hint="eastAsia" w:cs="宋体"/>
                <w:highlight w:val="none"/>
              </w:rPr>
              <w:t>地  址：</w:t>
            </w:r>
            <w:r>
              <w:rPr>
                <w:rFonts w:hint="eastAsia" w:cs="宋体"/>
                <w:highlight w:val="none"/>
                <w:shd w:val="clear" w:color="auto" w:fill="FFFFFF"/>
              </w:rPr>
              <w:t>十堰市茅箭区重庆路99号汉成天地2号写字楼22层</w:t>
            </w:r>
          </w:p>
          <w:p>
            <w:pPr>
              <w:adjustRightInd w:val="0"/>
              <w:snapToGrid w:val="0"/>
              <w:spacing w:line="312" w:lineRule="auto"/>
              <w:rPr>
                <w:rFonts w:cs="宋体"/>
                <w:highlight w:val="none"/>
              </w:rPr>
            </w:pPr>
            <w:r>
              <w:rPr>
                <w:rFonts w:hint="eastAsia" w:cs="宋体"/>
                <w:highlight w:val="none"/>
              </w:rPr>
              <w:t>联系人：邬杨</w:t>
            </w:r>
          </w:p>
          <w:p>
            <w:pPr>
              <w:snapToGrid w:val="0"/>
              <w:spacing w:line="312" w:lineRule="auto"/>
              <w:rPr>
                <w:rFonts w:hint="eastAsia" w:ascii="宋体" w:hAnsi="宋体" w:eastAsia="宋体" w:cs="宋体"/>
                <w:highlight w:val="none"/>
              </w:rPr>
            </w:pPr>
            <w:r>
              <w:rPr>
                <w:rFonts w:hint="eastAsia" w:cs="宋体"/>
                <w:highlight w:val="none"/>
              </w:rPr>
              <w:t>电  话：0719-8789589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cs="宋体"/>
                <w:highlight w:val="none"/>
              </w:rPr>
            </w:pPr>
            <w:r>
              <w:rPr>
                <w:rFonts w:hint="eastAsia" w:cs="宋体"/>
                <w:highlight w:val="none"/>
              </w:rPr>
              <w:t>1、满足《中华人民共和国政府采购法》第二十二条规定，即：</w:t>
            </w:r>
          </w:p>
          <w:p>
            <w:pPr>
              <w:snapToGrid w:val="0"/>
              <w:spacing w:line="312" w:lineRule="auto"/>
              <w:rPr>
                <w:rFonts w:cs="宋体"/>
                <w:highlight w:val="none"/>
              </w:rPr>
            </w:pPr>
            <w:r>
              <w:rPr>
                <w:rFonts w:hint="eastAsia" w:cs="宋体"/>
                <w:highlight w:val="none"/>
              </w:rPr>
              <w:t>（1）具有独立承担民事责任的能力；</w:t>
            </w:r>
          </w:p>
          <w:p>
            <w:pPr>
              <w:snapToGrid w:val="0"/>
              <w:spacing w:line="312" w:lineRule="auto"/>
              <w:rPr>
                <w:rFonts w:cs="宋体"/>
                <w:highlight w:val="none"/>
              </w:rPr>
            </w:pPr>
            <w:r>
              <w:rPr>
                <w:rFonts w:hint="eastAsia" w:cs="宋体"/>
                <w:highlight w:val="none"/>
              </w:rPr>
              <w:t>（2）具有良好的商业信誉和健全的财务会计制度；</w:t>
            </w:r>
          </w:p>
          <w:p>
            <w:pPr>
              <w:snapToGrid w:val="0"/>
              <w:spacing w:line="312" w:lineRule="auto"/>
              <w:rPr>
                <w:rFonts w:cs="宋体"/>
                <w:highlight w:val="none"/>
              </w:rPr>
            </w:pPr>
            <w:r>
              <w:rPr>
                <w:rFonts w:hint="eastAsia" w:cs="宋体"/>
                <w:highlight w:val="none"/>
              </w:rPr>
              <w:t>（3）具有履行合同所必需的设备和专业技术能力；</w:t>
            </w:r>
          </w:p>
          <w:p>
            <w:pPr>
              <w:snapToGrid w:val="0"/>
              <w:spacing w:line="312" w:lineRule="auto"/>
              <w:rPr>
                <w:rFonts w:cs="宋体"/>
                <w:highlight w:val="none"/>
              </w:rPr>
            </w:pPr>
            <w:r>
              <w:rPr>
                <w:rFonts w:hint="eastAsia" w:cs="宋体"/>
                <w:highlight w:val="none"/>
              </w:rPr>
              <w:t>（4）有依法缴纳税收和社会保障资金的良好记录；</w:t>
            </w:r>
          </w:p>
          <w:p>
            <w:pPr>
              <w:snapToGrid w:val="0"/>
              <w:spacing w:line="312" w:lineRule="auto"/>
              <w:rPr>
                <w:rFonts w:cs="宋体"/>
                <w:highlight w:val="none"/>
              </w:rPr>
            </w:pPr>
            <w:r>
              <w:rPr>
                <w:rFonts w:hint="eastAsia" w:cs="宋体"/>
                <w:highlight w:val="none"/>
              </w:rPr>
              <w:t>（5）参加政府采购活动前三年内，在经营活动中没有重大违法记录；</w:t>
            </w:r>
          </w:p>
          <w:p>
            <w:pPr>
              <w:snapToGrid w:val="0"/>
              <w:spacing w:line="312" w:lineRule="auto"/>
              <w:rPr>
                <w:rFonts w:cs="宋体"/>
                <w:highlight w:val="none"/>
              </w:rPr>
            </w:pPr>
            <w:r>
              <w:rPr>
                <w:rFonts w:hint="eastAsia" w:cs="宋体"/>
                <w:highlight w:val="none"/>
              </w:rPr>
              <w:t>（6）法律、行政法规规定的其他条件。</w:t>
            </w:r>
          </w:p>
          <w:p>
            <w:pPr>
              <w:pStyle w:val="14"/>
              <w:spacing w:line="312" w:lineRule="auto"/>
              <w:rPr>
                <w:rFonts w:cs="宋体"/>
                <w:sz w:val="24"/>
                <w:highlight w:val="none"/>
              </w:rPr>
            </w:pPr>
            <w:r>
              <w:rPr>
                <w:rFonts w:hint="eastAsia" w:cs="宋体"/>
                <w:sz w:val="24"/>
                <w:highlight w:val="none"/>
              </w:rPr>
              <w:t>2、主体信用记录符合政府采购活动要求：</w:t>
            </w:r>
          </w:p>
          <w:p>
            <w:pPr>
              <w:pStyle w:val="14"/>
              <w:spacing w:line="312" w:lineRule="auto"/>
              <w:rPr>
                <w:rFonts w:cs="宋体"/>
                <w:sz w:val="24"/>
                <w:highlight w:val="none"/>
              </w:rPr>
            </w:pPr>
            <w:r>
              <w:rPr>
                <w:rFonts w:hint="eastAsia" w:cs="宋体"/>
                <w:sz w:val="24"/>
                <w:highlight w:val="none"/>
              </w:rPr>
              <w:t>（1）供应商未被“信用中国”网站（www.creditchina.gov.cn）列入失信被执行人、重大税收违法失信主体、严重失信主体（若查询结果存在异议，开标时以现场查询为准）；</w:t>
            </w:r>
          </w:p>
          <w:p>
            <w:pPr>
              <w:pStyle w:val="14"/>
              <w:spacing w:line="312" w:lineRule="auto"/>
              <w:rPr>
                <w:rFonts w:cs="宋体"/>
                <w:sz w:val="24"/>
                <w:highlight w:val="none"/>
              </w:rPr>
            </w:pPr>
            <w:r>
              <w:rPr>
                <w:rFonts w:hint="eastAsia" w:cs="宋体"/>
                <w:sz w:val="24"/>
                <w:highlight w:val="none"/>
              </w:rPr>
              <w:t>（2）供应商未被“中国政府采购网”网站（www.ccgp.gov.cn）列入政府采购严重违法失信行为记录名单（若查询结果存在异议，开标时以现场查询为准）。</w:t>
            </w:r>
          </w:p>
          <w:p>
            <w:pPr>
              <w:snapToGrid w:val="0"/>
              <w:spacing w:line="312" w:lineRule="auto"/>
              <w:rPr>
                <w:rFonts w:cs="宋体"/>
                <w:highlight w:val="none"/>
              </w:rPr>
            </w:pPr>
            <w:r>
              <w:rPr>
                <w:rFonts w:hint="eastAsia" w:cs="宋体"/>
                <w:highlight w:val="none"/>
              </w:rPr>
              <w:t>3、单位负责人为同一人或者存在直接控股、管理关系的不同供应商，不得参加本项目同一合同项下的政府采购活动。</w:t>
            </w:r>
          </w:p>
          <w:p>
            <w:pPr>
              <w:snapToGrid w:val="0"/>
              <w:spacing w:line="312" w:lineRule="auto"/>
              <w:rPr>
                <w:rFonts w:cs="宋体"/>
                <w:highlight w:val="none"/>
              </w:rPr>
            </w:pPr>
            <w:r>
              <w:rPr>
                <w:rFonts w:hint="eastAsia" w:cs="宋体"/>
                <w:highlight w:val="none"/>
              </w:rPr>
              <w:t>4、本项目的特定资格要求：供应商须具备有效的餐饮服务许可证或食品经营许可证。</w:t>
            </w:r>
          </w:p>
          <w:p>
            <w:pPr>
              <w:snapToGrid w:val="0"/>
              <w:spacing w:line="312" w:lineRule="auto"/>
              <w:rPr>
                <w:rFonts w:hint="eastAsia" w:ascii="宋体" w:hAnsi="宋体" w:eastAsia="宋体" w:cs="宋体"/>
                <w:highlight w:val="none"/>
              </w:rPr>
            </w:pPr>
            <w:r>
              <w:rPr>
                <w:rFonts w:hint="eastAsia" w:cs="宋体"/>
                <w:b/>
                <w:bCs/>
                <w:highlight w:val="none"/>
              </w:rPr>
              <w:t>5、政府采购相关政策执行：</w:t>
            </w:r>
            <w:r>
              <w:rPr>
                <w:rFonts w:hint="eastAsia" w:cs="宋体"/>
                <w:color w:val="0000FF"/>
                <w:highlight w:val="none"/>
              </w:rPr>
              <w:t>本项目为专门面向小微企业采购项目</w:t>
            </w:r>
            <w:r>
              <w:rPr>
                <w:rFonts w:hint="eastAsia" w:cs="宋体"/>
                <w:highlight w:val="none"/>
              </w:rPr>
              <w:t>。落实政府采购强制、优先采购节能产品政策；政府采购优先采购环保产品政策；政府采购促进中小企业发展（监狱企业、残疾人福利性单位视同小微企业）等政策。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不接受</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F0A3"/>
            </w:r>
            <w:r>
              <w:rPr>
                <w:rFonts w:hint="eastAsia" w:ascii="宋体" w:hAnsi="宋体" w:eastAsia="宋体" w:cs="宋体"/>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cs="宋体"/>
                <w:color w:val="0000FF"/>
                <w:highlight w:val="none"/>
              </w:rPr>
            </w:pPr>
            <w:r>
              <w:rPr>
                <w:rFonts w:hint="eastAsia" w:cs="宋体"/>
                <w:color w:val="0000FF"/>
                <w:highlight w:val="none"/>
              </w:rPr>
              <w:t>本项目为：专门面向小微企业采购项目；</w:t>
            </w:r>
          </w:p>
          <w:p>
            <w:pPr>
              <w:snapToGrid w:val="0"/>
              <w:spacing w:line="312" w:lineRule="auto"/>
              <w:rPr>
                <w:rFonts w:hint="eastAsia" w:ascii="宋体" w:hAnsi="宋体" w:eastAsia="宋体" w:cs="宋体"/>
                <w:highlight w:val="none"/>
                <w:lang w:val="en-US" w:eastAsia="zh-CN"/>
              </w:rPr>
            </w:pPr>
            <w:r>
              <w:rPr>
                <w:rFonts w:hint="eastAsia" w:cs="宋体"/>
                <w:color w:val="0000FF"/>
                <w:highlight w:val="none"/>
              </w:rPr>
              <w:t>本项目标的所属行业为：</w:t>
            </w:r>
            <w:r>
              <w:rPr>
                <w:rFonts w:hint="eastAsia" w:cs="宋体"/>
                <w:color w:val="0000FF"/>
                <w:highlight w:val="none"/>
                <w:u w:val="single"/>
              </w:rPr>
              <w:t>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9</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是否允许中标人将本项目的非主体、非关键性工作进行分包：</w:t>
            </w:r>
          </w:p>
          <w:p>
            <w:pPr>
              <w:snapToGrid w:val="0"/>
              <w:spacing w:line="312" w:lineRule="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10</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核心产品</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货物类项目填写此栏</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无</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F0A3"/>
            </w:r>
            <w:r>
              <w:rPr>
                <w:rFonts w:hint="eastAsia" w:ascii="宋体" w:hAnsi="宋体" w:eastAsia="宋体" w:cs="宋体"/>
                <w:highlight w:val="none"/>
              </w:rPr>
              <w:t>有</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 xml:space="preserve">产品名称：      </w:t>
            </w:r>
          </w:p>
          <w:p>
            <w:pPr>
              <w:snapToGrid w:val="0"/>
              <w:spacing w:line="312" w:lineRule="auto"/>
              <w:rPr>
                <w:rFonts w:hint="eastAsia" w:ascii="宋体" w:hAnsi="宋体" w:eastAsia="宋体" w:cs="宋体"/>
                <w:highlight w:val="none"/>
                <w:lang w:val="zh-CN"/>
              </w:rPr>
            </w:pPr>
            <w:r>
              <w:rPr>
                <w:rFonts w:hint="eastAsia" w:ascii="宋体" w:hAnsi="宋体" w:eastAsia="宋体" w:cs="宋体"/>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的方式确定一个参加评标的投标人，招标文件未规定的采取随机抽取方式确定，其他投标无效。</w:t>
            </w:r>
          </w:p>
          <w:p>
            <w:pPr>
              <w:snapToGrid w:val="0"/>
              <w:spacing w:line="312" w:lineRule="auto"/>
              <w:rPr>
                <w:rFonts w:hint="eastAsia" w:ascii="宋体" w:hAnsi="宋体" w:eastAsia="宋体" w:cs="宋体"/>
                <w:highlight w:val="none"/>
              </w:rPr>
            </w:pPr>
            <w:r>
              <w:rPr>
                <w:rFonts w:hint="eastAsia" w:ascii="宋体" w:hAnsi="宋体" w:eastAsia="宋体" w:cs="宋体"/>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宋体"/>
                <w:highlight w:val="none"/>
              </w:rPr>
              <w:t>评审得分相同的，由采购人或者采购人委托评标委员会按照</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的方式确定一个投标人获得中标人推荐资格，招标文件未规定的采取随机抽取方式确定</w:t>
            </w:r>
            <w:r>
              <w:rPr>
                <w:rFonts w:hint="eastAsia" w:ascii="宋体" w:hAnsi="宋体" w:eastAsia="宋体" w:cs="宋体"/>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11</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采购进口产品</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本采购项目拒绝进口产品参加投标</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□本采购项目已经财政部审核同意购买进口产品</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12</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信息发布媒体</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Fonts w:hint="eastAsia" w:ascii="宋体" w:hAnsi="宋体" w:eastAsia="宋体" w:cs="宋体"/>
                <w:highlight w:val="none"/>
              </w:rPr>
              <w:t>www.ccgp.gov.cn</w:t>
            </w:r>
            <w:r>
              <w:rPr>
                <w:rFonts w:hint="eastAsia" w:ascii="宋体" w:hAnsi="宋体" w:eastAsia="宋体" w:cs="宋体"/>
                <w:highlight w:val="none"/>
              </w:rPr>
              <w:fldChar w:fldCharType="end"/>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13</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获取招标文件</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时间、地点和</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方式等</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1、时间：2025年7月21日至2025年7月25日，每天上午08:30至12:00，下午14:30至17:30（北京时间，法定节假日除外）。</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2、地点：湖北普华工程咨询有限公司（十堰市茅箭区重庆路99号汉成天地2号写字楼22层）。</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3、方式：现场获取</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由法定代表人持本人身份证原件、法人身份证明书和营业执照复印件或委托代理人(须为本单位正式员工)持本人身份证原件、法定代表人授权委托书和营业执照复印件及本公告第二条申请人资格要求的相关材料(加盖本单位公章)一套，在湖北普华工程咨询有限公司（十堰市茅箭区重庆路99号汉成天地2号写字楼22层）报名。</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4、招标文件获取方式：统一以电子邮件方式向供应商发送。</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5、售价：0元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14</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现场考察/踏勘</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不组织现场考察/踏勘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15</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样品</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不要求提供</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F0A3"/>
            </w:r>
            <w:r>
              <w:rPr>
                <w:rFonts w:hint="eastAsia" w:ascii="宋体" w:hAnsi="宋体" w:eastAsia="宋体" w:cs="宋体"/>
                <w:highlight w:val="none"/>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16</w:t>
            </w:r>
          </w:p>
        </w:tc>
        <w:tc>
          <w:tcPr>
            <w:tcW w:w="1984" w:type="dxa"/>
            <w:vMerge w:val="restart"/>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投标文件组成</w:t>
            </w:r>
          </w:p>
        </w:tc>
        <w:tc>
          <w:tcPr>
            <w:tcW w:w="851" w:type="dxa"/>
            <w:vMerge w:val="restart"/>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投标文件组成</w:t>
            </w:r>
          </w:p>
        </w:tc>
        <w:tc>
          <w:tcPr>
            <w:tcW w:w="5207" w:type="dxa"/>
            <w:noWrap w:val="0"/>
            <w:vAlign w:val="center"/>
          </w:tcPr>
          <w:p>
            <w:pPr>
              <w:adjustRightInd w:val="0"/>
              <w:snapToGrid w:val="0"/>
              <w:spacing w:beforeLines="50" w:afterLines="50" w:line="332" w:lineRule="auto"/>
              <w:rPr>
                <w:rFonts w:cs="宋体"/>
                <w:highlight w:val="none"/>
              </w:rPr>
            </w:pPr>
            <w:r>
              <w:rPr>
                <w:rFonts w:hint="eastAsia" w:cs="宋体"/>
                <w:highlight w:val="none"/>
              </w:rPr>
              <w:t>（1）投标函</w:t>
            </w:r>
          </w:p>
          <w:p>
            <w:pPr>
              <w:adjustRightInd w:val="0"/>
              <w:snapToGrid w:val="0"/>
              <w:spacing w:beforeLines="50" w:afterLines="50" w:line="332" w:lineRule="auto"/>
              <w:rPr>
                <w:rFonts w:cs="宋体"/>
                <w:highlight w:val="none"/>
              </w:rPr>
            </w:pPr>
            <w:r>
              <w:rPr>
                <w:rFonts w:hint="eastAsia" w:cs="宋体"/>
                <w:highlight w:val="none"/>
              </w:rPr>
              <w:t>（2）开标一览表</w:t>
            </w:r>
          </w:p>
          <w:p>
            <w:pPr>
              <w:adjustRightInd w:val="0"/>
              <w:snapToGrid w:val="0"/>
              <w:spacing w:beforeLines="50" w:afterLines="50" w:line="332" w:lineRule="auto"/>
              <w:rPr>
                <w:rFonts w:cs="宋体"/>
                <w:highlight w:val="none"/>
              </w:rPr>
            </w:pPr>
            <w:r>
              <w:rPr>
                <w:rFonts w:hint="eastAsia" w:cs="宋体"/>
                <w:highlight w:val="none"/>
              </w:rPr>
              <w:t>（3）投标分项报价明细表</w:t>
            </w:r>
          </w:p>
          <w:p>
            <w:pPr>
              <w:adjustRightInd w:val="0"/>
              <w:snapToGrid w:val="0"/>
              <w:spacing w:beforeLines="50" w:afterLines="50" w:line="332" w:lineRule="auto"/>
              <w:rPr>
                <w:rFonts w:cs="宋体"/>
                <w:highlight w:val="none"/>
              </w:rPr>
            </w:pPr>
            <w:r>
              <w:rPr>
                <w:rFonts w:hint="eastAsia" w:cs="宋体"/>
                <w:highlight w:val="none"/>
              </w:rPr>
              <w:t>（4）投标承诺书</w:t>
            </w:r>
          </w:p>
          <w:p>
            <w:pPr>
              <w:adjustRightInd w:val="0"/>
              <w:snapToGrid w:val="0"/>
              <w:spacing w:beforeLines="50" w:afterLines="50" w:line="332" w:lineRule="auto"/>
              <w:rPr>
                <w:rFonts w:cs="宋体"/>
                <w:highlight w:val="none"/>
              </w:rPr>
            </w:pPr>
            <w:r>
              <w:rPr>
                <w:rFonts w:hint="eastAsia" w:cs="宋体"/>
                <w:highlight w:val="none"/>
              </w:rPr>
              <w:t>（5）法定代表人身份证明</w:t>
            </w:r>
          </w:p>
          <w:p>
            <w:pPr>
              <w:adjustRightInd w:val="0"/>
              <w:snapToGrid w:val="0"/>
              <w:spacing w:beforeLines="50" w:afterLines="50" w:line="332" w:lineRule="auto"/>
              <w:rPr>
                <w:rFonts w:cs="宋体"/>
                <w:highlight w:val="none"/>
              </w:rPr>
            </w:pPr>
            <w:r>
              <w:rPr>
                <w:rFonts w:hint="eastAsia" w:cs="宋体"/>
                <w:highlight w:val="none"/>
              </w:rPr>
              <w:t>（6）法定代表人授权委托书</w:t>
            </w:r>
          </w:p>
          <w:p>
            <w:pPr>
              <w:adjustRightInd w:val="0"/>
              <w:snapToGrid w:val="0"/>
              <w:spacing w:beforeLines="50" w:afterLines="50" w:line="332" w:lineRule="auto"/>
              <w:rPr>
                <w:rFonts w:cs="宋体"/>
                <w:highlight w:val="none"/>
              </w:rPr>
            </w:pPr>
            <w:r>
              <w:rPr>
                <w:rFonts w:hint="eastAsia" w:cs="宋体"/>
                <w:highlight w:val="none"/>
              </w:rPr>
              <w:t>（7）资格证明文件</w:t>
            </w:r>
          </w:p>
          <w:p>
            <w:pPr>
              <w:adjustRightInd w:val="0"/>
              <w:snapToGrid w:val="0"/>
              <w:spacing w:beforeLines="50" w:afterLines="50" w:line="332" w:lineRule="auto"/>
              <w:rPr>
                <w:rFonts w:cs="宋体"/>
                <w:highlight w:val="none"/>
              </w:rPr>
            </w:pPr>
            <w:r>
              <w:rPr>
                <w:rFonts w:hint="eastAsia" w:cs="宋体"/>
                <w:highlight w:val="none"/>
              </w:rPr>
              <w:t>（8）商务文件</w:t>
            </w:r>
          </w:p>
          <w:p>
            <w:pPr>
              <w:adjustRightInd w:val="0"/>
              <w:snapToGrid w:val="0"/>
              <w:spacing w:beforeLines="50" w:afterLines="50" w:line="332" w:lineRule="auto"/>
              <w:rPr>
                <w:rFonts w:cs="宋体"/>
                <w:highlight w:val="none"/>
              </w:rPr>
            </w:pPr>
            <w:r>
              <w:rPr>
                <w:rFonts w:hint="eastAsia" w:cs="宋体"/>
                <w:highlight w:val="none"/>
              </w:rPr>
              <w:t>（9）商务偏离表</w:t>
            </w:r>
          </w:p>
          <w:p>
            <w:pPr>
              <w:adjustRightInd w:val="0"/>
              <w:snapToGrid w:val="0"/>
              <w:spacing w:beforeLines="50" w:afterLines="50" w:line="332" w:lineRule="auto"/>
              <w:rPr>
                <w:rFonts w:cs="宋体"/>
                <w:highlight w:val="none"/>
              </w:rPr>
            </w:pPr>
            <w:r>
              <w:rPr>
                <w:rFonts w:hint="eastAsia" w:cs="宋体"/>
                <w:highlight w:val="none"/>
              </w:rPr>
              <w:t>（10）政府采购相关政策（如适用）</w:t>
            </w:r>
          </w:p>
          <w:p>
            <w:pPr>
              <w:adjustRightInd w:val="0"/>
              <w:snapToGrid w:val="0"/>
              <w:spacing w:beforeLines="50" w:afterLines="50" w:line="332" w:lineRule="auto"/>
              <w:rPr>
                <w:rFonts w:cs="宋体"/>
                <w:highlight w:val="none"/>
              </w:rPr>
            </w:pPr>
            <w:r>
              <w:rPr>
                <w:rFonts w:hint="eastAsia" w:cs="宋体"/>
                <w:highlight w:val="none"/>
              </w:rPr>
              <w:t>（11）技术文件</w:t>
            </w:r>
          </w:p>
          <w:p>
            <w:pPr>
              <w:adjustRightInd w:val="0"/>
              <w:snapToGrid w:val="0"/>
              <w:spacing w:beforeLines="50" w:afterLines="50" w:line="332" w:lineRule="auto"/>
              <w:rPr>
                <w:rFonts w:hint="eastAsia" w:ascii="宋体" w:hAnsi="宋体" w:eastAsia="宋体" w:cs="宋体"/>
                <w:highlight w:val="none"/>
                <w:lang w:eastAsia="zh-CN"/>
              </w:rPr>
            </w:pPr>
            <w:r>
              <w:rPr>
                <w:rFonts w:hint="eastAsia" w:cs="宋体"/>
                <w:highlight w:val="none"/>
              </w:rPr>
              <w:t>（12）技术偏离表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noWrap w:val="0"/>
            <w:vAlign w:val="center"/>
          </w:tcPr>
          <w:p>
            <w:pPr>
              <w:snapToGrid w:val="0"/>
              <w:spacing w:line="312" w:lineRule="auto"/>
              <w:rPr>
                <w:rFonts w:hint="eastAsia" w:ascii="宋体" w:hAnsi="宋体" w:eastAsia="宋体" w:cs="宋体"/>
                <w:highlight w:val="none"/>
              </w:rPr>
            </w:pPr>
          </w:p>
        </w:tc>
        <w:tc>
          <w:tcPr>
            <w:tcW w:w="851" w:type="dxa"/>
            <w:vMerge w:val="continue"/>
            <w:noWrap w:val="0"/>
            <w:vAlign w:val="center"/>
          </w:tcPr>
          <w:p>
            <w:pPr>
              <w:snapToGrid w:val="0"/>
              <w:spacing w:line="312" w:lineRule="auto"/>
              <w:rPr>
                <w:rFonts w:hint="eastAsia" w:ascii="宋体" w:hAnsi="宋体" w:eastAsia="宋体" w:cs="宋体"/>
                <w:highlight w:val="none"/>
              </w:rPr>
            </w:pPr>
          </w:p>
        </w:tc>
        <w:tc>
          <w:tcPr>
            <w:tcW w:w="5207"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二、开标一览表：</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17</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投标有效期</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从提交投标文件的截止之日起计算</w:t>
            </w:r>
            <w:r>
              <w:rPr>
                <w:rFonts w:hint="eastAsia" w:ascii="宋体" w:hAnsi="宋体" w:eastAsia="宋体" w:cs="宋体"/>
                <w:highlight w:val="none"/>
                <w:lang w:val="en-US" w:eastAsia="zh-CN"/>
              </w:rPr>
              <w:t>90个</w:t>
            </w:r>
            <w:r>
              <w:rPr>
                <w:rFonts w:hint="eastAsia" w:ascii="宋体" w:hAnsi="宋体" w:eastAsia="宋体" w:cs="宋体"/>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18</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提交投标文件方式、截止时间、开标时间、地点</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提交方式：纸质文件提交</w:t>
            </w:r>
          </w:p>
          <w:p>
            <w:pPr>
              <w:snapToGrid w:val="0"/>
              <w:spacing w:line="420" w:lineRule="auto"/>
              <w:rPr>
                <w:rFonts w:cs="宋体"/>
                <w:kern w:val="0"/>
                <w:highlight w:val="none"/>
                <w:shd w:val="clear" w:color="auto" w:fill="FFFFFF"/>
              </w:rPr>
            </w:pPr>
            <w:r>
              <w:rPr>
                <w:rFonts w:hint="eastAsia" w:ascii="宋体" w:hAnsi="宋体" w:eastAsia="宋体" w:cs="宋体"/>
                <w:highlight w:val="none"/>
              </w:rPr>
              <w:t>投标截止时间和开标时间：</w:t>
            </w:r>
            <w:r>
              <w:rPr>
                <w:rFonts w:hint="eastAsia" w:cs="宋体"/>
                <w:kern w:val="0"/>
                <w:highlight w:val="none"/>
                <w:shd w:val="clear" w:color="auto" w:fill="FFFFFF"/>
              </w:rPr>
              <w:t>2025年8月11日14点30分（北京时间）</w:t>
            </w:r>
          </w:p>
          <w:p>
            <w:pPr>
              <w:snapToGrid w:val="0"/>
              <w:spacing w:line="420" w:lineRule="auto"/>
              <w:rPr>
                <w:rFonts w:cs="宋体"/>
                <w:kern w:val="0"/>
                <w:highlight w:val="none"/>
                <w:shd w:val="clear" w:color="auto" w:fill="FFFFFF"/>
              </w:rPr>
            </w:pPr>
            <w:r>
              <w:rPr>
                <w:rFonts w:hint="eastAsia" w:cs="宋体"/>
                <w:kern w:val="0"/>
                <w:highlight w:val="none"/>
                <w:shd w:val="clear" w:color="auto" w:fill="FFFFFF"/>
              </w:rPr>
              <w:t>地点：湖北普华工程咨询有限公司开标室（十堰市茅箭区重庆路99号汉成天地2号写字楼22层）。</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开标方式：线下开标</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提交投标文件</w:t>
            </w:r>
            <w:r>
              <w:rPr>
                <w:rFonts w:hint="eastAsia" w:ascii="宋体" w:hAnsi="宋体" w:eastAsia="宋体" w:cs="宋体"/>
                <w:highlight w:val="none"/>
                <w:lang w:val="en-US" w:eastAsia="zh-CN"/>
              </w:rPr>
              <w:t>/开标</w:t>
            </w:r>
            <w:r>
              <w:rPr>
                <w:rFonts w:hint="eastAsia" w:ascii="宋体" w:hAnsi="宋体" w:eastAsia="宋体" w:cs="宋体"/>
                <w:highlight w:val="none"/>
              </w:rPr>
              <w:t>地点：</w:t>
            </w:r>
            <w:r>
              <w:rPr>
                <w:rFonts w:hint="eastAsia" w:cs="宋体"/>
                <w:kern w:val="0"/>
                <w:highlight w:val="none"/>
                <w:shd w:val="clear" w:color="auto" w:fill="FFFFFF"/>
              </w:rPr>
              <w:t>湖北普华工程咨询有限公司开标室（十堰市茅箭区重庆路99号汉成天地2号写字楼22层）。</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联系电话：</w:t>
            </w:r>
            <w:r>
              <w:rPr>
                <w:rFonts w:hint="eastAsia" w:cs="宋体"/>
                <w:highlight w:val="none"/>
              </w:rPr>
              <w:t>0719-8789589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19</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投标保证金</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20</w:t>
            </w:r>
          </w:p>
        </w:tc>
        <w:tc>
          <w:tcPr>
            <w:tcW w:w="1984" w:type="dxa"/>
            <w:vMerge w:val="restart"/>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不予退还投标保证金的情形</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有下列情形之一的，投标保证金将不予退还：</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（1）投标人串通投标或有视为串通投标情形之一的；</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（2）投标人提供虚假材料；</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（3）投标人采取不正当手段诋毁、排挤其他投标人；</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（4）投标截止时间后，投标人在投标有效期内撤销投标文件；</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（5）中标人有下列情形之一的：</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a.除不可抗力外，因中标人自身原因未在中标通知书要求的期限内与采购人签订政府采购合同；</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b.未按照招标文件、投标文件的约定签订政府采购合同或提交履约保证金。</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noWrap w:val="0"/>
            <w:vAlign w:val="center"/>
          </w:tcPr>
          <w:p>
            <w:pPr>
              <w:snapToGrid w:val="0"/>
              <w:spacing w:line="312" w:lineRule="auto"/>
              <w:rPr>
                <w:rFonts w:hint="eastAsia" w:ascii="宋体" w:hAnsi="宋体" w:eastAsia="宋体" w:cs="宋体"/>
                <w:highlight w:val="none"/>
              </w:rPr>
            </w:pPr>
          </w:p>
        </w:tc>
        <w:tc>
          <w:tcPr>
            <w:tcW w:w="6058" w:type="dxa"/>
            <w:gridSpan w:val="2"/>
            <w:noWrap w:val="0"/>
            <w:vAlign w:val="center"/>
          </w:tcPr>
          <w:p>
            <w:pPr>
              <w:snapToGrid w:val="0"/>
              <w:spacing w:line="312" w:lineRule="auto"/>
              <w:rPr>
                <w:rFonts w:hint="eastAsia" w:ascii="宋体" w:hAnsi="宋体" w:eastAsia="宋体" w:cs="宋体"/>
                <w:highlight w:val="none"/>
                <w:lang w:eastAsia="zh-CN"/>
              </w:rPr>
            </w:pPr>
            <w:r>
              <w:rPr>
                <w:rFonts w:hint="eastAsia" w:ascii="宋体" w:hAnsi="宋体" w:eastAsia="宋体" w:cs="宋体"/>
                <w:highlight w:val="none"/>
              </w:rPr>
              <w:t>其他不予退还投标保证金的情形：</w:t>
            </w:r>
            <w:r>
              <w:rPr>
                <w:rFonts w:hint="eastAsia" w:ascii="宋体" w:hAnsi="宋体" w:eastAsia="宋体" w:cs="宋体"/>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21</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信用记录审查</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Fonts w:hint="eastAsia" w:ascii="宋体" w:hAnsi="宋体" w:eastAsia="宋体" w:cs="宋体"/>
                <w:highlight w:val="none"/>
              </w:rPr>
              <w:t>www.ccgp.gov.cn</w:t>
            </w:r>
            <w:r>
              <w:rPr>
                <w:rFonts w:hint="eastAsia" w:ascii="宋体" w:hAnsi="宋体" w:eastAsia="宋体" w:cs="宋体"/>
                <w:highlight w:val="none"/>
              </w:rPr>
              <w:fldChar w:fldCharType="end"/>
            </w:r>
            <w:r>
              <w:rPr>
                <w:rFonts w:hint="eastAsia" w:ascii="宋体" w:hAnsi="宋体" w:eastAsia="宋体" w:cs="宋体"/>
                <w:highlight w:val="none"/>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本次查询的信用记录仅限于本项目使用，查询结果将留存在采购档案中。</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22</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支持中小型</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企业发展</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根据《政府采购促进中小型企业发展管理办法》（财库〔2020〕46号），鼓励中小企业参加本项目采购活动。</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在货物采购项目中，满足所有标的均由中小企业制造，即所有标的均由中小企业生产且使用该中小企业商号或者注册商标的，可享受中小企业扶持政策。</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在服务采购项目中，满足服务由中小企业承接，即提供服务的人员为中小企业依照《中华人民共和国劳动合同法》订立劳动合同的从业人员的，可享受中小企业扶持政策。</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本项目：</w:t>
            </w:r>
          </w:p>
          <w:p>
            <w:pPr>
              <w:snapToGrid w:val="0"/>
              <w:spacing w:line="312" w:lineRule="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专门面向小</w:t>
            </w:r>
            <w:r>
              <w:rPr>
                <w:rFonts w:hint="eastAsia" w:cs="宋体"/>
                <w:highlight w:val="none"/>
                <w:lang w:val="en-US" w:eastAsia="zh-CN"/>
              </w:rPr>
              <w:t>微</w:t>
            </w:r>
            <w:r>
              <w:rPr>
                <w:rFonts w:hint="eastAsia" w:ascii="宋体" w:hAnsi="宋体" w:eastAsia="宋体" w:cs="宋体"/>
                <w:highlight w:val="none"/>
              </w:rPr>
              <w:t>企业采购项目。</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□预留份额面向中小企业采购项目（说明：</w:t>
            </w:r>
            <w:r>
              <w:rPr>
                <w:rFonts w:hint="eastAsia" w:ascii="宋体" w:hAnsi="宋体" w:eastAsia="宋体" w:cs="宋体"/>
                <w:highlight w:val="none"/>
                <w:lang w:val="en-US" w:eastAsia="zh-CN"/>
              </w:rPr>
              <w:t>/</w:t>
            </w:r>
            <w:r>
              <w:rPr>
                <w:rFonts w:hint="eastAsia" w:ascii="宋体" w:hAnsi="宋体" w:eastAsia="宋体" w:cs="宋体"/>
                <w:highlight w:val="none"/>
              </w:rPr>
              <w:t>）。</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F0A3"/>
            </w:r>
            <w:r>
              <w:rPr>
                <w:rFonts w:hint="eastAsia" w:ascii="宋体" w:hAnsi="宋体" w:eastAsia="宋体" w:cs="宋体"/>
                <w:highlight w:val="none"/>
              </w:rPr>
              <w:t>非专门面向中小企业采购项目。对小型和微型企业的投标价格给予</w:t>
            </w:r>
            <w:r>
              <w:rPr>
                <w:rFonts w:hint="eastAsia" w:ascii="宋体" w:hAnsi="宋体" w:eastAsia="宋体" w:cs="宋体"/>
                <w:highlight w:val="none"/>
                <w:lang w:val="en-US" w:eastAsia="zh-CN"/>
              </w:rPr>
              <w:t>/</w:t>
            </w:r>
            <w:r>
              <w:rPr>
                <w:rFonts w:hint="eastAsia" w:ascii="宋体" w:hAnsi="宋体" w:eastAsia="宋体" w:cs="宋体"/>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23</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支持监狱企业发展</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根据《关于政府采购支持监狱企业发展有关问题的通知》（财库〔2014〕68号），监狱企业视同小型、微型企业，按照投标人须知前附表第22项享受价格扣除政策。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24</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促进残疾人</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就业</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根据《关于促进残疾人就业政府采购政策的通知》（财库〔2017〕141号），残疾人福利性单位视同小型、微型企业，按照投标人须知前附表第22项享受价格扣除政策。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25</w:t>
            </w:r>
          </w:p>
        </w:tc>
        <w:tc>
          <w:tcPr>
            <w:tcW w:w="1984" w:type="dxa"/>
            <w:vMerge w:val="restart"/>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其他法律法规强制性规定或扶持政策</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本项目中强制采购节能产品的货物名称：</w:t>
            </w:r>
            <w:r>
              <w:rPr>
                <w:rFonts w:hint="eastAsia" w:ascii="宋体" w:hAnsi="宋体" w:eastAsia="宋体" w:cs="宋体"/>
                <w:highlight w:val="none"/>
                <w:lang w:val="en-US" w:eastAsia="zh-CN"/>
              </w:rPr>
              <w:t>无（本项目不适用）</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noWrap w:val="0"/>
            <w:vAlign w:val="center"/>
          </w:tcPr>
          <w:p>
            <w:pPr>
              <w:snapToGrid w:val="0"/>
              <w:spacing w:line="312" w:lineRule="auto"/>
              <w:rPr>
                <w:rFonts w:hint="eastAsia" w:ascii="宋体" w:hAnsi="宋体" w:eastAsia="宋体" w:cs="宋体"/>
                <w:highlight w:val="none"/>
              </w:rPr>
            </w:pP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本项目中采购信息安全产品的货物名称：</w:t>
            </w:r>
            <w:r>
              <w:rPr>
                <w:rFonts w:hint="eastAsia" w:ascii="宋体" w:hAnsi="宋体" w:eastAsia="宋体" w:cs="宋体"/>
                <w:highlight w:val="none"/>
                <w:lang w:val="en-US" w:eastAsia="zh-CN"/>
              </w:rPr>
              <w:t>无（本项目不适用）</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注：投标人所投上述产品需为国家认证的信息安全产品，并提供由中国网络安全审查技术与认证中心（原中国信息安全认证中心）按国家标准认证颁发的有效认证证书复印件，否则投标无效。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vAlign w:val="center"/>
          </w:tcPr>
          <w:p>
            <w:pPr>
              <w:snapToGrid w:val="0"/>
              <w:spacing w:line="312" w:lineRule="auto"/>
              <w:jc w:val="center"/>
              <w:rPr>
                <w:rFonts w:hint="eastAsia" w:ascii="宋体" w:hAnsi="宋体" w:eastAsia="宋体" w:cs="宋体"/>
                <w:highlight w:val="none"/>
              </w:rPr>
            </w:pPr>
          </w:p>
        </w:tc>
        <w:tc>
          <w:tcPr>
            <w:tcW w:w="1984" w:type="dxa"/>
            <w:vMerge w:val="continue"/>
            <w:noWrap w:val="0"/>
            <w:vAlign w:val="center"/>
          </w:tcPr>
          <w:p>
            <w:pPr>
              <w:snapToGrid w:val="0"/>
              <w:spacing w:line="312" w:lineRule="auto"/>
              <w:rPr>
                <w:rFonts w:hint="eastAsia" w:ascii="宋体" w:hAnsi="宋体" w:eastAsia="宋体" w:cs="宋体"/>
                <w:highlight w:val="none"/>
              </w:rPr>
            </w:pPr>
          </w:p>
        </w:tc>
        <w:tc>
          <w:tcPr>
            <w:tcW w:w="6058" w:type="dxa"/>
            <w:gridSpan w:val="2"/>
            <w:noWrap w:val="0"/>
            <w:vAlign w:val="center"/>
          </w:tcPr>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其他法律法规强制性规定或扶持政策：</w:t>
            </w:r>
            <w:r>
              <w:rPr>
                <w:rFonts w:hint="eastAsia" w:ascii="宋体" w:hAnsi="宋体" w:eastAsia="宋体" w:cs="宋体"/>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26</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评标方法</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及分值</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F0A3"/>
            </w:r>
            <w:r>
              <w:rPr>
                <w:rFonts w:hint="eastAsia" w:ascii="宋体" w:hAnsi="宋体" w:eastAsia="宋体" w:cs="宋体"/>
                <w:highlight w:val="none"/>
              </w:rPr>
              <w:t>本项目采用最低评标价法，详见招标文件商务部分第三章。</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本项目采用综合评分法，其中价格分值为20分，商务部分30分，技术部分50分详见招标文件商务部分第三章。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27</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履约保证金</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不要求提供</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sym w:font="Wingdings 2" w:char="00A3"/>
            </w:r>
            <w:r>
              <w:rPr>
                <w:rFonts w:hint="eastAsia" w:ascii="宋体" w:hAnsi="宋体" w:eastAsia="宋体" w:cs="宋体"/>
                <w:highlight w:val="none"/>
              </w:rPr>
              <w:t>本采购项目履约保证金为合同金额的</w:t>
            </w:r>
            <w:r>
              <w:rPr>
                <w:rFonts w:hint="eastAsia" w:ascii="宋体" w:hAnsi="宋体" w:eastAsia="宋体" w:cs="宋体"/>
                <w:highlight w:val="none"/>
                <w:lang w:val="en-US" w:eastAsia="zh-CN"/>
              </w:rPr>
              <w:t>/</w:t>
            </w:r>
            <w:r>
              <w:rPr>
                <w:rFonts w:hint="eastAsia" w:ascii="宋体" w:hAnsi="宋体" w:eastAsia="宋体" w:cs="宋体"/>
                <w:highlight w:val="none"/>
              </w:rPr>
              <w:t>%，提交方式为银行电汇、金融机构或担保机构出具的保函。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28</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接收质疑的方式、部门、电话和</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通讯地址</w:t>
            </w:r>
          </w:p>
        </w:tc>
        <w:tc>
          <w:tcPr>
            <w:tcW w:w="6058" w:type="dxa"/>
            <w:gridSpan w:val="2"/>
            <w:noWrap w:val="0"/>
            <w:vAlign w:val="center"/>
          </w:tcPr>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（1）接收质疑函的方式：</w:t>
            </w:r>
            <w:r>
              <w:rPr>
                <w:rFonts w:hint="eastAsia" w:ascii="宋体" w:hAnsi="宋体" w:eastAsia="宋体" w:cs="宋体"/>
                <w:highlight w:val="none"/>
                <w:lang w:val="en-US" w:eastAsia="zh-CN"/>
              </w:rPr>
              <w:t>原件送达</w:t>
            </w:r>
          </w:p>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（2）联系部门：</w:t>
            </w:r>
            <w:r>
              <w:rPr>
                <w:rFonts w:hint="eastAsia" w:ascii="宋体" w:hAnsi="宋体" w:eastAsia="宋体" w:cs="宋体"/>
                <w:highlight w:val="none"/>
                <w:lang w:val="en-US" w:eastAsia="zh-CN"/>
              </w:rPr>
              <w:t>湖北普华工程咨询有限公司</w:t>
            </w:r>
          </w:p>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（3）联系电话：</w:t>
            </w:r>
            <w:r>
              <w:rPr>
                <w:rFonts w:hint="eastAsia" w:ascii="宋体" w:hAnsi="宋体" w:eastAsia="宋体" w:cs="宋体"/>
                <w:highlight w:val="none"/>
                <w:lang w:val="en-US" w:eastAsia="zh-CN"/>
              </w:rPr>
              <w:t>0719-8789589</w:t>
            </w:r>
          </w:p>
          <w:p>
            <w:pPr>
              <w:snapToGrid w:val="0"/>
              <w:spacing w:line="312" w:lineRule="auto"/>
              <w:rPr>
                <w:rFonts w:hint="eastAsia" w:ascii="宋体" w:hAnsi="宋体" w:eastAsia="宋体" w:cs="宋体"/>
                <w:highlight w:val="none"/>
                <w:lang w:val="en-US" w:eastAsia="zh-CN"/>
              </w:rPr>
            </w:pPr>
            <w:r>
              <w:rPr>
                <w:rFonts w:hint="eastAsia" w:ascii="宋体" w:hAnsi="宋体" w:eastAsia="宋体" w:cs="宋体"/>
                <w:highlight w:val="none"/>
              </w:rPr>
              <w:t>（4）通讯地址：</w:t>
            </w:r>
            <w:r>
              <w:rPr>
                <w:rFonts w:hint="eastAsia" w:ascii="宋体" w:hAnsi="宋体" w:eastAsia="宋体" w:cs="宋体"/>
                <w:highlight w:val="none"/>
                <w:lang w:val="en-US" w:eastAsia="zh-CN"/>
              </w:rPr>
              <w:t>湖北普华工程咨询有限公司（十堰市茅箭区重庆路99号汉成天地2号写字楼22层）</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（5）电子邮箱：</w:t>
            </w:r>
            <w:r>
              <w:rPr>
                <w:rFonts w:hint="eastAsia" w:ascii="宋体" w:hAnsi="宋体" w:eastAsia="宋体" w:cs="宋体"/>
                <w:highlight w:val="none"/>
                <w:lang w:val="en-US" w:eastAsia="zh-CN"/>
              </w:rPr>
              <w:t>67466890@qq.com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29</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需提交的</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投标文件份数</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（1）正本1份、副本</w:t>
            </w:r>
            <w:r>
              <w:rPr>
                <w:rFonts w:hint="eastAsia" w:ascii="宋体" w:hAnsi="宋体" w:eastAsia="宋体" w:cs="宋体"/>
                <w:highlight w:val="none"/>
                <w:lang w:val="en-US" w:eastAsia="zh-CN"/>
              </w:rPr>
              <w:t>2</w:t>
            </w:r>
            <w:r>
              <w:rPr>
                <w:rFonts w:hint="eastAsia" w:ascii="宋体" w:hAnsi="宋体" w:eastAsia="宋体" w:cs="宋体"/>
                <w:highlight w:val="none"/>
              </w:rPr>
              <w:t>份</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单独密封的报价信封1份（开标一览表）</w:t>
            </w:r>
            <w:r>
              <w:rPr>
                <w:rFonts w:hint="eastAsia" w:ascii="宋体" w:hAnsi="宋体" w:eastAsia="宋体" w:cs="宋体"/>
                <w:highlight w:val="none"/>
              </w:rPr>
              <w:t>。</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（2）电子文件</w:t>
            </w:r>
            <w:r>
              <w:rPr>
                <w:rFonts w:hint="eastAsia" w:ascii="宋体" w:hAnsi="宋体" w:eastAsia="宋体" w:cs="宋体"/>
                <w:highlight w:val="none"/>
                <w:lang w:val="en-US" w:eastAsia="zh-CN"/>
              </w:rPr>
              <w:t>1</w:t>
            </w:r>
            <w:r>
              <w:rPr>
                <w:rFonts w:hint="eastAsia" w:ascii="宋体" w:hAnsi="宋体" w:eastAsia="宋体" w:cs="宋体"/>
                <w:highlight w:val="none"/>
              </w:rPr>
              <w:t>份（</w:t>
            </w:r>
            <w:r>
              <w:rPr>
                <w:rFonts w:hint="eastAsia" w:ascii="宋体" w:hAnsi="宋体" w:eastAsia="宋体" w:cs="宋体"/>
                <w:highlight w:val="none"/>
                <w:lang w:eastAsia="zh-CN"/>
              </w:rPr>
              <w:t>☑</w:t>
            </w:r>
            <w:r>
              <w:rPr>
                <w:rFonts w:hint="eastAsia" w:ascii="宋体" w:hAnsi="宋体" w:eastAsia="宋体" w:cs="宋体"/>
                <w:highlight w:val="none"/>
              </w:rPr>
              <w:t xml:space="preserve">扫描件 </w:t>
            </w:r>
            <w:r>
              <w:rPr>
                <w:rFonts w:hint="eastAsia" w:ascii="宋体" w:hAnsi="宋体" w:eastAsia="宋体" w:cs="宋体"/>
                <w:highlight w:val="none"/>
                <w:lang w:eastAsia="zh-CN"/>
              </w:rPr>
              <w:t>□</w:t>
            </w:r>
            <w:r>
              <w:rPr>
                <w:rFonts w:hint="eastAsia" w:ascii="宋体" w:hAnsi="宋体" w:eastAsia="宋体" w:cs="宋体"/>
                <w:highlight w:val="none"/>
              </w:rPr>
              <w:t>Word）。</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采用光盘或U盘刻录提交</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优先U盘</w:t>
            </w:r>
            <w:r>
              <w:rPr>
                <w:rFonts w:hint="eastAsia" w:ascii="宋体" w:hAnsi="宋体" w:eastAsia="宋体" w:cs="宋体"/>
                <w:highlight w:val="none"/>
                <w:lang w:eastAsia="zh-CN"/>
              </w:rPr>
              <w:t>）</w:t>
            </w:r>
            <w:r>
              <w:rPr>
                <w:rFonts w:hint="eastAsia" w:ascii="宋体" w:hAnsi="宋体" w:eastAsia="宋体" w:cs="宋体"/>
                <w:highlight w:val="none"/>
              </w:rPr>
              <w:t>。</w:t>
            </w:r>
          </w:p>
          <w:p>
            <w:pPr>
              <w:snapToGrid w:val="0"/>
              <w:spacing w:line="312" w:lineRule="auto"/>
              <w:rPr>
                <w:rFonts w:hint="eastAsia" w:ascii="宋体" w:hAnsi="宋体" w:eastAsia="宋体" w:cs="宋体"/>
                <w:highlight w:val="none"/>
              </w:rPr>
            </w:pPr>
            <w:r>
              <w:rPr>
                <w:rFonts w:hint="eastAsia" w:ascii="宋体" w:hAnsi="宋体" w:eastAsia="宋体" w:cs="宋体"/>
                <w:highlight w:val="none"/>
                <w:lang w:val="en-US" w:eastAsia="zh-CN"/>
              </w:rPr>
              <w:t>注：投标文件应使用不透明的牛皮纸或档案袋等材料密封包装，并在外包装封面注明“投标文件”或“报价信封”，以及项目编号、项目名称、开标时间等信息，密封处加盖投标公章或授权代表签字均可，避免投标文件被误拆或提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30</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代理费用</w:t>
            </w:r>
          </w:p>
        </w:tc>
        <w:tc>
          <w:tcPr>
            <w:tcW w:w="6058" w:type="dxa"/>
            <w:gridSpan w:val="2"/>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代理费用：</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（1）本项目代理费用由中标人支付。</w:t>
            </w:r>
          </w:p>
          <w:p>
            <w:pPr>
              <w:snapToGrid w:val="0"/>
              <w:spacing w:line="312" w:lineRule="auto"/>
              <w:rPr>
                <w:rFonts w:hint="eastAsia" w:ascii="宋体" w:hAnsi="宋体" w:eastAsia="宋体" w:cs="宋体"/>
                <w:highlight w:val="none"/>
              </w:rPr>
            </w:pPr>
            <w:r>
              <w:rPr>
                <w:rFonts w:hint="eastAsia" w:ascii="宋体" w:hAnsi="宋体" w:eastAsia="宋体" w:cs="宋体"/>
                <w:highlight w:val="none"/>
              </w:rPr>
              <w:t>（2）代理费用收取方式及标准：</w:t>
            </w:r>
          </w:p>
          <w:p>
            <w:pPr>
              <w:snapToGrid w:val="0"/>
              <w:spacing w:line="312" w:lineRule="auto"/>
              <w:rPr>
                <w:rFonts w:hint="eastAsia" w:ascii="宋体" w:hAnsi="宋体" w:eastAsia="宋体" w:cs="宋体"/>
                <w:highlight w:val="none"/>
              </w:rPr>
            </w:pPr>
            <w:r>
              <w:rPr>
                <w:rFonts w:hint="eastAsia" w:cs="宋体"/>
                <w:b/>
                <w:sz w:val="24"/>
                <w:highlight w:val="none"/>
              </w:rPr>
              <w:t>按《国家计委关于印发&lt;招标代理服务收费管理暂行办法&gt;的通知》(计价格[2002]1980号)和国家发改委办公厅《关于招标代理服务收费有关问题的通知》(发改办价格[2003]857号)规定标准以70%的折扣率计取(含税)。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noWrap w:val="0"/>
            <w:vAlign w:val="center"/>
          </w:tcPr>
          <w:p>
            <w:pPr>
              <w:snapToGrid w:val="0"/>
              <w:spacing w:line="312" w:lineRule="auto"/>
              <w:jc w:val="center"/>
              <w:rPr>
                <w:rFonts w:hint="eastAsia" w:ascii="宋体" w:hAnsi="宋体" w:eastAsia="宋体" w:cs="宋体"/>
                <w:highlight w:val="none"/>
              </w:rPr>
            </w:pPr>
            <w:r>
              <w:rPr>
                <w:rFonts w:hint="eastAsia" w:ascii="宋体" w:hAnsi="宋体" w:eastAsia="宋体" w:cs="宋体"/>
                <w:highlight w:val="none"/>
              </w:rPr>
              <w:t>31</w:t>
            </w:r>
          </w:p>
        </w:tc>
        <w:tc>
          <w:tcPr>
            <w:tcW w:w="1984" w:type="dxa"/>
            <w:noWrap w:val="0"/>
            <w:vAlign w:val="center"/>
          </w:tcPr>
          <w:p>
            <w:pPr>
              <w:snapToGrid w:val="0"/>
              <w:spacing w:line="312" w:lineRule="auto"/>
              <w:rPr>
                <w:rFonts w:hint="eastAsia" w:ascii="宋体" w:hAnsi="宋体" w:eastAsia="宋体" w:cs="宋体"/>
                <w:highlight w:val="none"/>
              </w:rPr>
            </w:pPr>
            <w:r>
              <w:rPr>
                <w:rFonts w:hint="eastAsia" w:ascii="宋体" w:hAnsi="宋体" w:eastAsia="宋体" w:cs="宋体"/>
                <w:highlight w:val="none"/>
              </w:rPr>
              <w:t>其他补充事项</w:t>
            </w:r>
          </w:p>
        </w:tc>
        <w:tc>
          <w:tcPr>
            <w:tcW w:w="6058" w:type="dxa"/>
            <w:gridSpan w:val="2"/>
            <w:noWrap w:val="0"/>
            <w:vAlign w:val="center"/>
          </w:tcPr>
          <w:p>
            <w:pPr>
              <w:snapToGrid w:val="0"/>
              <w:spacing w:line="312" w:lineRule="auto"/>
              <w:rPr>
                <w:rFonts w:hint="eastAsia" w:ascii="宋体" w:hAnsi="宋体" w:eastAsia="宋体" w:cs="宋体"/>
                <w:highlight w:val="none"/>
                <w:lang w:eastAsia="zh-CN"/>
              </w:rPr>
            </w:pPr>
            <w:r>
              <w:rPr>
                <w:rFonts w:hint="eastAsia" w:ascii="宋体" w:hAnsi="宋体" w:eastAsia="宋体" w:cs="宋体"/>
                <w:highlight w:val="none"/>
              </w:rPr>
              <w:t>其他补充事项：</w:t>
            </w:r>
            <w:r>
              <w:rPr>
                <w:rFonts w:hint="eastAsia" w:ascii="宋体" w:hAnsi="宋体" w:eastAsia="宋体" w:cs="宋体"/>
                <w:highlight w:val="none"/>
                <w:lang w:val="en-US" w:eastAsia="zh-CN"/>
              </w:rPr>
              <w:t>无</w:t>
            </w:r>
          </w:p>
        </w:tc>
      </w:tr>
    </w:tbl>
    <w:p>
      <w:pPr>
        <w:bidi w:val="0"/>
        <w:rPr>
          <w:highlight w:val="none"/>
        </w:rPr>
      </w:pPr>
    </w:p>
    <w:p>
      <w:pPr>
        <w:rPr>
          <w:rFonts w:cs="宋体"/>
          <w:highlight w:val="none"/>
        </w:rPr>
      </w:pPr>
    </w:p>
    <w:p>
      <w:pPr>
        <w:rPr>
          <w:rFonts w:cs="宋体"/>
          <w:highlight w:val="none"/>
        </w:rPr>
        <w:sectPr>
          <w:pgSz w:w="11906" w:h="16838"/>
          <w:pgMar w:top="1440" w:right="1083" w:bottom="1440" w:left="1083" w:header="851" w:footer="992" w:gutter="0"/>
          <w:cols w:space="720" w:num="1"/>
          <w:titlePg/>
          <w:docGrid w:type="lines" w:linePitch="312" w:charSpace="0"/>
        </w:sectPr>
      </w:pPr>
    </w:p>
    <w:p>
      <w:pPr>
        <w:snapToGrid w:val="0"/>
        <w:spacing w:line="360" w:lineRule="auto"/>
        <w:rPr>
          <w:rFonts w:cs="宋体"/>
          <w:b/>
          <w:bCs/>
          <w:highlight w:val="none"/>
        </w:rPr>
      </w:pPr>
      <w:r>
        <w:rPr>
          <w:rFonts w:hint="eastAsia" w:cs="宋体"/>
          <w:b/>
          <w:bCs/>
          <w:highlight w:val="none"/>
        </w:rPr>
        <w:t>附件：</w:t>
      </w:r>
    </w:p>
    <w:p>
      <w:pPr>
        <w:widowControl/>
        <w:shd w:val="clear" w:color="auto" w:fill="FFFFFF"/>
        <w:snapToGrid w:val="0"/>
        <w:spacing w:before="100" w:beforeAutospacing="1" w:after="100" w:afterAutospacing="1" w:line="360" w:lineRule="auto"/>
        <w:jc w:val="center"/>
        <w:rPr>
          <w:rFonts w:cs="宋体"/>
          <w:color w:val="000000"/>
          <w:sz w:val="21"/>
          <w:szCs w:val="21"/>
          <w:highlight w:val="none"/>
        </w:rPr>
      </w:pPr>
      <w:r>
        <w:rPr>
          <w:rFonts w:hint="eastAsia" w:cs="宋体"/>
          <w:b/>
          <w:bCs/>
          <w:color w:val="000000"/>
          <w:sz w:val="28"/>
          <w:szCs w:val="28"/>
          <w:highlight w:val="none"/>
        </w:rPr>
        <w:t>中小企业划型标准规定</w:t>
      </w:r>
    </w:p>
    <w:p>
      <w:pPr>
        <w:snapToGrid w:val="0"/>
        <w:spacing w:line="360" w:lineRule="auto"/>
        <w:rPr>
          <w:rFonts w:cs="宋体"/>
          <w:highlight w:val="none"/>
        </w:rPr>
      </w:pPr>
      <w:r>
        <w:rPr>
          <w:rFonts w:hint="eastAsia" w:cs="宋体"/>
          <w:highlight w:val="none"/>
        </w:rPr>
        <w:t>一、根据《中华人民共和国中小企业促进法》和《国务院关于进一步促进中小企业发展的若干意见》(国发〔2009〕36号)，制定本规定。</w:t>
      </w:r>
    </w:p>
    <w:p>
      <w:pPr>
        <w:snapToGrid w:val="0"/>
        <w:spacing w:line="360" w:lineRule="auto"/>
        <w:rPr>
          <w:rFonts w:cs="宋体"/>
          <w:highlight w:val="none"/>
        </w:rPr>
      </w:pPr>
      <w:r>
        <w:rPr>
          <w:rFonts w:hint="eastAsia" w:cs="宋体"/>
          <w:highlight w:val="none"/>
        </w:rPr>
        <w:t>二、中小企业划分为中型、小型、微型三种类型，具体标准根据企业从业人员、营业收入、资产总额等指标，结合行业特点制定。</w:t>
      </w:r>
    </w:p>
    <w:p>
      <w:pPr>
        <w:snapToGrid w:val="0"/>
        <w:spacing w:line="360" w:lineRule="auto"/>
        <w:rPr>
          <w:rFonts w:cs="宋体"/>
          <w:highlight w:val="none"/>
        </w:rPr>
      </w:pPr>
      <w:r>
        <w:rPr>
          <w:rFonts w:hint="eastAsia" w:cs="宋体"/>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napToGrid w:val="0"/>
        <w:spacing w:line="360" w:lineRule="auto"/>
        <w:rPr>
          <w:rFonts w:cs="宋体"/>
          <w:highlight w:val="none"/>
        </w:rPr>
      </w:pPr>
      <w:r>
        <w:rPr>
          <w:rFonts w:hint="eastAsia" w:cs="宋体"/>
          <w:highlight w:val="none"/>
        </w:rPr>
        <w:t>四、各行业划型标准为：</w:t>
      </w:r>
    </w:p>
    <w:p>
      <w:pPr>
        <w:snapToGrid w:val="0"/>
        <w:spacing w:line="360" w:lineRule="auto"/>
        <w:rPr>
          <w:rFonts w:cs="宋体"/>
          <w:highlight w:val="none"/>
        </w:rPr>
      </w:pPr>
      <w:r>
        <w:rPr>
          <w:rFonts w:hint="eastAsia" w:cs="宋体"/>
          <w:highlight w:val="none"/>
        </w:rPr>
        <w:t>（一）农、林、牧、渔业。营业收入20000万元以下的为中小微型企业。其中，营业收入500万元及以上的为中型企业，营业收入50万元及以上的为小型企业，营业收入50万元以下的为微型企业。</w:t>
      </w:r>
    </w:p>
    <w:p>
      <w:pPr>
        <w:snapToGrid w:val="0"/>
        <w:spacing w:line="360" w:lineRule="auto"/>
        <w:rPr>
          <w:rFonts w:cs="宋体"/>
          <w:highlight w:val="none"/>
        </w:rPr>
      </w:pPr>
      <w:r>
        <w:rPr>
          <w:rFonts w:hint="eastAsia" w:cs="宋体"/>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360" w:lineRule="auto"/>
        <w:rPr>
          <w:rFonts w:cs="宋体"/>
          <w:highlight w:val="none"/>
        </w:rPr>
      </w:pPr>
      <w:r>
        <w:rPr>
          <w:rFonts w:hint="eastAsia" w:cs="宋体"/>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360" w:lineRule="auto"/>
        <w:rPr>
          <w:rFonts w:cs="宋体"/>
          <w:highlight w:val="none"/>
        </w:rPr>
      </w:pPr>
      <w:r>
        <w:rPr>
          <w:rFonts w:hint="eastAsia" w:cs="宋体"/>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spacing w:line="360" w:lineRule="auto"/>
        <w:rPr>
          <w:rFonts w:cs="宋体"/>
          <w:highlight w:val="none"/>
        </w:rPr>
      </w:pPr>
      <w:r>
        <w:rPr>
          <w:rFonts w:hint="eastAsia" w:cs="宋体"/>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spacing w:line="360" w:lineRule="auto"/>
        <w:rPr>
          <w:rFonts w:cs="宋体"/>
          <w:highlight w:val="none"/>
        </w:rPr>
      </w:pPr>
      <w:r>
        <w:rPr>
          <w:rFonts w:hint="eastAsia" w:cs="宋体"/>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spacing w:line="360" w:lineRule="auto"/>
        <w:rPr>
          <w:rFonts w:cs="宋体"/>
          <w:highlight w:val="none"/>
        </w:rPr>
      </w:pPr>
      <w:r>
        <w:rPr>
          <w:rFonts w:hint="eastAsia" w:cs="宋体"/>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spacing w:line="360" w:lineRule="auto"/>
        <w:rPr>
          <w:rFonts w:cs="宋体"/>
          <w:highlight w:val="none"/>
        </w:rPr>
      </w:pPr>
      <w:r>
        <w:rPr>
          <w:rFonts w:hint="eastAsia" w:cs="宋体"/>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spacing w:line="360" w:lineRule="auto"/>
        <w:rPr>
          <w:rFonts w:cs="宋体"/>
          <w:highlight w:val="none"/>
        </w:rPr>
      </w:pPr>
      <w:r>
        <w:rPr>
          <w:rFonts w:hint="eastAsia" w:cs="宋体"/>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360" w:lineRule="auto"/>
        <w:rPr>
          <w:rFonts w:cs="宋体"/>
          <w:highlight w:val="none"/>
        </w:rPr>
      </w:pPr>
      <w:r>
        <w:rPr>
          <w:rFonts w:hint="eastAsia" w:cs="宋体"/>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360" w:lineRule="auto"/>
        <w:rPr>
          <w:rFonts w:cs="宋体"/>
          <w:highlight w:val="none"/>
        </w:rPr>
      </w:pPr>
      <w:r>
        <w:rPr>
          <w:rFonts w:hint="eastAsia" w:cs="宋体"/>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spacing w:line="360" w:lineRule="auto"/>
        <w:rPr>
          <w:rFonts w:cs="宋体"/>
          <w:highlight w:val="none"/>
        </w:rPr>
      </w:pPr>
      <w:r>
        <w:rPr>
          <w:rFonts w:hint="eastAsia" w:cs="宋体"/>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360" w:lineRule="auto"/>
        <w:rPr>
          <w:rFonts w:cs="宋体"/>
          <w:highlight w:val="none"/>
        </w:rPr>
      </w:pPr>
      <w:r>
        <w:rPr>
          <w:rFonts w:hint="eastAsia" w:cs="宋体"/>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spacing w:line="360" w:lineRule="auto"/>
        <w:rPr>
          <w:rFonts w:cs="宋体"/>
          <w:highlight w:val="none"/>
        </w:rPr>
      </w:pPr>
      <w:r>
        <w:rPr>
          <w:rFonts w:hint="eastAsia" w:cs="宋体"/>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line="360" w:lineRule="auto"/>
        <w:rPr>
          <w:rFonts w:cs="宋体"/>
          <w:highlight w:val="none"/>
        </w:rPr>
      </w:pPr>
      <w:r>
        <w:rPr>
          <w:rFonts w:hint="eastAsia" w:cs="宋体"/>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360" w:lineRule="auto"/>
        <w:rPr>
          <w:rFonts w:cs="宋体"/>
          <w:highlight w:val="none"/>
        </w:rPr>
      </w:pPr>
      <w:r>
        <w:rPr>
          <w:rFonts w:hint="eastAsia" w:cs="宋体"/>
          <w:highlight w:val="none"/>
        </w:rPr>
        <w:t>（十六）其他未列明行业。从业人员300人以下的为中小微型企业。其中，从业人员100人及以上的为中型企业；从业人员10人及以上的为小型企业；从业人员10人以下的为微型企业。</w:t>
      </w:r>
    </w:p>
    <w:p>
      <w:pPr>
        <w:snapToGrid w:val="0"/>
        <w:spacing w:line="360" w:lineRule="auto"/>
        <w:rPr>
          <w:rFonts w:cs="宋体"/>
          <w:highlight w:val="none"/>
        </w:rPr>
      </w:pPr>
      <w:r>
        <w:rPr>
          <w:rFonts w:hint="eastAsia" w:cs="宋体"/>
          <w:highlight w:val="none"/>
        </w:rPr>
        <w:t>五、企业类型的划分以统计部门的统计数据为依据。</w:t>
      </w:r>
    </w:p>
    <w:p>
      <w:pPr>
        <w:snapToGrid w:val="0"/>
        <w:spacing w:line="360" w:lineRule="auto"/>
        <w:rPr>
          <w:rFonts w:cs="宋体"/>
          <w:highlight w:val="none"/>
        </w:rPr>
      </w:pPr>
      <w:r>
        <w:rPr>
          <w:rFonts w:hint="eastAsia" w:cs="宋体"/>
          <w:highlight w:val="none"/>
        </w:rPr>
        <w:t>六、本规定适用于在中华人民共和国境内依法设立的各类所有制和各种组织形式的企业。个体工商户和本规定以外的行业，参照本规定进行划型。</w:t>
      </w:r>
    </w:p>
    <w:p>
      <w:pPr>
        <w:snapToGrid w:val="0"/>
        <w:spacing w:line="360" w:lineRule="auto"/>
        <w:rPr>
          <w:rFonts w:cs="宋体"/>
          <w:highlight w:val="none"/>
        </w:rPr>
      </w:pPr>
      <w:r>
        <w:rPr>
          <w:rFonts w:hint="eastAsia" w:cs="宋体"/>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napToGrid w:val="0"/>
        <w:spacing w:line="360" w:lineRule="auto"/>
        <w:rPr>
          <w:rFonts w:cs="宋体"/>
          <w:highlight w:val="none"/>
        </w:rPr>
      </w:pPr>
      <w:r>
        <w:rPr>
          <w:rFonts w:hint="eastAsia" w:cs="宋体"/>
          <w:highlight w:val="none"/>
        </w:rPr>
        <w:t>八、本规定由工业和信息化部、国家统计局会同有关部门根据《国民经济行业分类》修订情况和企业发展变化情况适时修订。</w:t>
      </w:r>
    </w:p>
    <w:p>
      <w:pPr>
        <w:snapToGrid w:val="0"/>
        <w:spacing w:line="360" w:lineRule="auto"/>
        <w:rPr>
          <w:rFonts w:cs="宋体"/>
          <w:highlight w:val="none"/>
        </w:rPr>
      </w:pPr>
      <w:r>
        <w:rPr>
          <w:rFonts w:hint="eastAsia" w:cs="宋体"/>
          <w:highlight w:val="none"/>
        </w:rPr>
        <w:t>九、本规定由工业和信息化部、国家统计局会同有关部门负责解释。</w:t>
      </w:r>
    </w:p>
    <w:p>
      <w:pPr>
        <w:snapToGrid w:val="0"/>
        <w:spacing w:line="360" w:lineRule="auto"/>
        <w:rPr>
          <w:rFonts w:cs="宋体"/>
          <w:b/>
          <w:highlight w:val="none"/>
        </w:rPr>
      </w:pPr>
      <w:r>
        <w:rPr>
          <w:rFonts w:hint="eastAsia" w:cs="宋体"/>
          <w:highlight w:val="none"/>
        </w:rPr>
        <w:t>十、本规定自发布之日起执行，原国家经贸委、原国家计委、财政部和国家统计局2003年颁布的《中小企业标准暂行规定》同时废止。</w:t>
      </w:r>
      <w:r>
        <w:rPr>
          <w:rFonts w:hint="eastAsia" w:cs="宋体"/>
          <w:b/>
          <w:highlight w:val="none"/>
        </w:rPr>
        <w:br w:type="page"/>
      </w:r>
    </w:p>
    <w:p>
      <w:pPr>
        <w:adjustRightInd w:val="0"/>
        <w:snapToGrid w:val="0"/>
        <w:spacing w:beforeLines="50" w:afterLines="50" w:line="332" w:lineRule="auto"/>
        <w:ind w:firstLine="480" w:firstLineChars="200"/>
        <w:rPr>
          <w:rFonts w:hint="eastAsia" w:ascii="宋体" w:hAnsi="宋体" w:eastAsia="宋体" w:cs="宋体"/>
          <w:highlight w:val="none"/>
        </w:rPr>
      </w:pPr>
      <w:bookmarkStart w:id="47" w:name="_Toc38030149"/>
      <w:bookmarkStart w:id="48" w:name="_Toc28619"/>
      <w:bookmarkStart w:id="49" w:name="_Toc1762322514"/>
      <w:bookmarkStart w:id="50" w:name="_Toc11149"/>
      <w:bookmarkStart w:id="51" w:name="_Toc16998"/>
      <w:bookmarkStart w:id="52" w:name="_Toc937455070"/>
      <w:bookmarkStart w:id="53" w:name="_Toc14666"/>
      <w:bookmarkStart w:id="54" w:name="_Toc525052846"/>
      <w:bookmarkStart w:id="55" w:name="_Toc1168671576"/>
      <w:bookmarkStart w:id="56" w:name="_Toc1481241717"/>
      <w:bookmarkStart w:id="57" w:name="_Toc1380332034"/>
      <w:bookmarkStart w:id="58" w:name="_Toc1298913388"/>
      <w:r>
        <w:rPr>
          <w:rFonts w:hint="eastAsia" w:ascii="宋体" w:hAnsi="宋体" w:eastAsia="宋体" w:cs="宋体"/>
          <w:highlight w:val="none"/>
        </w:rPr>
        <w:t>一、总则</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1.预算资金及来源</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1.1 本项目已经</w:t>
      </w:r>
      <w:r>
        <w:rPr>
          <w:rFonts w:hint="eastAsia" w:cs="宋体"/>
          <w:b/>
          <w:bCs/>
          <w:highlight w:val="yellow"/>
          <w:u w:val="single"/>
          <w:lang w:eastAsia="zh-CN"/>
        </w:rPr>
        <w:t>国家税务总局十堰市税务局</w:t>
      </w:r>
      <w:r>
        <w:rPr>
          <w:rFonts w:hint="eastAsia" w:ascii="宋体" w:hAnsi="宋体" w:eastAsia="宋体" w:cs="宋体"/>
          <w:highlight w:val="none"/>
        </w:rPr>
        <w:t>批准立项。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1.2 本项目预算资金见投标人须知前附表，已列入</w:t>
      </w:r>
      <w:r>
        <w:rPr>
          <w:rFonts w:hint="eastAsia" w:cs="宋体"/>
          <w:b/>
          <w:bCs/>
          <w:highlight w:val="yellow"/>
          <w:u w:val="single"/>
          <w:lang w:eastAsia="zh-CN"/>
        </w:rPr>
        <w:t>国家税务总局十堰市税务局</w:t>
      </w:r>
      <w:r>
        <w:rPr>
          <w:rFonts w:hint="eastAsia" w:ascii="宋体" w:hAnsi="宋体" w:eastAsia="宋体" w:cs="宋体"/>
          <w:highlight w:val="none"/>
        </w:rPr>
        <w:t>预算。</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2.合格的产品和服务</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 本项目所涉及的所有产品和服务均应来自中国境内（指关境内），合同金额的支付也仅限于这些产品和服务。</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2.2 合格的产品和服务即采购需求见招标文件（技术部分）。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 投标人应保证所提供的产品及服务免受第三方提出侵犯其知识产权（专利权、商标权、工业设计权及使用权）的请求及起诉。</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3.合格的投标人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3.1一般规定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3.1.1投标人应遵守《</w:t>
      </w:r>
      <w:r>
        <w:rPr>
          <w:rFonts w:hint="eastAsia" w:ascii="宋体" w:hAnsi="宋体" w:eastAsia="宋体" w:cs="宋体"/>
          <w:highlight w:val="none"/>
          <w:lang w:eastAsia="zh-CN"/>
        </w:rPr>
        <w:t>中华人民共和国政府采购法</w:t>
      </w:r>
      <w:r>
        <w:rPr>
          <w:rFonts w:hint="eastAsia" w:ascii="宋体" w:hAnsi="宋体" w:eastAsia="宋体" w:cs="宋体"/>
          <w:highlight w:val="none"/>
        </w:rPr>
        <w:t>》及其实施条例、《政府采购货物和服务招标投标管理办法》、《政府采购质疑和投诉办法》及有关政府采购的规定，同时还应遵守有关法律、法规和规章的强制性规定。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3.1.2投标人的资格要求及本项目的特定资格要求见投标人须知前附表。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3.1.3资格条件中所称“重大违法记录”，是指投标人因违法经营受到刑事处罚或者责令停产停业、吊销许可证或者执照、较大数额罚款等行政处罚。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投标人在参加政府采购活动前3年内因违法经营被禁止在一定期限内参加政府采购活动，期限届满的，可以参加政府采购活动。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“较大数额罚款”认定为200万元以上的罚款，法律、行政法规以及国务院有关部门明确规定相关领域“较大数额罚款”标准高于200万元的，从其规定。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3.1.4信用记录要求</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3.2联合体</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3.2.1若本项目接受联合体投标，则两个以上的自然人、法人或者其他组织可以组成一个联合体，以一个投标人的身份共同参加政府采购。</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3.2.2以联合体形式参加投标的，联合体各方应按第二章要求提供资格条件材料。</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3.2.3联合体中有同类资质的投标人按照联合体分工承担相同工作的，应当按照资质等级较低的投标人确定资质等级。</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3.2.4联合体应当提交联合协议，载明联合体各方承担的工作和义务。</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3.2.5联合体各方应当共同与采购人签订采购合同，就采购合同约定的事项对采购人承担连带责任。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3.2.6以联合体形式参加政府采购活动的，联合体各方不得再单独参加或者与其他投标人另外组成联合体参加同一合同项下的政府采购活动。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3.3禁止规定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3.3.1单位负责人为同一人或者存在直接控股、管理关系的不同投标人，不得参加同一采购包的政府采购活动。否则投标均无效。</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3.3.2除单一来源采购项目外，为采购项目提供整体设计、规范编制或者项目管理、监理、检测等服务的供应商，不得再参加该采购项目的其他采购活动。否则投标无效。</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4.投标费用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4.1 投标人应承担所有与编写、提交投标文件有关的费用，不论招标的结果如何，采购人在任何情况下均无义务和责任承担这些费用。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二、招标文件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5.招标文件构成</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第一部分 商务部分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（1）招标公告</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（2）投标人须知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（3）评标方法及标准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（4）政府采购合同文本</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（5）投标文件格式</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第二部分 技术部分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6.招标文件询问、澄清或修改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6.1 投标人对招标文件如有疑问的，可以向采购人或者采购代理机构提出询问，采购人或者采购代理机构应当在3个工作日内作出答复，但答复的内容不得涉及商业秘密。如有必要，采购人或者采购代理机构可对招标文件进行澄清或者修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6.2 采购人或者采购代理机构可主动对招标文件进行必要的澄清或者修改，但不得改变采购标的和资格条件。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6.3 澄清或者修改应当在原公告发布媒体上发布澄清公告，线上采购项目还应通过国家税务总局政府采购评审管理系统（以下简称“评审管理系统”）通知所有获取招标文件的潜在投标人。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6.5 澄清或者修改的内容为招标文件的组成部分。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三、投标文件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7．投标文件编制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7.1投标文件的编制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7.1.1投标人应先仔细阅读招标文件的全部内容后，再进行投标文件的编制。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7.1.2投标文件应满足招标文件提出的实质性要求和条件，并保证其所提交的全部资料是不可割离且真实、有效、准确、完整和不具有任何误导性的，否则造</w:t>
      </w:r>
      <w:r>
        <w:rPr>
          <w:rFonts w:hint="eastAsia" w:ascii="宋体" w:hAnsi="宋体" w:eastAsia="宋体" w:cs="宋体"/>
          <w:highlight w:val="none"/>
          <w:lang w:eastAsia="zh-CN"/>
        </w:rPr>
        <w:t>成的</w:t>
      </w:r>
      <w:r>
        <w:rPr>
          <w:rFonts w:hint="eastAsia" w:ascii="宋体" w:hAnsi="宋体" w:eastAsia="宋体" w:cs="宋体"/>
          <w:highlight w:val="none"/>
        </w:rPr>
        <w:t>不利后果由投标人承担责任。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7.2投标文件的语言</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7.2.1除招标文件另有规定外，投标文件应使用中文文本并使用中文简化字，若有不同文本，以中文简化字文本为准。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7.2.2投标文件提供的全部资料中，若属于非中文描述的，应同时提供中文简化字译本。</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7.2.3除在招标文件的要求中另有规定外，投标文件计量单位应使用中华人民共和国法定计量单位。</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8.投标文件的组成</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8.1 投标文件包括商务部分和技术部分。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8.2 投标文件商务部分主要包括的文件和资料：</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8.2.1 资格证明文件，见投标人须知前附表。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8.2.2 其他文件及资料，见投标人须知前附表。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8.3 投标文件技术部分主要包括的文件及资料，见投标人须知前附表。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8.4 证明资料如标明有效期的，必须在有效期内。</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9.报价要求</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9.1 除招标文件另有规定外，投标应以人民币报价，线上采购项目还须按照投标工具的流程和提示编制并上传投标报价表。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9.2 本项目不接受任何形式的赠送、“零”报价和折扣报价。</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9.3 本项目以投标报价为依据计算价格分。投标报价应包括招标文件中要求投标人承担所有工作内容的全部费用。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9.5 最低报价不能作为中标的保证。</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10.投标文件的书写、密封、签署、盖章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10.1书写</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10.1.1投标文件应使用不能擦去的墨料或墨水打印、书写。</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10.1.2投标文件内容应没有涂改或行间插字。若有前述改动，在改动处应由单位负责人（投标人代表）签字确认或加盖投标人的单位公章或校正章。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10.2密封</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10.2.1投标文件应胶装或装订成册，避免材料散装、脱落。</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10.3签署、盖章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10.3.1投标文件中要求签字处应由投标人的单位负责人（投标人代表）签字或加盖个人印章。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10.3.2投标文件必须按照招标文件给出文件格式的签署要求进行签署。</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10.3.3投标人在“投标函”“法定代表人授权委托书”上应当按格式要求加盖与投标人名称全称一致的标准公章，并按照招标文件第五章投标文件格式中的相应格式文件要求签署全名或加盖名章。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10.3.4投标文件中的“盖章”指加盖投标人的“公章”，而非“合同专用章”、“投标专用章”等其他非公章。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10.3.5线上采购项目可以使用电子签章。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11．投标有效期</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11.1 投标有效期见投标人须知前附表，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11.2 特殊情况下，在原投标有效期期满之前，采购人或者采购代理机构可征得投标人同意延长投标有效期。</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四、投标文件递交</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12．投标文件递交</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12.1 投标人应当在投标人须知前附表要求提交投标文件截止时间前，根据《投标人须知前附表》载明方式提交投标文件。提交投标文件截止时间后，递交投标文件的投标将被拒绝。</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13．投标文件补充、修改或撤回</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13.2 线上采购项目，投标人在投标截止时间前，可以登录评审管理系统对所提交的投标文件进行撤回、补充、修改、重新提交。补充、修改的内容应当按照招标文件要求签署、盖章。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13.3 提交投标文件截止时间后，不支持对已提交的投标文件作任何补充、修改或者撤回。</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五、开标与评标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14．开标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14.1 开标在招标文件确定的提交投标文件截止时间的同一时间进行。开标地点详见投标人须知前附表。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14.2 开标由采购人或者采购代理机构主持，邀请投标人参加。评标委员会成员不得参加开标活动。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14.4 开标过程由采购人或者采购代理机构负责记录，由参加开标的各投标人代表和相关工作人员签字确认后随采购文件一并存档。投标人未参加开标的，视同认可开标结果。</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14.6 在政府采购活动中，采购人员及相关人员与投标人有下列利害关系之一的，应当回避：</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（1）参加采购活动前3年内与投标人存在劳动关系；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（2）参加采购活动前3年内担任投标人的董事、监事；</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（3）参加采购活动前3年内是投标人的控股股东或者实际控制人；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（4）与投标人的法定代表人或者负责人有夫妻、直系血亲、三代以内旁系血亲或者近姻亲关系；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（5）与投标人有其他可能影响政府采购活动公平、公正进行的关系。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14.7 对线上采购项目，采购人或者采购代理机构将在投标人须知前附表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15．投标资格审查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15.1 公开招标采购项目开标结束后，由采购人或者采购代理机构依法对投标人的资格进行审查，以确定投标人是否具备投标资格。</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15.1.1 审查投标人按照8.2.1提交的“资格证明文件”。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15.1.2 信用记录审查。见投标人须知前附表。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15.2 未通过资格审查的投标人，其投标无效。</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15.3 合格投标人不足3家的，不得评标。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16．评标委员会的组成</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16.1 采购人或者采购代理机构根据有关法律法规规定组建评标委员会，评标委员会由采购人代表和评审专家组成。</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17．投标符合性审查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17.1 评标委员会对符合资格的投标人的投标文件进行符合性审查，以确定其是否符合招标文件的商务、技术等实质性要求。</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17.2 未通过符合性审查的投标人，其投标无效。</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17.3 通过符合性审查的投标人不足3家的，应予以废标。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18．投标文件的澄清</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18.1对于投标文件中含义不明确、同类问题表述不一致或者有明显文字和计算错误的内容，评标委员会应当以书面形式要求投标人作出必要的澄清、说明或者补正。</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18.3关于投标描述（即投标文件中描述的内容）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（1）投标描述前后不一致且不涉及证明材料的：按照本节第18.1条规定执行。</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（2）投标描述与证明材料不一致或多份证明材料之间不一致的：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①评标委员会将要求投标人进行书面澄清，无法澄清的将按照不利于投标人的内容进行评标。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18.4 除评标委员会要求投标人做出的澄清、说明或者补正以外，评标委员会不接受投标人的任何询问、说明、</w:t>
      </w:r>
      <w:r>
        <w:rPr>
          <w:rFonts w:hint="eastAsia" w:ascii="宋体" w:hAnsi="宋体" w:eastAsia="宋体" w:cs="宋体"/>
          <w:highlight w:val="none"/>
          <w:lang w:eastAsia="zh-CN"/>
        </w:rPr>
        <w:t>更改</w:t>
      </w:r>
      <w:r>
        <w:rPr>
          <w:rFonts w:hint="eastAsia" w:ascii="宋体" w:hAnsi="宋体" w:eastAsia="宋体" w:cs="宋体"/>
          <w:highlight w:val="none"/>
        </w:rPr>
        <w:t>文件。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18.5 投标人的澄清必须在规定的时间内提交。</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19．核价原则</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19.1 投标文件报价出现前后不一致的，除招标文件另有规定外，按照下列规定修正：</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（1）投标文件中开标一览表（总报价表）内容与投标文件中相应内容不一致的，以开标一览表（总报价表）为准；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（5）同时出现两种以上不一致的，按照前款规定的顺序修正。修正后的报价按照18.2条的规定经投标人确认后产生约束力，投标人不确认的，其投标无效。</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20．投标无效</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20.1 投标人及投标文件有下列情况之一的，应当在资格审查时按照投标无效处理：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 不具备招标文件中规定的资格要求的；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 投标文件组成中“资格证明文件”未提供或无效的；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 未通过信用记录审查或未提供相关证明材料的。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20.2 投标人及投标文件有下列情况之一的，应当在符合性审查时按照投标无效处理：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 投标文件组成中除“资格证明文件”外，★条款相关文件及资料未提供或提供无效的；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 投标文件未按招标文件要求签署、盖章的；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 投标报价超过招标文件中规定的预算金额或者最高限价的；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 投标有效期不足的；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（5） 投标文件含有采购人不能接受的附加条件的；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20.3 除20.1及20.2情形外，投标人及投标文件有下列情况之一的，应当按照投标无效处理：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 提供虚假投标文件材料的；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 投标人串通投标的；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 投标报价明显低于其他通过符合性审查投标人的报价，且不能证明其报价合理性的。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 法律、法规和招标文件规定的其他无效情形。</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21．比较与评价</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21.1 评标委员会按照招标文件中规定的评标方法和标准，对符合性审查合格的投标文件进行商务和技术评估，综合比较与评价。</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21.2 价格分应当采用低价优先法计算。小型、微型企业和监狱企业、残疾人福利性单位的投标报价按照投标人须知前附表规定，分别给予扣除，并以扣除后的报价计算价格分。未提供《中小型企业声明函》、《监狱企业证明文件》、《残疾人福利性单位声明函》的，价格不予扣除。同一投标人不得重复享受价格扣除政策。</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21.3 评标委员会各成员独立对每个投标人的投标文件进行评价，并汇总得出每个投标人的评审得分。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21.5 评标方法及标准详见招标文件商务部分第三章。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22．废标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22.1 在招标采购中，出现下列情形之一的，应予废标：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（1）符合专业条件的供应商或者对招标文件作实质响应的供应商不足三家的；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（3）投标人的报价均超过了采购预算，采购人不能支付的；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（4）因重大变故，采购任务取消的。</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22.2 废标后，采购人或者采购代理机构将废标理由通知所有投标人。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六、中标和合同</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23．中标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采购人自行组织招标的，采购人应当在评标结束后5个工作日内，按评标报告推荐的中标候选人顺序确定中标人。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23.2 采购人或者采购代理机构应当自中标人确定之日起2个工作日内，在投标人须知前附表规定的媒体上公告中标结果，招标文件应随中标结果同时公告。中标公告期限为1个工作日。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23.4 中标通知书发出后，采购人或者采购代理机构不得违法改变中标结果，中标人无正当理由不得放弃中标。</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23.5 中标通知书对采购人和中标人具有同等法律效力。</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24．签订合同</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24.1 采购人应当自中标通知书发出之日起30日内，按照招标文件和中标人投标文件的规定，与中标人签订合同。线上采购项目可通过评审管理系统签订合同。</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24.2 所签订的合同不得对招标文件确定的事项和中标人投标文件作实质性修改。</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24.3 采购人不得向中标人提出任何不合理的要求作为签订合同的条件。</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24.4 中标人拒绝与采购人签订合同的，采购人可以按照评审报告推荐的中标候选人名单排序，确定下一候选人为中标人，也可以重新开展政府采购活动。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25．履约保证金</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25.1 需提交履约保证金的项目，中标人应在合同签订之日起30日内，按照投标人须知前附表的规定，向采购人提交履约保证金。</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七、询问和质疑</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26. 询问</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27．质疑</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见投标人须知前附表。</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27.2在法定质疑期内，针对同一采购程序环节的质疑应一次性提出。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27.3质疑人应知其权益受到损害之日，是指： </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（1）对可以质疑的采购文件提出质疑的，为收到采购文件之日或者采购文件公告期限届满之日；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（2）对采购过程提出质疑的，为各采购程序环节结束之日；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（3）对中标结果提出质疑的，为中标结果公告期限届满之日。</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27.5 采购人或者代理机构应当在收到供应商的质疑函后7个工作日内，对质疑内容作出答复，书面形式通知质疑供应商和其他有关供应商，但答复内容不得涉及商业秘密。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27.6质疑人对采购人、采购代理机构的答复不满意或者采购人、采购代理机构未在规定的时间内作出答复的，可以在答复期满后15个工作日内向同级人民政府财政部门投诉。</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27.7投诉应当有明确的请求和必要的证明材料。投诉的事项不得超出已质疑事项的范围。</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八、其他</w:t>
      </w:r>
    </w:p>
    <w:p>
      <w:pPr>
        <w:adjustRightInd w:val="0"/>
        <w:snapToGrid w:val="0"/>
        <w:spacing w:beforeLines="50" w:afterLines="50" w:line="332" w:lineRule="auto"/>
        <w:ind w:firstLine="480" w:firstLineChars="200"/>
        <w:rPr>
          <w:rFonts w:hint="eastAsia" w:ascii="宋体" w:hAnsi="宋体" w:eastAsia="宋体" w:cs="宋体"/>
          <w:highlight w:val="none"/>
        </w:rPr>
      </w:pPr>
      <w:bookmarkStart w:id="59" w:name="_Toc319519285"/>
      <w:bookmarkStart w:id="60" w:name="_Toc262111390"/>
      <w:bookmarkStart w:id="61" w:name="_Toc233181902"/>
      <w:bookmarkStart w:id="62" w:name="_Toc217989361"/>
      <w:r>
        <w:rPr>
          <w:rFonts w:hint="eastAsia" w:ascii="宋体" w:hAnsi="宋体" w:eastAsia="宋体" w:cs="宋体"/>
          <w:highlight w:val="none"/>
        </w:rPr>
        <w:t>28．保密</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28.2 评标委员会成员和参与评标工作的有关人员对评标情况以及在评标过程中获悉的国家秘密、商业秘密负有保密责任。</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 知识产权与规避专利、版权纠纷</w:t>
      </w:r>
      <w:bookmarkEnd w:id="59"/>
      <w:bookmarkEnd w:id="60"/>
      <w:bookmarkEnd w:id="61"/>
      <w:bookmarkEnd w:id="62"/>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29.1 知识产权</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29.2 规避专利、版权纠纷</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29.2.1 投标人应保证其投标方案中的有关软件、文件、图纸等没有违反有关专利和版权等知识产权的规定。</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29.2.2 中标人应保证采购人在中华人民共和国使用本项目成果任何一部分、或接受乙方服务时，免受第三方提出的侵犯其专利权、商标权或工业设计权等知识产权的索赔或起诉。</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adjustRightInd w:val="0"/>
        <w:snapToGrid w:val="0"/>
        <w:spacing w:beforeLines="50" w:afterLines="50" w:line="332" w:lineRule="auto"/>
        <w:ind w:firstLine="480" w:firstLineChars="200"/>
        <w:rPr>
          <w:rFonts w:hint="eastAsia" w:ascii="宋体" w:hAnsi="宋体" w:eastAsia="宋体" w:cs="宋体"/>
          <w:highlight w:val="none"/>
        </w:rPr>
      </w:pPr>
      <w:r>
        <w:rPr>
          <w:rFonts w:hint="eastAsia" w:ascii="宋体" w:hAnsi="宋体" w:eastAsia="宋体" w:cs="宋体"/>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rPr>
          <w:rFonts w:hint="eastAsia" w:ascii="宋体" w:hAnsi="宋体" w:eastAsia="宋体" w:cs="宋体"/>
          <w:bCs/>
          <w:snapToGrid/>
          <w:kern w:val="2"/>
          <w:sz w:val="32"/>
          <w:highlight w:val="none"/>
        </w:rPr>
      </w:pPr>
      <w:r>
        <w:rPr>
          <w:rFonts w:hint="eastAsia" w:ascii="宋体" w:hAnsi="宋体" w:eastAsia="宋体" w:cs="宋体"/>
          <w:bCs/>
          <w:snapToGrid/>
          <w:kern w:val="2"/>
          <w:sz w:val="32"/>
          <w:highlight w:val="none"/>
        </w:rPr>
        <w:br w:type="page"/>
      </w:r>
    </w:p>
    <w:p>
      <w:pPr>
        <w:pStyle w:val="3"/>
        <w:autoSpaceDE/>
        <w:autoSpaceDN/>
        <w:snapToGrid w:val="0"/>
        <w:spacing w:line="240" w:lineRule="auto"/>
        <w:jc w:val="center"/>
        <w:rPr>
          <w:rFonts w:ascii="宋体" w:hAnsi="宋体" w:eastAsia="宋体" w:cs="宋体"/>
          <w:bCs/>
          <w:snapToGrid/>
          <w:kern w:val="2"/>
          <w:sz w:val="32"/>
          <w:highlight w:val="none"/>
        </w:rPr>
      </w:pPr>
      <w:r>
        <w:rPr>
          <w:rFonts w:hint="eastAsia" w:ascii="宋体" w:hAnsi="宋体" w:eastAsia="宋体" w:cs="宋体"/>
          <w:bCs/>
          <w:snapToGrid/>
          <w:kern w:val="2"/>
          <w:sz w:val="32"/>
          <w:highlight w:val="none"/>
        </w:rPr>
        <w:t>第三章评标方法及标准</w:t>
      </w:r>
      <w:bookmarkEnd w:id="47"/>
      <w:bookmarkEnd w:id="48"/>
      <w:bookmarkEnd w:id="49"/>
      <w:bookmarkEnd w:id="50"/>
      <w:bookmarkEnd w:id="51"/>
      <w:bookmarkEnd w:id="52"/>
      <w:bookmarkEnd w:id="53"/>
      <w:bookmarkEnd w:id="54"/>
      <w:bookmarkEnd w:id="55"/>
      <w:bookmarkEnd w:id="56"/>
      <w:bookmarkEnd w:id="57"/>
      <w:bookmarkEnd w:id="58"/>
    </w:p>
    <w:p>
      <w:pPr>
        <w:snapToGrid w:val="0"/>
        <w:spacing w:before="290"/>
        <w:jc w:val="center"/>
        <w:rPr>
          <w:rFonts w:cs="宋体"/>
          <w:sz w:val="28"/>
          <w:szCs w:val="28"/>
          <w:highlight w:val="none"/>
        </w:rPr>
      </w:pPr>
      <w:r>
        <w:rPr>
          <w:rFonts w:hint="eastAsia" w:cs="宋体"/>
          <w:b/>
          <w:bCs/>
          <w:spacing w:val="-4"/>
          <w:sz w:val="28"/>
          <w:szCs w:val="28"/>
          <w:highlight w:val="none"/>
        </w:rPr>
        <w:t>评标办法前附表</w:t>
      </w:r>
    </w:p>
    <w:tbl>
      <w:tblPr>
        <w:tblStyle w:val="35"/>
        <w:tblpPr w:leftFromText="180" w:rightFromText="180" w:vertAnchor="text" w:horzAnchor="page" w:tblpXSpec="center" w:tblpY="172"/>
        <w:tblOverlap w:val="never"/>
        <w:tblW w:w="100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040"/>
        <w:gridCol w:w="1821"/>
        <w:gridCol w:w="6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093" w:type="dxa"/>
            <w:gridSpan w:val="2"/>
            <w:shd w:val="clear" w:color="auto" w:fill="D7D7D7"/>
            <w:vAlign w:val="center"/>
          </w:tcPr>
          <w:p>
            <w:pPr>
              <w:snapToGrid w:val="0"/>
              <w:spacing w:line="360" w:lineRule="auto"/>
              <w:jc w:val="center"/>
              <w:rPr>
                <w:rFonts w:cs="宋体"/>
                <w:sz w:val="21"/>
                <w:szCs w:val="21"/>
                <w:highlight w:val="none"/>
              </w:rPr>
            </w:pPr>
            <w:r>
              <w:rPr>
                <w:rFonts w:hint="eastAsia" w:cs="宋体"/>
                <w:sz w:val="21"/>
                <w:szCs w:val="21"/>
                <w:highlight w:val="none"/>
              </w:rPr>
              <w:t>条款号</w:t>
            </w:r>
          </w:p>
        </w:tc>
        <w:tc>
          <w:tcPr>
            <w:tcW w:w="1821" w:type="dxa"/>
            <w:shd w:val="clear" w:color="auto" w:fill="D7D7D7"/>
            <w:vAlign w:val="center"/>
          </w:tcPr>
          <w:p>
            <w:pPr>
              <w:snapToGrid w:val="0"/>
              <w:spacing w:line="360" w:lineRule="auto"/>
              <w:jc w:val="center"/>
              <w:rPr>
                <w:rFonts w:cs="宋体"/>
                <w:sz w:val="21"/>
                <w:szCs w:val="21"/>
                <w:highlight w:val="none"/>
              </w:rPr>
            </w:pPr>
            <w:r>
              <w:rPr>
                <w:rFonts w:hint="eastAsia" w:cs="宋体"/>
                <w:sz w:val="21"/>
                <w:szCs w:val="21"/>
                <w:highlight w:val="none"/>
              </w:rPr>
              <w:t>评审因素</w:t>
            </w:r>
          </w:p>
        </w:tc>
        <w:tc>
          <w:tcPr>
            <w:tcW w:w="6141" w:type="dxa"/>
            <w:shd w:val="clear" w:color="auto" w:fill="D7D7D7"/>
            <w:vAlign w:val="center"/>
          </w:tcPr>
          <w:p>
            <w:pPr>
              <w:snapToGrid w:val="0"/>
              <w:spacing w:line="360" w:lineRule="auto"/>
              <w:jc w:val="center"/>
              <w:rPr>
                <w:rFonts w:cs="宋体"/>
                <w:sz w:val="21"/>
                <w:szCs w:val="21"/>
                <w:highlight w:val="none"/>
              </w:rPr>
            </w:pPr>
            <w:r>
              <w:rPr>
                <w:rFonts w:hint="eastAsia" w:cs="宋体"/>
                <w:sz w:val="21"/>
                <w:szCs w:val="21"/>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53" w:type="dxa"/>
            <w:vMerge w:val="restart"/>
            <w:vAlign w:val="center"/>
          </w:tcPr>
          <w:p>
            <w:pPr>
              <w:snapToGrid w:val="0"/>
              <w:spacing w:line="360" w:lineRule="auto"/>
              <w:jc w:val="center"/>
              <w:rPr>
                <w:rFonts w:cs="宋体"/>
                <w:sz w:val="21"/>
                <w:szCs w:val="21"/>
                <w:highlight w:val="none"/>
              </w:rPr>
            </w:pPr>
            <w:r>
              <w:rPr>
                <w:rFonts w:hint="eastAsia" w:cs="宋体"/>
                <w:sz w:val="21"/>
                <w:szCs w:val="21"/>
                <w:highlight w:val="none"/>
              </w:rPr>
              <w:t>2.1.1</w:t>
            </w:r>
          </w:p>
        </w:tc>
        <w:tc>
          <w:tcPr>
            <w:tcW w:w="1040" w:type="dxa"/>
            <w:vMerge w:val="restart"/>
            <w:vAlign w:val="center"/>
          </w:tcPr>
          <w:p>
            <w:pPr>
              <w:snapToGrid w:val="0"/>
              <w:spacing w:line="360" w:lineRule="auto"/>
              <w:jc w:val="center"/>
              <w:rPr>
                <w:rFonts w:cs="宋体"/>
                <w:sz w:val="21"/>
                <w:szCs w:val="21"/>
                <w:highlight w:val="none"/>
              </w:rPr>
            </w:pPr>
            <w:r>
              <w:rPr>
                <w:rFonts w:hint="eastAsia" w:cs="宋体"/>
                <w:sz w:val="21"/>
                <w:szCs w:val="21"/>
                <w:highlight w:val="none"/>
              </w:rPr>
              <w:t>资格性审 查标准</w:t>
            </w: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具有独立承担民事责任的能力</w:t>
            </w:r>
          </w:p>
        </w:tc>
        <w:tc>
          <w:tcPr>
            <w:tcW w:w="6141" w:type="dxa"/>
            <w:vAlign w:val="center"/>
          </w:tcPr>
          <w:p>
            <w:pPr>
              <w:snapToGrid w:val="0"/>
              <w:spacing w:line="360" w:lineRule="auto"/>
              <w:jc w:val="left"/>
              <w:rPr>
                <w:rFonts w:cs="宋体"/>
                <w:sz w:val="21"/>
                <w:szCs w:val="21"/>
                <w:highlight w:val="none"/>
              </w:rPr>
            </w:pPr>
            <w:r>
              <w:rPr>
                <w:rFonts w:hint="eastAsia" w:cs="宋体"/>
                <w:sz w:val="21"/>
                <w:szCs w:val="21"/>
                <w:highlight w:val="none"/>
              </w:rPr>
              <w:t>法人或者其他组织的营业执照等证明文件（复印件），自然人的身份证明（复印件）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具有良好的商业信誉和健全的财务会计制度</w:t>
            </w:r>
          </w:p>
        </w:tc>
        <w:tc>
          <w:tcPr>
            <w:tcW w:w="6141" w:type="dxa"/>
            <w:vAlign w:val="center"/>
          </w:tcPr>
          <w:p>
            <w:pPr>
              <w:snapToGrid w:val="0"/>
              <w:spacing w:line="360" w:lineRule="auto"/>
              <w:jc w:val="left"/>
              <w:rPr>
                <w:rFonts w:cs="宋体"/>
                <w:b/>
                <w:bCs/>
                <w:sz w:val="21"/>
                <w:szCs w:val="21"/>
                <w:highlight w:val="none"/>
              </w:rPr>
            </w:pPr>
            <w:r>
              <w:rPr>
                <w:rFonts w:hint="eastAsia" w:cs="宋体"/>
                <w:b/>
                <w:bCs/>
                <w:sz w:val="21"/>
                <w:szCs w:val="21"/>
                <w:highlight w:val="none"/>
              </w:rPr>
              <w:t>由供应商对以下内容提供书面承诺或提供相应证明材料。</w:t>
            </w:r>
          </w:p>
          <w:p>
            <w:pPr>
              <w:snapToGrid w:val="0"/>
              <w:spacing w:line="360" w:lineRule="auto"/>
              <w:jc w:val="left"/>
              <w:rPr>
                <w:rFonts w:cs="宋体"/>
                <w:sz w:val="21"/>
                <w:szCs w:val="21"/>
                <w:highlight w:val="none"/>
              </w:rPr>
            </w:pPr>
            <w:r>
              <w:rPr>
                <w:rFonts w:hint="eastAsia" w:cs="宋体"/>
                <w:sz w:val="21"/>
                <w:szCs w:val="21"/>
                <w:highlight w:val="none"/>
              </w:rPr>
              <w:t>2024年度财务状况报告或财务报表均可，开业不满一年的应提供公司成立之日后的财务状况报表（复印件）或出具当年的验资报告（复印件）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具有履行合同所必需的设备和专业技术能力</w:t>
            </w:r>
          </w:p>
        </w:tc>
        <w:tc>
          <w:tcPr>
            <w:tcW w:w="6141" w:type="dxa"/>
            <w:vAlign w:val="center"/>
          </w:tcPr>
          <w:p>
            <w:pPr>
              <w:snapToGrid w:val="0"/>
              <w:spacing w:line="360" w:lineRule="auto"/>
              <w:jc w:val="left"/>
              <w:rPr>
                <w:rFonts w:cs="宋体"/>
                <w:b/>
                <w:bCs/>
                <w:sz w:val="21"/>
                <w:szCs w:val="21"/>
                <w:highlight w:val="none"/>
              </w:rPr>
            </w:pPr>
            <w:r>
              <w:rPr>
                <w:rFonts w:hint="eastAsia" w:cs="宋体"/>
                <w:b/>
                <w:bCs/>
                <w:sz w:val="21"/>
                <w:szCs w:val="21"/>
                <w:highlight w:val="none"/>
              </w:rPr>
              <w:t>由供应商对以下内容提供书面承诺或提供相应证明材料。</w:t>
            </w:r>
          </w:p>
          <w:p>
            <w:pPr>
              <w:snapToGrid w:val="0"/>
              <w:spacing w:line="360" w:lineRule="auto"/>
              <w:jc w:val="left"/>
              <w:rPr>
                <w:rFonts w:cs="宋体"/>
                <w:sz w:val="21"/>
                <w:szCs w:val="21"/>
                <w:highlight w:val="none"/>
              </w:rPr>
            </w:pPr>
            <w:r>
              <w:rPr>
                <w:rFonts w:hint="eastAsia" w:cs="宋体"/>
                <w:sz w:val="21"/>
                <w:szCs w:val="21"/>
                <w:highlight w:val="none"/>
              </w:rPr>
              <w:t>供应商履行合同所必需的设备和专业技术能力的证明材料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供应商依法缴纳税收的证明材料</w:t>
            </w:r>
          </w:p>
        </w:tc>
        <w:tc>
          <w:tcPr>
            <w:tcW w:w="6141" w:type="dxa"/>
            <w:vAlign w:val="center"/>
          </w:tcPr>
          <w:p>
            <w:pPr>
              <w:snapToGrid w:val="0"/>
              <w:spacing w:line="360" w:lineRule="auto"/>
              <w:jc w:val="left"/>
              <w:rPr>
                <w:rFonts w:cs="宋体"/>
                <w:b/>
                <w:bCs/>
                <w:sz w:val="21"/>
                <w:szCs w:val="21"/>
                <w:highlight w:val="none"/>
              </w:rPr>
            </w:pPr>
            <w:r>
              <w:rPr>
                <w:rFonts w:hint="eastAsia" w:cs="宋体"/>
                <w:b/>
                <w:bCs/>
                <w:sz w:val="21"/>
                <w:szCs w:val="21"/>
                <w:highlight w:val="none"/>
              </w:rPr>
              <w:t>由供应商对以下内容提供书面承诺或提供相应证明材料。</w:t>
            </w:r>
          </w:p>
          <w:p>
            <w:pPr>
              <w:snapToGrid w:val="0"/>
              <w:spacing w:line="360" w:lineRule="auto"/>
              <w:jc w:val="left"/>
              <w:rPr>
                <w:rFonts w:cs="宋体"/>
                <w:sz w:val="21"/>
                <w:szCs w:val="21"/>
                <w:highlight w:val="none"/>
              </w:rPr>
            </w:pPr>
            <w:r>
              <w:rPr>
                <w:rFonts w:hint="eastAsia" w:cs="宋体"/>
                <w:sz w:val="21"/>
                <w:szCs w:val="21"/>
                <w:highlight w:val="none"/>
              </w:rPr>
              <w:t>本项目公告发布时间前半年内任一月缴纳增值税、企业所得税的凭据（完税证、缴款书、银行代扣（代缴）转账凭证等均可）（复印件）；依法免税的供应商，应提供相应证明材料。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0"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供应商依法缴纳社会保障资金的证明材料</w:t>
            </w:r>
          </w:p>
        </w:tc>
        <w:tc>
          <w:tcPr>
            <w:tcW w:w="6141" w:type="dxa"/>
            <w:vAlign w:val="center"/>
          </w:tcPr>
          <w:p>
            <w:pPr>
              <w:snapToGrid w:val="0"/>
              <w:spacing w:line="360" w:lineRule="auto"/>
              <w:jc w:val="left"/>
              <w:rPr>
                <w:rFonts w:cs="宋体"/>
                <w:b/>
                <w:bCs/>
                <w:sz w:val="21"/>
                <w:szCs w:val="21"/>
                <w:highlight w:val="none"/>
              </w:rPr>
            </w:pPr>
            <w:r>
              <w:rPr>
                <w:rFonts w:hint="eastAsia" w:cs="宋体"/>
                <w:b/>
                <w:bCs/>
                <w:sz w:val="21"/>
                <w:szCs w:val="21"/>
                <w:highlight w:val="none"/>
              </w:rPr>
              <w:t>由供应商对以下内容提供书面承诺或提供相应证明材料。</w:t>
            </w:r>
          </w:p>
          <w:p>
            <w:pPr>
              <w:snapToGrid w:val="0"/>
              <w:spacing w:line="360" w:lineRule="auto"/>
              <w:jc w:val="left"/>
              <w:rPr>
                <w:rFonts w:cs="宋体"/>
                <w:sz w:val="21"/>
                <w:szCs w:val="21"/>
                <w:highlight w:val="none"/>
              </w:rPr>
            </w:pPr>
            <w:r>
              <w:rPr>
                <w:rFonts w:hint="eastAsia" w:cs="宋体"/>
                <w:sz w:val="21"/>
                <w:szCs w:val="21"/>
                <w:highlight w:val="none"/>
              </w:rPr>
              <w:t>本项目公告发布时间前半年内任一月缴纳社会保险的凭据（专用收据或社会保险缴纳清单）；依法不需要缴纳社会保障资金的供应商，应提供相应证明材料。</w:t>
            </w:r>
          </w:p>
          <w:p>
            <w:pPr>
              <w:snapToGrid w:val="0"/>
              <w:spacing w:line="360" w:lineRule="auto"/>
              <w:jc w:val="left"/>
              <w:rPr>
                <w:rFonts w:cs="宋体"/>
                <w:sz w:val="21"/>
                <w:szCs w:val="21"/>
                <w:highlight w:val="none"/>
              </w:rPr>
            </w:pPr>
            <w:r>
              <w:rPr>
                <w:rFonts w:hint="eastAsia" w:cs="宋体"/>
                <w:sz w:val="21"/>
                <w:szCs w:val="21"/>
                <w:highlight w:val="none"/>
              </w:rPr>
              <w:t>供应商为其他组织或自然人的，也需要按此项规定提供缴纳社会保险的凭据；不需要缴纳社会保障资金的供应商，应提供相应文件证明其不需要缴纳社会保障资金。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没有重大违法记录的书面声明</w:t>
            </w:r>
          </w:p>
        </w:tc>
        <w:tc>
          <w:tcPr>
            <w:tcW w:w="6141" w:type="dxa"/>
            <w:vAlign w:val="center"/>
          </w:tcPr>
          <w:p>
            <w:pPr>
              <w:snapToGrid w:val="0"/>
              <w:spacing w:line="360" w:lineRule="auto"/>
              <w:jc w:val="left"/>
              <w:rPr>
                <w:rFonts w:cs="宋体"/>
                <w:sz w:val="21"/>
                <w:szCs w:val="21"/>
                <w:highlight w:val="none"/>
              </w:rPr>
            </w:pPr>
            <w:r>
              <w:rPr>
                <w:rFonts w:hint="eastAsia" w:cs="宋体"/>
                <w:sz w:val="21"/>
                <w:szCs w:val="21"/>
                <w:highlight w:val="none"/>
              </w:rPr>
              <w:t>提交参加政府采购活动前三年内在经营活动中没有重大违法记录的书面声明。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失信记录</w:t>
            </w:r>
          </w:p>
        </w:tc>
        <w:tc>
          <w:tcPr>
            <w:tcW w:w="6141" w:type="dxa"/>
            <w:vAlign w:val="center"/>
          </w:tcPr>
          <w:p>
            <w:pPr>
              <w:snapToGrid w:val="0"/>
              <w:spacing w:line="360" w:lineRule="auto"/>
              <w:jc w:val="left"/>
              <w:rPr>
                <w:rFonts w:cs="宋体"/>
                <w:sz w:val="21"/>
                <w:szCs w:val="21"/>
                <w:highlight w:val="none"/>
              </w:rPr>
            </w:pPr>
            <w:r>
              <w:rPr>
                <w:rFonts w:hint="eastAsia" w:cs="宋体"/>
                <w:sz w:val="21"/>
                <w:szCs w:val="21"/>
                <w:highlight w:val="none"/>
              </w:rPr>
              <w:t>不存在失信记录查询（信用中国网站、中国政府采购网）。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有效许可证</w:t>
            </w:r>
          </w:p>
        </w:tc>
        <w:tc>
          <w:tcPr>
            <w:tcW w:w="6141" w:type="dxa"/>
            <w:vAlign w:val="center"/>
          </w:tcPr>
          <w:p>
            <w:pPr>
              <w:snapToGrid w:val="0"/>
              <w:spacing w:line="360" w:lineRule="auto"/>
              <w:jc w:val="left"/>
              <w:rPr>
                <w:rFonts w:cs="宋体"/>
                <w:sz w:val="21"/>
                <w:szCs w:val="21"/>
                <w:highlight w:val="none"/>
              </w:rPr>
            </w:pPr>
            <w:r>
              <w:rPr>
                <w:rFonts w:hint="eastAsia" w:cs="宋体"/>
                <w:sz w:val="21"/>
                <w:szCs w:val="21"/>
                <w:highlight w:val="none"/>
              </w:rPr>
              <w:t>有效的餐饮服务许可证或食品经营许可证。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落实中小企业预留采购份额要求</w:t>
            </w:r>
          </w:p>
        </w:tc>
        <w:tc>
          <w:tcPr>
            <w:tcW w:w="6141" w:type="dxa"/>
            <w:vAlign w:val="center"/>
          </w:tcPr>
          <w:p>
            <w:pPr>
              <w:snapToGrid w:val="0"/>
              <w:spacing w:line="360" w:lineRule="auto"/>
              <w:jc w:val="left"/>
              <w:rPr>
                <w:rFonts w:cs="宋体"/>
                <w:sz w:val="21"/>
                <w:szCs w:val="21"/>
                <w:highlight w:val="none"/>
              </w:rPr>
            </w:pPr>
            <w:r>
              <w:rPr>
                <w:rFonts w:hint="eastAsia" w:cs="宋体"/>
                <w:sz w:val="21"/>
                <w:szCs w:val="21"/>
                <w:highlight w:val="none"/>
              </w:rPr>
              <w:t>提供符合要求的《中小企业声明函》，且声明函中声明</w:t>
            </w:r>
            <w:r>
              <w:rPr>
                <w:rFonts w:hint="eastAsia" w:cs="宋体"/>
                <w:color w:val="0000FF"/>
                <w:sz w:val="21"/>
                <w:szCs w:val="21"/>
                <w:highlight w:val="none"/>
              </w:rPr>
              <w:t>为小型企业或微型企业。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2093" w:type="dxa"/>
            <w:gridSpan w:val="2"/>
            <w:shd w:val="clear" w:color="auto" w:fill="D7D7D7"/>
            <w:vAlign w:val="center"/>
          </w:tcPr>
          <w:p>
            <w:pPr>
              <w:snapToGrid w:val="0"/>
              <w:spacing w:line="360" w:lineRule="auto"/>
              <w:jc w:val="center"/>
              <w:rPr>
                <w:rFonts w:cs="宋体"/>
                <w:sz w:val="21"/>
                <w:szCs w:val="21"/>
                <w:highlight w:val="none"/>
              </w:rPr>
            </w:pPr>
            <w:r>
              <w:rPr>
                <w:rFonts w:hint="eastAsia" w:cs="宋体"/>
                <w:sz w:val="21"/>
                <w:szCs w:val="21"/>
                <w:highlight w:val="none"/>
              </w:rPr>
              <w:t>条款号</w:t>
            </w:r>
          </w:p>
        </w:tc>
        <w:tc>
          <w:tcPr>
            <w:tcW w:w="1821" w:type="dxa"/>
            <w:shd w:val="clear" w:color="auto" w:fill="D7D7D7"/>
            <w:vAlign w:val="center"/>
          </w:tcPr>
          <w:p>
            <w:pPr>
              <w:snapToGrid w:val="0"/>
              <w:spacing w:line="360" w:lineRule="auto"/>
              <w:jc w:val="center"/>
              <w:rPr>
                <w:rFonts w:cs="宋体"/>
                <w:sz w:val="21"/>
                <w:szCs w:val="21"/>
                <w:highlight w:val="none"/>
              </w:rPr>
            </w:pPr>
            <w:r>
              <w:rPr>
                <w:rFonts w:hint="eastAsia" w:cs="宋体"/>
                <w:sz w:val="21"/>
                <w:szCs w:val="21"/>
                <w:highlight w:val="none"/>
              </w:rPr>
              <w:t>评审因素</w:t>
            </w:r>
          </w:p>
        </w:tc>
        <w:tc>
          <w:tcPr>
            <w:tcW w:w="6141" w:type="dxa"/>
            <w:tcBorders>
              <w:bottom w:val="single" w:color="auto" w:sz="4" w:space="0"/>
            </w:tcBorders>
            <w:shd w:val="clear" w:color="auto" w:fill="D7D7D7"/>
            <w:vAlign w:val="center"/>
          </w:tcPr>
          <w:p>
            <w:pPr>
              <w:snapToGrid w:val="0"/>
              <w:spacing w:line="360" w:lineRule="auto"/>
              <w:jc w:val="center"/>
              <w:rPr>
                <w:rFonts w:cs="宋体"/>
                <w:sz w:val="21"/>
                <w:szCs w:val="21"/>
                <w:highlight w:val="none"/>
              </w:rPr>
            </w:pPr>
            <w:r>
              <w:rPr>
                <w:rFonts w:hint="eastAsia" w:cs="宋体"/>
                <w:sz w:val="21"/>
                <w:szCs w:val="21"/>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053" w:type="dxa"/>
            <w:vMerge w:val="restart"/>
            <w:vAlign w:val="center"/>
          </w:tcPr>
          <w:p>
            <w:pPr>
              <w:snapToGrid w:val="0"/>
              <w:spacing w:line="360" w:lineRule="auto"/>
              <w:jc w:val="center"/>
              <w:rPr>
                <w:rFonts w:cs="宋体"/>
                <w:sz w:val="21"/>
                <w:szCs w:val="21"/>
                <w:highlight w:val="none"/>
              </w:rPr>
            </w:pPr>
            <w:r>
              <w:rPr>
                <w:rFonts w:hint="eastAsia" w:cs="宋体"/>
                <w:sz w:val="21"/>
                <w:szCs w:val="21"/>
                <w:highlight w:val="none"/>
              </w:rPr>
              <w:t>2.1.2</w:t>
            </w:r>
          </w:p>
        </w:tc>
        <w:tc>
          <w:tcPr>
            <w:tcW w:w="1040" w:type="dxa"/>
            <w:vMerge w:val="restart"/>
            <w:vAlign w:val="center"/>
          </w:tcPr>
          <w:p>
            <w:pPr>
              <w:snapToGrid w:val="0"/>
              <w:spacing w:line="360" w:lineRule="auto"/>
              <w:jc w:val="center"/>
              <w:rPr>
                <w:rFonts w:cs="宋体"/>
                <w:sz w:val="21"/>
                <w:szCs w:val="21"/>
                <w:highlight w:val="none"/>
              </w:rPr>
            </w:pPr>
            <w:r>
              <w:rPr>
                <w:rFonts w:hint="eastAsia" w:cs="宋体"/>
                <w:sz w:val="21"/>
                <w:szCs w:val="21"/>
                <w:highlight w:val="none"/>
              </w:rPr>
              <w:t>符合性审 查标准</w:t>
            </w: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投标报价</w:t>
            </w:r>
          </w:p>
        </w:tc>
        <w:tc>
          <w:tcPr>
            <w:tcW w:w="6141" w:type="dxa"/>
            <w:tcBorders>
              <w:bottom w:val="single" w:color="auto" w:sz="4" w:space="0"/>
            </w:tcBorders>
            <w:vAlign w:val="center"/>
          </w:tcPr>
          <w:p>
            <w:pPr>
              <w:snapToGrid w:val="0"/>
              <w:spacing w:line="360" w:lineRule="auto"/>
              <w:jc w:val="left"/>
              <w:rPr>
                <w:rFonts w:cs="宋体"/>
                <w:sz w:val="21"/>
                <w:szCs w:val="21"/>
                <w:highlight w:val="none"/>
              </w:rPr>
            </w:pPr>
            <w:r>
              <w:rPr>
                <w:rFonts w:hint="eastAsia" w:cs="宋体"/>
                <w:sz w:val="21"/>
                <w:szCs w:val="21"/>
                <w:highlight w:val="none"/>
              </w:rPr>
              <w:t>供应商的投标报价是否高于本项目的总预算金额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tcBorders>
              <w:top w:val="single" w:color="auto" w:sz="4" w:space="0"/>
            </w:tcBorders>
            <w:vAlign w:val="center"/>
          </w:tcPr>
          <w:p>
            <w:pPr>
              <w:snapToGrid w:val="0"/>
              <w:spacing w:line="360" w:lineRule="auto"/>
              <w:jc w:val="center"/>
              <w:rPr>
                <w:rFonts w:cs="宋体"/>
                <w:sz w:val="21"/>
                <w:szCs w:val="21"/>
                <w:highlight w:val="none"/>
              </w:rPr>
            </w:pPr>
            <w:r>
              <w:rPr>
                <w:rFonts w:hint="eastAsia" w:cs="宋体"/>
                <w:sz w:val="21"/>
                <w:szCs w:val="21"/>
                <w:highlight w:val="none"/>
              </w:rPr>
              <w:t>投标文件签字盖章</w:t>
            </w:r>
          </w:p>
        </w:tc>
        <w:tc>
          <w:tcPr>
            <w:tcW w:w="6141" w:type="dxa"/>
            <w:tcBorders>
              <w:top w:val="single" w:color="auto" w:sz="4" w:space="0"/>
            </w:tcBorders>
            <w:vAlign w:val="center"/>
          </w:tcPr>
          <w:p>
            <w:pPr>
              <w:snapToGrid w:val="0"/>
              <w:spacing w:line="360" w:lineRule="auto"/>
              <w:jc w:val="left"/>
              <w:rPr>
                <w:rFonts w:cs="宋体"/>
                <w:sz w:val="21"/>
                <w:szCs w:val="21"/>
                <w:highlight w:val="none"/>
              </w:rPr>
            </w:pPr>
            <w:r>
              <w:rPr>
                <w:rFonts w:hint="eastAsia" w:cs="宋体"/>
                <w:sz w:val="21"/>
                <w:szCs w:val="21"/>
                <w:highlight w:val="none"/>
              </w:rPr>
              <w:t>有法定代表人或其委托代理人签字或加盖单位公章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投标有效期</w:t>
            </w:r>
          </w:p>
        </w:tc>
        <w:tc>
          <w:tcPr>
            <w:tcW w:w="6141" w:type="dxa"/>
            <w:vAlign w:val="center"/>
          </w:tcPr>
          <w:p>
            <w:pPr>
              <w:snapToGrid w:val="0"/>
              <w:spacing w:line="360" w:lineRule="auto"/>
              <w:jc w:val="left"/>
              <w:rPr>
                <w:rFonts w:cs="宋体"/>
                <w:sz w:val="21"/>
                <w:szCs w:val="21"/>
                <w:highlight w:val="none"/>
              </w:rPr>
            </w:pPr>
            <w:r>
              <w:rPr>
                <w:rFonts w:hint="eastAsia" w:cs="宋体"/>
                <w:sz w:val="21"/>
                <w:szCs w:val="21"/>
                <w:highlight w:val="none"/>
              </w:rPr>
              <w:t>投标有效期满足招标文件要求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文件格式</w:t>
            </w:r>
          </w:p>
        </w:tc>
        <w:tc>
          <w:tcPr>
            <w:tcW w:w="6141" w:type="dxa"/>
          </w:tcPr>
          <w:p>
            <w:pPr>
              <w:snapToGrid w:val="0"/>
              <w:spacing w:before="179" w:line="360" w:lineRule="auto"/>
              <w:ind w:left="66"/>
              <w:rPr>
                <w:rFonts w:cs="宋体"/>
                <w:sz w:val="21"/>
                <w:szCs w:val="21"/>
                <w:highlight w:val="none"/>
              </w:rPr>
            </w:pPr>
            <w:r>
              <w:rPr>
                <w:rFonts w:hint="eastAsia" w:cs="宋体"/>
                <w:sz w:val="21"/>
                <w:szCs w:val="21"/>
                <w:highlight w:val="none"/>
              </w:rPr>
              <w:t>投标文件按规定的格式填写，内容完整且自己清晰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服务期限</w:t>
            </w:r>
          </w:p>
        </w:tc>
        <w:tc>
          <w:tcPr>
            <w:tcW w:w="6141" w:type="dxa"/>
          </w:tcPr>
          <w:p>
            <w:pPr>
              <w:snapToGrid w:val="0"/>
              <w:spacing w:before="181" w:line="360" w:lineRule="auto"/>
              <w:ind w:left="66"/>
              <w:rPr>
                <w:rFonts w:cs="宋体"/>
                <w:sz w:val="21"/>
                <w:szCs w:val="21"/>
                <w:highlight w:val="none"/>
              </w:rPr>
            </w:pPr>
            <w:r>
              <w:rPr>
                <w:rFonts w:hint="eastAsia" w:cs="宋体"/>
                <w:sz w:val="21"/>
                <w:szCs w:val="21"/>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Align w:val="center"/>
          </w:tcPr>
          <w:p>
            <w:pPr>
              <w:snapToGrid w:val="0"/>
              <w:spacing w:line="360" w:lineRule="auto"/>
              <w:jc w:val="center"/>
              <w:rPr>
                <w:rFonts w:cs="宋体"/>
                <w:sz w:val="21"/>
                <w:szCs w:val="21"/>
                <w:highlight w:val="none"/>
              </w:rPr>
            </w:pPr>
            <w:r>
              <w:rPr>
                <w:rFonts w:hint="eastAsia" w:cs="宋体"/>
                <w:sz w:val="21"/>
                <w:szCs w:val="21"/>
                <w:highlight w:val="none"/>
              </w:rPr>
              <w:t>服务质量</w:t>
            </w:r>
          </w:p>
        </w:tc>
        <w:tc>
          <w:tcPr>
            <w:tcW w:w="6141" w:type="dxa"/>
          </w:tcPr>
          <w:p>
            <w:pPr>
              <w:snapToGrid w:val="0"/>
              <w:spacing w:before="181" w:line="360" w:lineRule="auto"/>
              <w:ind w:left="63"/>
              <w:rPr>
                <w:rFonts w:cs="宋体"/>
                <w:sz w:val="21"/>
                <w:szCs w:val="21"/>
                <w:highlight w:val="none"/>
                <w:lang w:eastAsia="en-US"/>
              </w:rPr>
            </w:pPr>
            <w:r>
              <w:rPr>
                <w:rFonts w:hint="eastAsia" w:cs="宋体"/>
                <w:sz w:val="21"/>
                <w:szCs w:val="21"/>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Merge w:val="restart"/>
            <w:vAlign w:val="center"/>
          </w:tcPr>
          <w:p>
            <w:pPr>
              <w:snapToGrid w:val="0"/>
              <w:spacing w:line="360" w:lineRule="auto"/>
              <w:jc w:val="center"/>
              <w:rPr>
                <w:rFonts w:cs="宋体"/>
                <w:sz w:val="21"/>
                <w:szCs w:val="21"/>
                <w:highlight w:val="none"/>
              </w:rPr>
            </w:pPr>
            <w:r>
              <w:rPr>
                <w:rFonts w:hint="eastAsia" w:cs="宋体"/>
                <w:spacing w:val="7"/>
                <w:sz w:val="21"/>
                <w:szCs w:val="21"/>
                <w:highlight w:val="none"/>
              </w:rPr>
              <w:t>实质性响应</w:t>
            </w:r>
          </w:p>
        </w:tc>
        <w:tc>
          <w:tcPr>
            <w:tcW w:w="6141" w:type="dxa"/>
          </w:tcPr>
          <w:p>
            <w:pPr>
              <w:snapToGrid w:val="0"/>
              <w:spacing w:before="179" w:line="360" w:lineRule="auto"/>
              <w:ind w:left="66"/>
              <w:rPr>
                <w:rFonts w:cs="宋体"/>
                <w:spacing w:val="9"/>
                <w:sz w:val="21"/>
                <w:szCs w:val="21"/>
                <w:highlight w:val="none"/>
              </w:rPr>
            </w:pPr>
            <w:r>
              <w:rPr>
                <w:rFonts w:hint="eastAsia" w:cs="宋体"/>
                <w:spacing w:val="-2"/>
                <w:sz w:val="21"/>
                <w:szCs w:val="21"/>
                <w:highlight w:val="none"/>
              </w:rPr>
              <w:t>投标文件满足招标文件标注“★”的实质性条款要求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Merge w:val="continue"/>
            <w:vAlign w:val="center"/>
          </w:tcPr>
          <w:p>
            <w:pPr>
              <w:snapToGrid w:val="0"/>
              <w:spacing w:line="360" w:lineRule="auto"/>
              <w:jc w:val="center"/>
              <w:rPr>
                <w:rFonts w:cs="宋体"/>
                <w:sz w:val="21"/>
                <w:szCs w:val="21"/>
                <w:highlight w:val="none"/>
              </w:rPr>
            </w:pPr>
          </w:p>
        </w:tc>
        <w:tc>
          <w:tcPr>
            <w:tcW w:w="6141" w:type="dxa"/>
          </w:tcPr>
          <w:p>
            <w:pPr>
              <w:snapToGrid w:val="0"/>
              <w:spacing w:before="181" w:line="360" w:lineRule="auto"/>
              <w:ind w:left="66"/>
              <w:rPr>
                <w:rFonts w:cs="宋体"/>
                <w:spacing w:val="9"/>
                <w:sz w:val="21"/>
                <w:szCs w:val="21"/>
                <w:highlight w:val="none"/>
              </w:rPr>
            </w:pPr>
            <w:r>
              <w:rPr>
                <w:rFonts w:hint="eastAsia" w:cs="宋体"/>
                <w:spacing w:val="9"/>
                <w:sz w:val="21"/>
                <w:szCs w:val="21"/>
                <w:highlight w:val="none"/>
              </w:rPr>
              <w:t>投标文件中未附有采购人不能接受条件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053" w:type="dxa"/>
            <w:vMerge w:val="continue"/>
            <w:vAlign w:val="center"/>
          </w:tcPr>
          <w:p>
            <w:pPr>
              <w:snapToGrid w:val="0"/>
              <w:spacing w:line="360" w:lineRule="auto"/>
              <w:jc w:val="center"/>
              <w:rPr>
                <w:rFonts w:cs="宋体"/>
                <w:sz w:val="21"/>
                <w:szCs w:val="21"/>
                <w:highlight w:val="none"/>
              </w:rPr>
            </w:pPr>
          </w:p>
        </w:tc>
        <w:tc>
          <w:tcPr>
            <w:tcW w:w="1040" w:type="dxa"/>
            <w:vMerge w:val="continue"/>
            <w:vAlign w:val="center"/>
          </w:tcPr>
          <w:p>
            <w:pPr>
              <w:snapToGrid w:val="0"/>
              <w:spacing w:line="360" w:lineRule="auto"/>
              <w:jc w:val="center"/>
              <w:rPr>
                <w:rFonts w:cs="宋体"/>
                <w:sz w:val="21"/>
                <w:szCs w:val="21"/>
                <w:highlight w:val="none"/>
              </w:rPr>
            </w:pPr>
          </w:p>
        </w:tc>
        <w:tc>
          <w:tcPr>
            <w:tcW w:w="1821" w:type="dxa"/>
            <w:vMerge w:val="continue"/>
            <w:vAlign w:val="center"/>
          </w:tcPr>
          <w:p>
            <w:pPr>
              <w:snapToGrid w:val="0"/>
              <w:spacing w:line="360" w:lineRule="auto"/>
              <w:jc w:val="center"/>
              <w:rPr>
                <w:rFonts w:cs="宋体"/>
                <w:sz w:val="21"/>
                <w:szCs w:val="21"/>
                <w:highlight w:val="none"/>
              </w:rPr>
            </w:pPr>
          </w:p>
        </w:tc>
        <w:tc>
          <w:tcPr>
            <w:tcW w:w="6141" w:type="dxa"/>
          </w:tcPr>
          <w:p>
            <w:pPr>
              <w:snapToGrid w:val="0"/>
              <w:spacing w:before="181" w:line="360" w:lineRule="auto"/>
              <w:ind w:left="63"/>
              <w:rPr>
                <w:rFonts w:cs="宋体"/>
                <w:spacing w:val="9"/>
                <w:sz w:val="21"/>
                <w:szCs w:val="21"/>
                <w:highlight w:val="none"/>
              </w:rPr>
            </w:pPr>
            <w:r>
              <w:rPr>
                <w:rFonts w:hint="eastAsia" w:cs="宋体"/>
                <w:spacing w:val="9"/>
                <w:sz w:val="21"/>
                <w:szCs w:val="21"/>
                <w:highlight w:val="none"/>
              </w:rPr>
              <w:t>供应商未出现招标文件中规定无效投标的其他条款</w:t>
            </w:r>
          </w:p>
        </w:tc>
      </w:tr>
    </w:tbl>
    <w:p>
      <w:pPr>
        <w:spacing w:line="360" w:lineRule="auto"/>
        <w:rPr>
          <w:rFonts w:cs="宋体"/>
          <w:sz w:val="21"/>
          <w:szCs w:val="21"/>
          <w:highlight w:val="none"/>
        </w:rPr>
      </w:pPr>
    </w:p>
    <w:p>
      <w:pPr>
        <w:rPr>
          <w:rFonts w:cs="宋体"/>
          <w:highlight w:val="none"/>
        </w:rPr>
        <w:sectPr>
          <w:headerReference r:id="rId10" w:type="default"/>
          <w:footerReference r:id="rId11" w:type="default"/>
          <w:pgSz w:w="11906" w:h="16839"/>
          <w:pgMar w:top="1431" w:right="1785" w:bottom="1171" w:left="1460" w:header="0" w:footer="992" w:gutter="0"/>
          <w:cols w:space="720" w:num="1"/>
        </w:sectPr>
      </w:pPr>
    </w:p>
    <w:p>
      <w:pPr>
        <w:adjustRightInd w:val="0"/>
        <w:snapToGrid w:val="0"/>
        <w:spacing w:line="360" w:lineRule="auto"/>
        <w:jc w:val="center"/>
        <w:rPr>
          <w:rFonts w:cs="宋体"/>
          <w:b/>
          <w:sz w:val="28"/>
          <w:szCs w:val="28"/>
          <w:highlight w:val="none"/>
        </w:rPr>
      </w:pPr>
      <w:r>
        <w:rPr>
          <w:rFonts w:hint="eastAsia" w:cs="宋体"/>
          <w:b/>
          <w:sz w:val="28"/>
          <w:szCs w:val="28"/>
          <w:highlight w:val="none"/>
        </w:rPr>
        <w:t>评审因素及评分标准</w:t>
      </w:r>
    </w:p>
    <w:tbl>
      <w:tblPr>
        <w:tblStyle w:val="35"/>
        <w:tblW w:w="10360" w:type="dxa"/>
        <w:tblInd w:w="-9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945"/>
        <w:gridCol w:w="1035"/>
        <w:gridCol w:w="480"/>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6" w:type="dxa"/>
            <w:shd w:val="clear" w:color="auto" w:fill="D7D7D7"/>
            <w:noWrap/>
            <w:vAlign w:val="center"/>
          </w:tcPr>
          <w:p>
            <w:pPr>
              <w:snapToGrid w:val="0"/>
              <w:spacing w:line="360" w:lineRule="auto"/>
              <w:jc w:val="center"/>
              <w:rPr>
                <w:rFonts w:cs="宋体"/>
                <w:spacing w:val="-7"/>
                <w:sz w:val="21"/>
                <w:szCs w:val="21"/>
                <w:highlight w:val="none"/>
              </w:rPr>
            </w:pPr>
            <w:r>
              <w:rPr>
                <w:rFonts w:hint="eastAsia" w:cs="宋体"/>
                <w:spacing w:val="-7"/>
                <w:sz w:val="21"/>
                <w:szCs w:val="21"/>
                <w:highlight w:val="none"/>
              </w:rPr>
              <w:t>条款号</w:t>
            </w:r>
          </w:p>
        </w:tc>
        <w:tc>
          <w:tcPr>
            <w:tcW w:w="945" w:type="dxa"/>
            <w:shd w:val="clear" w:color="auto" w:fill="D7D7D7"/>
            <w:noWrap/>
            <w:vAlign w:val="center"/>
          </w:tcPr>
          <w:p>
            <w:pPr>
              <w:snapToGrid w:val="0"/>
              <w:spacing w:line="360" w:lineRule="auto"/>
              <w:jc w:val="center"/>
              <w:rPr>
                <w:rFonts w:cs="宋体"/>
                <w:sz w:val="21"/>
                <w:szCs w:val="21"/>
                <w:highlight w:val="none"/>
              </w:rPr>
            </w:pPr>
            <w:r>
              <w:rPr>
                <w:rFonts w:hint="eastAsia" w:cs="宋体"/>
                <w:spacing w:val="-5"/>
                <w:sz w:val="21"/>
                <w:szCs w:val="21"/>
                <w:highlight w:val="none"/>
              </w:rPr>
              <w:t>评标</w:t>
            </w:r>
            <w:r>
              <w:rPr>
                <w:rFonts w:hint="eastAsia" w:cs="宋体"/>
                <w:spacing w:val="-7"/>
                <w:sz w:val="21"/>
                <w:szCs w:val="21"/>
                <w:highlight w:val="none"/>
              </w:rPr>
              <w:t>项目</w:t>
            </w:r>
          </w:p>
        </w:tc>
        <w:tc>
          <w:tcPr>
            <w:tcW w:w="1515" w:type="dxa"/>
            <w:gridSpan w:val="2"/>
            <w:shd w:val="clear" w:color="auto" w:fill="D7D7D7"/>
            <w:noWrap/>
            <w:vAlign w:val="center"/>
          </w:tcPr>
          <w:p>
            <w:pPr>
              <w:snapToGrid w:val="0"/>
              <w:spacing w:before="212" w:line="360" w:lineRule="auto"/>
              <w:jc w:val="center"/>
              <w:rPr>
                <w:rFonts w:cs="宋体"/>
                <w:spacing w:val="-3"/>
                <w:sz w:val="21"/>
                <w:szCs w:val="21"/>
                <w:highlight w:val="none"/>
              </w:rPr>
            </w:pPr>
            <w:r>
              <w:rPr>
                <w:rFonts w:hint="eastAsia" w:cs="宋体"/>
                <w:spacing w:val="-3"/>
                <w:sz w:val="21"/>
                <w:szCs w:val="21"/>
                <w:highlight w:val="none"/>
              </w:rPr>
              <w:t>评标因素</w:t>
            </w:r>
          </w:p>
        </w:tc>
        <w:tc>
          <w:tcPr>
            <w:tcW w:w="6984" w:type="dxa"/>
            <w:shd w:val="clear" w:color="auto" w:fill="D7D7D7"/>
            <w:noWrap/>
            <w:vAlign w:val="center"/>
          </w:tcPr>
          <w:p>
            <w:pPr>
              <w:snapToGrid w:val="0"/>
              <w:spacing w:before="212" w:line="360" w:lineRule="auto"/>
              <w:jc w:val="center"/>
              <w:rPr>
                <w:rFonts w:cs="宋体"/>
                <w:sz w:val="21"/>
                <w:szCs w:val="21"/>
                <w:highlight w:val="none"/>
              </w:rPr>
            </w:pPr>
            <w:r>
              <w:rPr>
                <w:rFonts w:hint="eastAsia" w:cs="宋体"/>
                <w:spacing w:val="-2"/>
                <w:sz w:val="21"/>
                <w:szCs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16" w:type="dxa"/>
            <w:noWrap/>
            <w:vAlign w:val="center"/>
          </w:tcPr>
          <w:p>
            <w:pPr>
              <w:snapToGrid w:val="0"/>
              <w:spacing w:before="239" w:line="360" w:lineRule="auto"/>
              <w:jc w:val="center"/>
              <w:rPr>
                <w:rFonts w:cs="宋体"/>
                <w:spacing w:val="-6"/>
                <w:sz w:val="21"/>
                <w:szCs w:val="21"/>
                <w:highlight w:val="none"/>
              </w:rPr>
            </w:pPr>
            <w:r>
              <w:rPr>
                <w:rFonts w:hint="eastAsia" w:cs="宋体"/>
                <w:spacing w:val="-6"/>
                <w:sz w:val="21"/>
                <w:szCs w:val="21"/>
                <w:highlight w:val="none"/>
              </w:rPr>
              <w:t>2.2.1</w:t>
            </w:r>
          </w:p>
        </w:tc>
        <w:tc>
          <w:tcPr>
            <w:tcW w:w="2460" w:type="dxa"/>
            <w:gridSpan w:val="3"/>
            <w:noWrap/>
            <w:vAlign w:val="center"/>
          </w:tcPr>
          <w:p>
            <w:pPr>
              <w:snapToGrid w:val="0"/>
              <w:spacing w:before="51" w:line="360" w:lineRule="auto"/>
              <w:ind w:left="64"/>
              <w:jc w:val="center"/>
              <w:rPr>
                <w:rFonts w:cs="宋体"/>
                <w:sz w:val="21"/>
                <w:szCs w:val="21"/>
                <w:highlight w:val="none"/>
                <w:lang w:eastAsia="en-US"/>
              </w:rPr>
            </w:pPr>
            <w:r>
              <w:rPr>
                <w:rFonts w:hint="eastAsia" w:cs="宋体"/>
                <w:spacing w:val="6"/>
                <w:sz w:val="21"/>
                <w:szCs w:val="21"/>
                <w:highlight w:val="none"/>
                <w:lang w:eastAsia="en-US"/>
              </w:rPr>
              <w:t>分值构成</w:t>
            </w:r>
          </w:p>
          <w:p>
            <w:pPr>
              <w:snapToGrid w:val="0"/>
              <w:spacing w:before="65" w:line="360" w:lineRule="auto"/>
              <w:ind w:left="72"/>
              <w:jc w:val="center"/>
              <w:rPr>
                <w:rFonts w:cs="宋体"/>
                <w:spacing w:val="-3"/>
                <w:sz w:val="21"/>
                <w:szCs w:val="21"/>
                <w:highlight w:val="none"/>
                <w:lang w:eastAsia="en-US"/>
              </w:rPr>
            </w:pPr>
            <w:r>
              <w:rPr>
                <w:rFonts w:hint="eastAsia" w:cs="宋体"/>
                <w:sz w:val="21"/>
                <w:szCs w:val="21"/>
                <w:highlight w:val="none"/>
                <w:lang w:eastAsia="en-US"/>
              </w:rPr>
              <w:t>（总分100分）</w:t>
            </w:r>
          </w:p>
        </w:tc>
        <w:tc>
          <w:tcPr>
            <w:tcW w:w="6984" w:type="dxa"/>
            <w:noWrap/>
            <w:vAlign w:val="center"/>
          </w:tcPr>
          <w:p>
            <w:pPr>
              <w:snapToGrid w:val="0"/>
              <w:spacing w:before="51" w:line="360" w:lineRule="auto"/>
              <w:ind w:left="67" w:right="2" w:hanging="3"/>
              <w:jc w:val="left"/>
              <w:rPr>
                <w:rFonts w:cs="宋体"/>
                <w:spacing w:val="-1"/>
                <w:sz w:val="21"/>
                <w:szCs w:val="21"/>
                <w:highlight w:val="none"/>
              </w:rPr>
            </w:pPr>
            <w:r>
              <w:rPr>
                <w:rFonts w:hint="eastAsia" w:cs="宋体"/>
                <w:spacing w:val="-4"/>
                <w:sz w:val="21"/>
                <w:szCs w:val="21"/>
                <w:highlight w:val="none"/>
              </w:rPr>
              <w:t>价格分值为20分，</w:t>
            </w:r>
            <w:r>
              <w:rPr>
                <w:rFonts w:hint="eastAsia" w:cs="宋体"/>
                <w:spacing w:val="3"/>
                <w:sz w:val="21"/>
                <w:szCs w:val="21"/>
                <w:highlight w:val="none"/>
              </w:rPr>
              <w:t>商务部分</w:t>
            </w:r>
            <w:r>
              <w:rPr>
                <w:rFonts w:hint="eastAsia" w:cs="宋体"/>
                <w:spacing w:val="-34"/>
                <w:sz w:val="21"/>
                <w:szCs w:val="21"/>
                <w:highlight w:val="none"/>
              </w:rPr>
              <w:t>30</w:t>
            </w:r>
            <w:r>
              <w:rPr>
                <w:rFonts w:hint="eastAsia" w:cs="宋体"/>
                <w:spacing w:val="3"/>
                <w:sz w:val="21"/>
                <w:szCs w:val="21"/>
                <w:highlight w:val="none"/>
              </w:rPr>
              <w:t>分，技术部分50分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16" w:type="dxa"/>
            <w:tcBorders>
              <w:bottom w:val="single" w:color="auto" w:sz="4" w:space="0"/>
            </w:tcBorders>
            <w:noWrap/>
            <w:vAlign w:val="center"/>
          </w:tcPr>
          <w:p>
            <w:pPr>
              <w:snapToGrid w:val="0"/>
              <w:spacing w:before="56" w:line="360" w:lineRule="auto"/>
              <w:ind w:left="163" w:right="134" w:firstLine="9"/>
              <w:jc w:val="center"/>
              <w:rPr>
                <w:rFonts w:cs="宋体"/>
                <w:spacing w:val="-6"/>
                <w:sz w:val="21"/>
                <w:szCs w:val="21"/>
                <w:highlight w:val="none"/>
              </w:rPr>
            </w:pPr>
            <w:r>
              <w:rPr>
                <w:rFonts w:hint="eastAsia" w:cs="宋体"/>
                <w:spacing w:val="2"/>
                <w:sz w:val="21"/>
                <w:szCs w:val="21"/>
                <w:highlight w:val="none"/>
              </w:rPr>
              <w:t>2.2.2</w:t>
            </w:r>
          </w:p>
        </w:tc>
        <w:tc>
          <w:tcPr>
            <w:tcW w:w="945" w:type="dxa"/>
            <w:tcBorders>
              <w:bottom w:val="single" w:color="auto" w:sz="4" w:space="0"/>
            </w:tcBorders>
            <w:noWrap/>
            <w:vAlign w:val="center"/>
          </w:tcPr>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价格</w:t>
            </w:r>
          </w:p>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部分</w:t>
            </w:r>
          </w:p>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20 分</w:t>
            </w:r>
          </w:p>
        </w:tc>
        <w:tc>
          <w:tcPr>
            <w:tcW w:w="1035" w:type="dxa"/>
            <w:tcBorders>
              <w:bottom w:val="single" w:color="auto" w:sz="4" w:space="0"/>
            </w:tcBorders>
            <w:noWrap/>
            <w:vAlign w:val="center"/>
          </w:tcPr>
          <w:p>
            <w:pPr>
              <w:snapToGrid w:val="0"/>
              <w:spacing w:before="126" w:line="360" w:lineRule="auto"/>
              <w:ind w:firstLine="139"/>
              <w:jc w:val="center"/>
              <w:rPr>
                <w:rFonts w:cs="宋体"/>
                <w:spacing w:val="-3"/>
                <w:sz w:val="21"/>
                <w:szCs w:val="21"/>
                <w:highlight w:val="none"/>
              </w:rPr>
            </w:pPr>
            <w:r>
              <w:rPr>
                <w:rFonts w:hint="eastAsia" w:cs="宋体"/>
                <w:spacing w:val="-3"/>
                <w:sz w:val="21"/>
                <w:szCs w:val="21"/>
                <w:highlight w:val="none"/>
              </w:rPr>
              <w:t>投标</w:t>
            </w:r>
          </w:p>
          <w:p>
            <w:pPr>
              <w:snapToGrid w:val="0"/>
              <w:spacing w:before="126" w:line="360" w:lineRule="auto"/>
              <w:ind w:firstLine="139"/>
              <w:jc w:val="center"/>
              <w:rPr>
                <w:rFonts w:cs="宋体"/>
                <w:sz w:val="21"/>
                <w:szCs w:val="21"/>
                <w:highlight w:val="none"/>
              </w:rPr>
            </w:pPr>
            <w:r>
              <w:rPr>
                <w:rFonts w:hint="eastAsia" w:cs="宋体"/>
                <w:spacing w:val="-3"/>
                <w:sz w:val="21"/>
                <w:szCs w:val="21"/>
                <w:highlight w:val="none"/>
              </w:rPr>
              <w:t>报价</w:t>
            </w:r>
          </w:p>
        </w:tc>
        <w:tc>
          <w:tcPr>
            <w:tcW w:w="480" w:type="dxa"/>
            <w:noWrap/>
            <w:vAlign w:val="center"/>
          </w:tcPr>
          <w:p>
            <w:pPr>
              <w:snapToGrid w:val="0"/>
              <w:spacing w:before="157" w:line="360" w:lineRule="auto"/>
              <w:jc w:val="center"/>
              <w:rPr>
                <w:rFonts w:cs="宋体"/>
                <w:spacing w:val="-3"/>
                <w:sz w:val="21"/>
                <w:szCs w:val="21"/>
                <w:highlight w:val="none"/>
              </w:rPr>
            </w:pPr>
            <w:r>
              <w:rPr>
                <w:rFonts w:hint="eastAsia" w:cs="宋体"/>
                <w:spacing w:val="-10"/>
                <w:w w:val="98"/>
                <w:sz w:val="21"/>
                <w:szCs w:val="21"/>
                <w:highlight w:val="none"/>
              </w:rPr>
              <w:t>20</w:t>
            </w:r>
          </w:p>
        </w:tc>
        <w:tc>
          <w:tcPr>
            <w:tcW w:w="6984" w:type="dxa"/>
            <w:noWrap/>
            <w:vAlign w:val="center"/>
          </w:tcPr>
          <w:p>
            <w:pPr>
              <w:snapToGrid w:val="0"/>
              <w:spacing w:line="360" w:lineRule="auto"/>
              <w:jc w:val="left"/>
              <w:rPr>
                <w:rFonts w:cs="宋体"/>
                <w:sz w:val="21"/>
                <w:szCs w:val="21"/>
                <w:highlight w:val="none"/>
              </w:rPr>
            </w:pPr>
            <w:r>
              <w:rPr>
                <w:rFonts w:hint="eastAsia" w:cs="宋体"/>
                <w:spacing w:val="-1"/>
                <w:sz w:val="21"/>
                <w:szCs w:val="21"/>
                <w:highlight w:val="none"/>
              </w:rPr>
              <w:t>价格分统一采用</w:t>
            </w:r>
            <w:r>
              <w:rPr>
                <w:rFonts w:hint="eastAsia" w:cs="宋体"/>
                <w:b/>
                <w:bCs/>
                <w:spacing w:val="-1"/>
                <w:sz w:val="21"/>
                <w:szCs w:val="21"/>
                <w:highlight w:val="none"/>
              </w:rPr>
              <w:t>低价优先法计算</w:t>
            </w:r>
            <w:r>
              <w:rPr>
                <w:rFonts w:hint="eastAsia" w:cs="宋体"/>
                <w:spacing w:val="-1"/>
                <w:sz w:val="21"/>
                <w:szCs w:val="21"/>
                <w:highlight w:val="none"/>
              </w:rPr>
              <w:t>，即满足招标文件要求且投标报价最低的为评标基准价，其价格分为满分。其他供应商的价格分统一按照下列公式计算：投标报价得分=(评标基准价／投标报价)×20。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916" w:type="dxa"/>
            <w:vMerge w:val="restart"/>
            <w:tcBorders>
              <w:top w:val="single" w:color="auto" w:sz="4" w:space="0"/>
              <w:left w:val="single" w:color="auto" w:sz="4" w:space="0"/>
              <w:right w:val="single" w:color="auto" w:sz="4" w:space="0"/>
            </w:tcBorders>
            <w:noWrap/>
            <w:vAlign w:val="center"/>
          </w:tcPr>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2.2.3</w:t>
            </w:r>
          </w:p>
        </w:tc>
        <w:tc>
          <w:tcPr>
            <w:tcW w:w="945" w:type="dxa"/>
            <w:vMerge w:val="restart"/>
            <w:tcBorders>
              <w:top w:val="single" w:color="auto" w:sz="4" w:space="0"/>
              <w:left w:val="single" w:color="auto" w:sz="4" w:space="0"/>
              <w:right w:val="single" w:color="auto" w:sz="4" w:space="0"/>
            </w:tcBorders>
            <w:noWrap/>
            <w:vAlign w:val="center"/>
          </w:tcPr>
          <w:p>
            <w:pPr>
              <w:snapToGrid w:val="0"/>
              <w:spacing w:before="56" w:line="360" w:lineRule="auto"/>
              <w:ind w:right="134"/>
              <w:jc w:val="center"/>
              <w:rPr>
                <w:rFonts w:cs="宋体"/>
                <w:spacing w:val="-6"/>
                <w:sz w:val="21"/>
                <w:szCs w:val="21"/>
                <w:highlight w:val="none"/>
              </w:rPr>
            </w:pPr>
            <w:r>
              <w:rPr>
                <w:rFonts w:hint="eastAsia" w:cs="宋体"/>
                <w:spacing w:val="-6"/>
                <w:sz w:val="21"/>
                <w:szCs w:val="21"/>
                <w:highlight w:val="none"/>
              </w:rPr>
              <w:t>商务部分</w:t>
            </w:r>
          </w:p>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30分</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center"/>
              <w:rPr>
                <w:rFonts w:cs="宋体"/>
                <w:kern w:val="0"/>
                <w:sz w:val="21"/>
                <w:szCs w:val="21"/>
                <w:highlight w:val="none"/>
                <w:lang w:eastAsia="en-US"/>
              </w:rPr>
            </w:pPr>
            <w:r>
              <w:rPr>
                <w:rFonts w:hint="eastAsia" w:cs="宋体"/>
                <w:kern w:val="0"/>
                <w:sz w:val="21"/>
                <w:szCs w:val="21"/>
                <w:highlight w:val="none"/>
                <w:lang w:val="zh-CN" w:bidi="zh-CN"/>
              </w:rPr>
              <w:t>类似项目</w:t>
            </w:r>
            <w:r>
              <w:rPr>
                <w:rFonts w:hint="eastAsia" w:cs="宋体"/>
                <w:kern w:val="0"/>
                <w:sz w:val="21"/>
                <w:szCs w:val="21"/>
                <w:highlight w:val="none"/>
                <w:lang w:bidi="zh-CN"/>
              </w:rPr>
              <w:t>业绩</w:t>
            </w:r>
          </w:p>
        </w:tc>
        <w:tc>
          <w:tcPr>
            <w:tcW w:w="480" w:type="dxa"/>
            <w:tcBorders>
              <w:left w:val="single" w:color="auto" w:sz="4" w:space="0"/>
              <w:bottom w:val="single" w:color="auto" w:sz="4" w:space="0"/>
            </w:tcBorders>
            <w:noWrap/>
            <w:vAlign w:val="center"/>
          </w:tcPr>
          <w:p>
            <w:pPr>
              <w:snapToGrid w:val="0"/>
              <w:spacing w:before="75" w:line="360" w:lineRule="auto"/>
              <w:jc w:val="center"/>
              <w:rPr>
                <w:rFonts w:cs="宋体"/>
                <w:sz w:val="21"/>
                <w:szCs w:val="21"/>
                <w:highlight w:val="none"/>
                <w:lang w:val="zh-CN" w:bidi="zh-CN"/>
              </w:rPr>
            </w:pPr>
            <w:r>
              <w:rPr>
                <w:rFonts w:hint="eastAsia" w:cs="宋体"/>
                <w:spacing w:val="-10"/>
                <w:w w:val="98"/>
                <w:sz w:val="21"/>
                <w:szCs w:val="21"/>
                <w:highlight w:val="none"/>
              </w:rPr>
              <w:t>4</w:t>
            </w:r>
          </w:p>
        </w:tc>
        <w:tc>
          <w:tcPr>
            <w:tcW w:w="6984" w:type="dxa"/>
            <w:tcBorders>
              <w:bottom w:val="single" w:color="auto" w:sz="4" w:space="0"/>
            </w:tcBorders>
            <w:noWrap/>
          </w:tcPr>
          <w:p>
            <w:pPr>
              <w:snapToGrid w:val="0"/>
              <w:spacing w:line="360" w:lineRule="auto"/>
              <w:rPr>
                <w:rFonts w:cs="宋体"/>
                <w:sz w:val="21"/>
                <w:szCs w:val="21"/>
                <w:highlight w:val="none"/>
              </w:rPr>
            </w:pPr>
            <w:r>
              <w:rPr>
                <w:rFonts w:hint="eastAsia" w:cs="宋体"/>
                <w:sz w:val="21"/>
                <w:szCs w:val="21"/>
                <w:highlight w:val="none"/>
              </w:rPr>
              <w:t>（1）供应商近三年（2022 年7月至今）服务的类似项目（类似项目：食堂餐饮服务项目），每一项得 1 分，最高分为4分。</w:t>
            </w:r>
          </w:p>
          <w:p>
            <w:pPr>
              <w:snapToGrid w:val="0"/>
              <w:spacing w:line="360" w:lineRule="auto"/>
              <w:rPr>
                <w:rFonts w:cs="宋体"/>
                <w:sz w:val="21"/>
                <w:szCs w:val="21"/>
                <w:highlight w:val="none"/>
              </w:rPr>
            </w:pPr>
            <w:r>
              <w:rPr>
                <w:rFonts w:hint="eastAsia" w:cs="宋体"/>
                <w:sz w:val="21"/>
                <w:szCs w:val="21"/>
                <w:highlight w:val="none"/>
              </w:rPr>
              <w:t>注：业绩证明材料以业绩合同和中标通知书，或者业绩合同和所对应的增值税发票为准。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1" w:hRule="atLeast"/>
        </w:trPr>
        <w:tc>
          <w:tcPr>
            <w:tcW w:w="916" w:type="dxa"/>
            <w:vMerge w:val="continue"/>
            <w:tcBorders>
              <w:left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945" w:type="dxa"/>
            <w:vMerge w:val="continue"/>
            <w:tcBorders>
              <w:left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cs="宋体"/>
                <w:kern w:val="0"/>
                <w:sz w:val="21"/>
                <w:szCs w:val="21"/>
                <w:highlight w:val="none"/>
              </w:rPr>
            </w:pPr>
            <w:r>
              <w:rPr>
                <w:rFonts w:hint="eastAsia" w:cs="宋体"/>
                <w:kern w:val="0"/>
                <w:sz w:val="21"/>
                <w:szCs w:val="21"/>
                <w:highlight w:val="none"/>
              </w:rPr>
              <w:t>专业人员</w:t>
            </w:r>
          </w:p>
          <w:p>
            <w:pPr>
              <w:widowControl/>
              <w:snapToGrid w:val="0"/>
              <w:spacing w:line="360" w:lineRule="auto"/>
              <w:jc w:val="center"/>
              <w:rPr>
                <w:rFonts w:cs="宋体"/>
                <w:spacing w:val="-5"/>
                <w:sz w:val="21"/>
                <w:szCs w:val="21"/>
                <w:highlight w:val="none"/>
              </w:rPr>
            </w:pPr>
            <w:r>
              <w:rPr>
                <w:rFonts w:hint="eastAsia" w:cs="宋体"/>
                <w:kern w:val="0"/>
                <w:sz w:val="21"/>
                <w:szCs w:val="21"/>
                <w:highlight w:val="none"/>
              </w:rPr>
              <w:t>配备</w:t>
            </w:r>
          </w:p>
        </w:tc>
        <w:tc>
          <w:tcPr>
            <w:tcW w:w="480" w:type="dxa"/>
            <w:tcBorders>
              <w:top w:val="single" w:color="auto" w:sz="4" w:space="0"/>
              <w:left w:val="single" w:color="auto" w:sz="4" w:space="0"/>
              <w:bottom w:val="single" w:color="auto" w:sz="4" w:space="0"/>
            </w:tcBorders>
            <w:noWrap/>
            <w:vAlign w:val="center"/>
          </w:tcPr>
          <w:p>
            <w:pPr>
              <w:snapToGrid w:val="0"/>
              <w:spacing w:before="296" w:line="360" w:lineRule="auto"/>
              <w:jc w:val="center"/>
              <w:rPr>
                <w:rFonts w:cs="宋体"/>
                <w:kern w:val="0"/>
                <w:sz w:val="21"/>
                <w:szCs w:val="21"/>
                <w:highlight w:val="none"/>
              </w:rPr>
            </w:pPr>
            <w:r>
              <w:rPr>
                <w:rFonts w:hint="eastAsia" w:cs="宋体"/>
                <w:sz w:val="21"/>
                <w:szCs w:val="21"/>
                <w:highlight w:val="none"/>
              </w:rPr>
              <w:t>12</w:t>
            </w:r>
          </w:p>
        </w:tc>
        <w:tc>
          <w:tcPr>
            <w:tcW w:w="6984" w:type="dxa"/>
            <w:tcBorders>
              <w:top w:val="single" w:color="auto" w:sz="4" w:space="0"/>
              <w:bottom w:val="single" w:color="auto" w:sz="4" w:space="0"/>
            </w:tcBorders>
            <w:noWrap/>
          </w:tcPr>
          <w:p>
            <w:pPr>
              <w:snapToGrid w:val="0"/>
              <w:spacing w:line="360" w:lineRule="auto"/>
              <w:rPr>
                <w:rFonts w:cs="宋体"/>
                <w:sz w:val="21"/>
                <w:szCs w:val="21"/>
                <w:highlight w:val="none"/>
              </w:rPr>
            </w:pPr>
            <w:r>
              <w:rPr>
                <w:rFonts w:hint="eastAsia" w:cs="宋体"/>
                <w:sz w:val="21"/>
                <w:szCs w:val="21"/>
                <w:highlight w:val="none"/>
              </w:rPr>
              <w:t>（1）拟派本项目人员上岗须配备有国家行业职业资格证书，有“三级以上含三级中式烹调师资格证书”5名以上的得5分（含5名），不满5名的得2分，未提供不得分，最高得5分。</w:t>
            </w:r>
          </w:p>
          <w:p>
            <w:pPr>
              <w:snapToGrid w:val="0"/>
              <w:spacing w:line="360" w:lineRule="auto"/>
              <w:rPr>
                <w:rFonts w:cs="宋体"/>
                <w:sz w:val="21"/>
                <w:szCs w:val="21"/>
                <w:highlight w:val="none"/>
              </w:rPr>
            </w:pPr>
            <w:r>
              <w:rPr>
                <w:rFonts w:hint="eastAsia" w:cs="宋体"/>
                <w:sz w:val="21"/>
                <w:szCs w:val="21"/>
                <w:highlight w:val="none"/>
              </w:rPr>
              <w:t>（2）拟派本项目人员上岗须配备有国家行业职业资格证书，有“三级以上含三级中式面点师资格证书”5名以上的得5分（含5名），不满5名的得3分，未提供不得分，最高得5分。</w:t>
            </w:r>
          </w:p>
          <w:p>
            <w:pPr>
              <w:snapToGrid w:val="0"/>
              <w:spacing w:line="360" w:lineRule="auto"/>
              <w:rPr>
                <w:rFonts w:cs="宋体"/>
                <w:sz w:val="21"/>
                <w:szCs w:val="21"/>
                <w:highlight w:val="none"/>
              </w:rPr>
            </w:pPr>
            <w:r>
              <w:rPr>
                <w:rFonts w:hint="eastAsia" w:cs="宋体"/>
                <w:sz w:val="21"/>
                <w:szCs w:val="21"/>
                <w:highlight w:val="none"/>
              </w:rPr>
              <w:t>（3）拟派本项目人员上岗须配备有国家行业职业资格证书，有公共营养师证书的得 1 分，有食品安全员证书的得 1分，未提供不得分，最高得2分。</w:t>
            </w:r>
          </w:p>
          <w:p>
            <w:pPr>
              <w:snapToGrid w:val="0"/>
              <w:spacing w:line="360" w:lineRule="auto"/>
              <w:rPr>
                <w:rFonts w:cs="宋体"/>
                <w:spacing w:val="-7"/>
                <w:sz w:val="21"/>
                <w:szCs w:val="21"/>
                <w:highlight w:val="none"/>
              </w:rPr>
            </w:pPr>
            <w:r>
              <w:rPr>
                <w:rFonts w:hint="eastAsia" w:cs="宋体"/>
                <w:sz w:val="21"/>
                <w:szCs w:val="21"/>
                <w:highlight w:val="none"/>
              </w:rPr>
              <w:t>注：提供投标供应商专业人员证书的须同时提供该员工投标截止日期前6个月任意三个月（不含投标截止当月）的社保证明材料，投标文件中附复印件。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916" w:type="dxa"/>
            <w:vMerge w:val="continue"/>
            <w:tcBorders>
              <w:left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945" w:type="dxa"/>
            <w:vMerge w:val="continue"/>
            <w:tcBorders>
              <w:left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cs="宋体"/>
                <w:kern w:val="0"/>
                <w:sz w:val="21"/>
                <w:szCs w:val="21"/>
                <w:highlight w:val="none"/>
              </w:rPr>
            </w:pPr>
            <w:r>
              <w:rPr>
                <w:rFonts w:hint="eastAsia" w:cs="宋体"/>
                <w:kern w:val="0"/>
                <w:sz w:val="21"/>
                <w:szCs w:val="21"/>
                <w:highlight w:val="none"/>
              </w:rPr>
              <w:t>项目负责人能力</w:t>
            </w:r>
          </w:p>
        </w:tc>
        <w:tc>
          <w:tcPr>
            <w:tcW w:w="480" w:type="dxa"/>
            <w:tcBorders>
              <w:top w:val="single" w:color="auto" w:sz="4" w:space="0"/>
              <w:left w:val="single" w:color="auto" w:sz="4" w:space="0"/>
            </w:tcBorders>
            <w:noWrap/>
            <w:vAlign w:val="center"/>
          </w:tcPr>
          <w:p>
            <w:pPr>
              <w:snapToGrid w:val="0"/>
              <w:spacing w:before="296" w:line="360" w:lineRule="auto"/>
              <w:jc w:val="center"/>
              <w:rPr>
                <w:rFonts w:cs="宋体"/>
                <w:kern w:val="0"/>
                <w:sz w:val="21"/>
                <w:szCs w:val="21"/>
                <w:highlight w:val="none"/>
              </w:rPr>
            </w:pPr>
            <w:r>
              <w:rPr>
                <w:rFonts w:hint="eastAsia" w:cs="宋体"/>
                <w:sz w:val="21"/>
                <w:szCs w:val="21"/>
                <w:highlight w:val="none"/>
              </w:rPr>
              <w:t>5</w:t>
            </w:r>
          </w:p>
        </w:tc>
        <w:tc>
          <w:tcPr>
            <w:tcW w:w="6984" w:type="dxa"/>
            <w:tcBorders>
              <w:top w:val="single" w:color="auto" w:sz="4" w:space="0"/>
            </w:tcBorders>
            <w:noWrap/>
          </w:tcPr>
          <w:p>
            <w:pPr>
              <w:snapToGrid w:val="0"/>
              <w:spacing w:line="360" w:lineRule="auto"/>
              <w:rPr>
                <w:rFonts w:cs="宋体"/>
                <w:sz w:val="21"/>
                <w:szCs w:val="21"/>
                <w:highlight w:val="none"/>
              </w:rPr>
            </w:pPr>
            <w:r>
              <w:rPr>
                <w:rFonts w:hint="eastAsia" w:cs="宋体"/>
                <w:sz w:val="21"/>
                <w:szCs w:val="21"/>
                <w:highlight w:val="none"/>
              </w:rPr>
              <w:t>（1）拟派本项目负责人同时配备有国家餐饮行业“高级职业经理人”、“高级食品安全管理师”、“公共营养师”、“中式烹调师（三级以上）”、“厨政管理”、“营养配餐”证书的，得5分，未提供或提供不全不得分。</w:t>
            </w:r>
          </w:p>
          <w:p>
            <w:pPr>
              <w:snapToGrid w:val="0"/>
              <w:spacing w:line="360" w:lineRule="auto"/>
              <w:rPr>
                <w:rFonts w:cs="宋体"/>
                <w:sz w:val="21"/>
                <w:szCs w:val="21"/>
                <w:highlight w:val="none"/>
              </w:rPr>
            </w:pPr>
            <w:r>
              <w:rPr>
                <w:rFonts w:hint="eastAsia" w:cs="宋体"/>
                <w:sz w:val="21"/>
                <w:szCs w:val="21"/>
                <w:highlight w:val="none"/>
              </w:rPr>
              <w:t>注：提供投标供应商项目负责人证书的须同时提供该项目负责人投标截止日期前6个月任意三个月（不含投标截止当月）的社保证明材料，投标文件中附复印件。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16" w:type="dxa"/>
            <w:vMerge w:val="continue"/>
            <w:tcBorders>
              <w:left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945" w:type="dxa"/>
            <w:vMerge w:val="continue"/>
            <w:tcBorders>
              <w:left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snapToGrid w:val="0"/>
              <w:spacing w:before="212" w:line="360" w:lineRule="auto"/>
              <w:jc w:val="center"/>
              <w:rPr>
                <w:rFonts w:cs="宋体"/>
                <w:spacing w:val="-3"/>
                <w:sz w:val="21"/>
                <w:szCs w:val="21"/>
                <w:highlight w:val="none"/>
              </w:rPr>
            </w:pPr>
            <w:r>
              <w:rPr>
                <w:rFonts w:hint="eastAsia" w:cs="宋体"/>
                <w:spacing w:val="-3"/>
                <w:sz w:val="21"/>
                <w:szCs w:val="21"/>
                <w:highlight w:val="none"/>
              </w:rPr>
              <w:t>企业荣誉</w:t>
            </w:r>
          </w:p>
        </w:tc>
        <w:tc>
          <w:tcPr>
            <w:tcW w:w="480" w:type="dxa"/>
            <w:tcBorders>
              <w:left w:val="single" w:color="auto" w:sz="4" w:space="0"/>
            </w:tcBorders>
            <w:noWrap/>
            <w:vAlign w:val="center"/>
          </w:tcPr>
          <w:p>
            <w:pPr>
              <w:snapToGrid w:val="0"/>
              <w:spacing w:before="159" w:line="360" w:lineRule="auto"/>
              <w:jc w:val="center"/>
              <w:rPr>
                <w:rFonts w:cs="宋体"/>
                <w:spacing w:val="-3"/>
                <w:sz w:val="21"/>
                <w:szCs w:val="21"/>
                <w:highlight w:val="none"/>
              </w:rPr>
            </w:pPr>
            <w:r>
              <w:rPr>
                <w:rFonts w:hint="eastAsia" w:cs="宋体"/>
                <w:sz w:val="21"/>
                <w:szCs w:val="21"/>
                <w:highlight w:val="none"/>
              </w:rPr>
              <w:t>3</w:t>
            </w:r>
          </w:p>
        </w:tc>
        <w:tc>
          <w:tcPr>
            <w:tcW w:w="6984" w:type="dxa"/>
            <w:noWrap/>
          </w:tcPr>
          <w:p>
            <w:pPr>
              <w:snapToGrid w:val="0"/>
              <w:spacing w:line="360" w:lineRule="auto"/>
              <w:rPr>
                <w:rFonts w:cs="宋体"/>
                <w:sz w:val="21"/>
                <w:szCs w:val="21"/>
                <w:highlight w:val="none"/>
              </w:rPr>
            </w:pPr>
            <w:r>
              <w:rPr>
                <w:rFonts w:hint="eastAsia" w:cs="宋体"/>
                <w:sz w:val="21"/>
                <w:szCs w:val="21"/>
                <w:highlight w:val="none"/>
              </w:rPr>
              <w:t>（1）供应商近三年（2022年7月至今）获得省级市场监督管理局授予“守合同重信用”荣誉奖项，得1分；最高得1分。提供复印件作为证明材料。</w:t>
            </w:r>
          </w:p>
          <w:p>
            <w:pPr>
              <w:snapToGrid w:val="0"/>
              <w:spacing w:line="360" w:lineRule="auto"/>
              <w:rPr>
                <w:rFonts w:cs="宋体"/>
                <w:sz w:val="21"/>
                <w:szCs w:val="21"/>
                <w:highlight w:val="none"/>
              </w:rPr>
            </w:pPr>
            <w:r>
              <w:rPr>
                <w:rFonts w:hint="eastAsia" w:cs="宋体"/>
                <w:sz w:val="21"/>
                <w:szCs w:val="21"/>
                <w:highlight w:val="none"/>
              </w:rPr>
              <w:t>（2）供应商近三年（2022年7月至今）获得市级市场监督管理局授予“守合同重信用”荣誉奖项，得 1分；最高得1分。提供复印件作为证明材料。</w:t>
            </w:r>
          </w:p>
          <w:p>
            <w:pPr>
              <w:snapToGrid w:val="0"/>
              <w:spacing w:before="57" w:line="360" w:lineRule="auto"/>
              <w:ind w:right="99"/>
              <w:jc w:val="left"/>
              <w:rPr>
                <w:rFonts w:cs="宋体"/>
                <w:spacing w:val="2"/>
                <w:sz w:val="21"/>
                <w:szCs w:val="21"/>
                <w:highlight w:val="none"/>
              </w:rPr>
            </w:pPr>
            <w:r>
              <w:rPr>
                <w:rFonts w:hint="eastAsia" w:cs="宋体"/>
                <w:sz w:val="21"/>
                <w:szCs w:val="21"/>
                <w:highlight w:val="none"/>
                <w:lang w:val="zh-CN" w:bidi="zh-CN"/>
              </w:rPr>
              <w:t>（</w:t>
            </w:r>
            <w:r>
              <w:rPr>
                <w:rFonts w:hint="eastAsia" w:cs="宋体"/>
                <w:sz w:val="21"/>
                <w:szCs w:val="21"/>
                <w:highlight w:val="none"/>
                <w:lang w:bidi="zh-CN"/>
              </w:rPr>
              <w:t>3</w:t>
            </w:r>
            <w:r>
              <w:rPr>
                <w:rFonts w:hint="eastAsia" w:cs="宋体"/>
                <w:sz w:val="21"/>
                <w:szCs w:val="21"/>
                <w:highlight w:val="none"/>
                <w:lang w:val="zh-CN" w:bidi="zh-CN"/>
              </w:rPr>
              <w:t xml:space="preserve">）供应商获得餐饮行业其他荣誉奖项，每个得 </w:t>
            </w:r>
            <w:r>
              <w:rPr>
                <w:rFonts w:hint="eastAsia" w:cs="宋体"/>
                <w:sz w:val="21"/>
                <w:szCs w:val="21"/>
                <w:highlight w:val="none"/>
                <w:lang w:bidi="zh-CN"/>
              </w:rPr>
              <w:t>0.5</w:t>
            </w:r>
            <w:r>
              <w:rPr>
                <w:rFonts w:hint="eastAsia" w:cs="宋体"/>
                <w:sz w:val="21"/>
                <w:szCs w:val="21"/>
                <w:highlight w:val="none"/>
                <w:lang w:val="zh-CN" w:bidi="zh-CN"/>
              </w:rPr>
              <w:t>分；最高得</w:t>
            </w:r>
            <w:r>
              <w:rPr>
                <w:rFonts w:hint="eastAsia" w:cs="宋体"/>
                <w:sz w:val="21"/>
                <w:szCs w:val="21"/>
                <w:highlight w:val="none"/>
                <w:lang w:bidi="zh-CN"/>
              </w:rPr>
              <w:t>1分；</w:t>
            </w:r>
            <w:r>
              <w:rPr>
                <w:rFonts w:hint="eastAsia" w:cs="宋体"/>
                <w:sz w:val="21"/>
                <w:szCs w:val="21"/>
                <w:highlight w:val="none"/>
                <w:lang w:val="zh-CN" w:bidi="zh-CN"/>
              </w:rPr>
              <w:t>提供复印件作为证明材料。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2" w:hRule="atLeast"/>
        </w:trPr>
        <w:tc>
          <w:tcPr>
            <w:tcW w:w="916" w:type="dxa"/>
            <w:vMerge w:val="continue"/>
            <w:tcBorders>
              <w:left w:val="single" w:color="auto" w:sz="4" w:space="0"/>
              <w:bottom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945" w:type="dxa"/>
            <w:vMerge w:val="continue"/>
            <w:tcBorders>
              <w:left w:val="single" w:color="auto" w:sz="4" w:space="0"/>
              <w:bottom w:val="single" w:color="auto" w:sz="4" w:space="0"/>
              <w:right w:val="single" w:color="auto" w:sz="4" w:space="0"/>
            </w:tcBorders>
            <w:noWrap/>
          </w:tcPr>
          <w:p>
            <w:pPr>
              <w:snapToGrid w:val="0"/>
              <w:spacing w:before="56" w:line="360" w:lineRule="auto"/>
              <w:ind w:left="163" w:right="134" w:firstLine="9"/>
              <w:rPr>
                <w:rFonts w:cs="宋体"/>
                <w:spacing w:val="-6"/>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snapToGrid w:val="0"/>
              <w:spacing w:before="212" w:line="360" w:lineRule="auto"/>
              <w:jc w:val="center"/>
              <w:rPr>
                <w:rFonts w:cs="宋体"/>
                <w:spacing w:val="-3"/>
                <w:sz w:val="21"/>
                <w:szCs w:val="21"/>
                <w:highlight w:val="none"/>
              </w:rPr>
            </w:pPr>
            <w:r>
              <w:rPr>
                <w:rFonts w:hint="eastAsia" w:cs="宋体"/>
                <w:spacing w:val="-3"/>
                <w:sz w:val="21"/>
                <w:szCs w:val="21"/>
                <w:highlight w:val="none"/>
              </w:rPr>
              <w:t>企业实力</w:t>
            </w:r>
          </w:p>
        </w:tc>
        <w:tc>
          <w:tcPr>
            <w:tcW w:w="480" w:type="dxa"/>
            <w:tcBorders>
              <w:left w:val="single" w:color="auto" w:sz="4" w:space="0"/>
            </w:tcBorders>
            <w:noWrap/>
            <w:vAlign w:val="center"/>
          </w:tcPr>
          <w:p>
            <w:pPr>
              <w:snapToGrid w:val="0"/>
              <w:spacing w:before="159" w:line="360" w:lineRule="auto"/>
              <w:jc w:val="center"/>
              <w:rPr>
                <w:rFonts w:cs="宋体"/>
                <w:sz w:val="21"/>
                <w:szCs w:val="21"/>
                <w:highlight w:val="none"/>
              </w:rPr>
            </w:pPr>
            <w:r>
              <w:rPr>
                <w:rFonts w:hint="eastAsia" w:cs="宋体"/>
                <w:sz w:val="21"/>
                <w:szCs w:val="21"/>
                <w:highlight w:val="none"/>
              </w:rPr>
              <w:t>6</w:t>
            </w:r>
          </w:p>
        </w:tc>
        <w:tc>
          <w:tcPr>
            <w:tcW w:w="6984" w:type="dxa"/>
            <w:noWrap/>
          </w:tcPr>
          <w:p>
            <w:pPr>
              <w:snapToGrid w:val="0"/>
              <w:spacing w:line="360" w:lineRule="auto"/>
              <w:ind w:firstLine="2"/>
              <w:rPr>
                <w:rFonts w:cs="宋体"/>
                <w:sz w:val="21"/>
                <w:szCs w:val="21"/>
                <w:highlight w:val="none"/>
              </w:rPr>
            </w:pPr>
            <w:r>
              <w:rPr>
                <w:rFonts w:hint="eastAsia" w:cs="宋体"/>
                <w:sz w:val="21"/>
                <w:szCs w:val="21"/>
                <w:highlight w:val="none"/>
              </w:rPr>
              <w:t>供应商已通过质量管理体系认证、环境管理体系认证、职业健康安全管理体系认证。3 证须在有效期内，每提供1个证书得 2 分，3证齐全得 6 分,未提供不得分。</w:t>
            </w:r>
          </w:p>
          <w:p>
            <w:pPr>
              <w:snapToGrid w:val="0"/>
              <w:spacing w:line="360" w:lineRule="auto"/>
              <w:rPr>
                <w:rFonts w:cs="宋体"/>
                <w:sz w:val="21"/>
                <w:szCs w:val="21"/>
                <w:highlight w:val="none"/>
                <w:lang w:bidi="zh-CN"/>
              </w:rPr>
            </w:pPr>
            <w:r>
              <w:rPr>
                <w:rFonts w:hint="eastAsia" w:cs="宋体"/>
                <w:sz w:val="21"/>
                <w:szCs w:val="21"/>
                <w:highlight w:val="none"/>
              </w:rPr>
              <w:t>注：须提供证书复印件并加盖公章，并附全国认证认可信息公共服务平台【http://cx.cnca.cn/】网页查询截面图加盖供应商公章。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9" w:hRule="atLeast"/>
        </w:trPr>
        <w:tc>
          <w:tcPr>
            <w:tcW w:w="916" w:type="dxa"/>
            <w:vMerge w:val="restart"/>
            <w:tcBorders>
              <w:top w:val="single" w:color="auto" w:sz="4" w:space="0"/>
            </w:tcBorders>
            <w:noWrap/>
            <w:vAlign w:val="center"/>
          </w:tcPr>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2.2.4</w:t>
            </w:r>
          </w:p>
        </w:tc>
        <w:tc>
          <w:tcPr>
            <w:tcW w:w="945" w:type="dxa"/>
            <w:vMerge w:val="restart"/>
            <w:tcBorders>
              <w:top w:val="single" w:color="auto" w:sz="4" w:space="0"/>
            </w:tcBorders>
            <w:noWrap/>
            <w:vAlign w:val="center"/>
          </w:tcPr>
          <w:p>
            <w:pPr>
              <w:snapToGrid w:val="0"/>
              <w:spacing w:before="56" w:line="360" w:lineRule="auto"/>
              <w:ind w:right="134"/>
              <w:jc w:val="center"/>
              <w:rPr>
                <w:rFonts w:cs="宋体"/>
                <w:spacing w:val="-6"/>
                <w:sz w:val="21"/>
                <w:szCs w:val="21"/>
                <w:highlight w:val="none"/>
              </w:rPr>
            </w:pPr>
            <w:r>
              <w:rPr>
                <w:rFonts w:hint="eastAsia" w:cs="宋体"/>
                <w:spacing w:val="-6"/>
                <w:sz w:val="21"/>
                <w:szCs w:val="21"/>
                <w:highlight w:val="none"/>
              </w:rPr>
              <w:t>技术部分</w:t>
            </w:r>
          </w:p>
          <w:p>
            <w:pPr>
              <w:snapToGrid w:val="0"/>
              <w:spacing w:before="56" w:line="360" w:lineRule="auto"/>
              <w:ind w:left="163" w:right="134" w:firstLine="9"/>
              <w:jc w:val="center"/>
              <w:rPr>
                <w:rFonts w:cs="宋体"/>
                <w:spacing w:val="-6"/>
                <w:sz w:val="21"/>
                <w:szCs w:val="21"/>
                <w:highlight w:val="none"/>
              </w:rPr>
            </w:pPr>
            <w:r>
              <w:rPr>
                <w:rFonts w:hint="eastAsia" w:cs="宋体"/>
                <w:spacing w:val="-6"/>
                <w:sz w:val="21"/>
                <w:szCs w:val="21"/>
                <w:highlight w:val="none"/>
              </w:rPr>
              <w:t>50分</w:t>
            </w:r>
          </w:p>
        </w:tc>
        <w:tc>
          <w:tcPr>
            <w:tcW w:w="1035" w:type="dxa"/>
            <w:tcBorders>
              <w:top w:val="single" w:color="auto" w:sz="4" w:space="0"/>
              <w:bottom w:val="single" w:color="auto" w:sz="4" w:space="0"/>
            </w:tcBorders>
            <w:noWrap/>
            <w:vAlign w:val="center"/>
          </w:tcPr>
          <w:p>
            <w:pPr>
              <w:autoSpaceDE w:val="0"/>
              <w:autoSpaceDN w:val="0"/>
              <w:snapToGrid w:val="0"/>
              <w:spacing w:line="360" w:lineRule="auto"/>
              <w:jc w:val="center"/>
              <w:rPr>
                <w:rFonts w:cs="宋体"/>
                <w:kern w:val="0"/>
                <w:sz w:val="21"/>
                <w:szCs w:val="21"/>
                <w:highlight w:val="none"/>
              </w:rPr>
            </w:pPr>
            <w:r>
              <w:rPr>
                <w:rFonts w:hint="eastAsia" w:cs="宋体"/>
                <w:kern w:val="0"/>
                <w:sz w:val="21"/>
                <w:szCs w:val="21"/>
                <w:highlight w:val="none"/>
                <w:lang w:val="zh-CN" w:bidi="zh-CN"/>
              </w:rPr>
              <w:t>服务方案</w:t>
            </w:r>
          </w:p>
        </w:tc>
        <w:tc>
          <w:tcPr>
            <w:tcW w:w="480" w:type="dxa"/>
            <w:tcBorders>
              <w:bottom w:val="single" w:color="auto" w:sz="4" w:space="0"/>
            </w:tcBorders>
            <w:noWrap/>
            <w:vAlign w:val="center"/>
          </w:tcPr>
          <w:p>
            <w:pPr>
              <w:autoSpaceDE w:val="0"/>
              <w:autoSpaceDN w:val="0"/>
              <w:snapToGrid w:val="0"/>
              <w:spacing w:line="360" w:lineRule="auto"/>
              <w:jc w:val="center"/>
              <w:rPr>
                <w:rFonts w:cs="宋体"/>
                <w:kern w:val="0"/>
                <w:sz w:val="21"/>
                <w:szCs w:val="21"/>
                <w:highlight w:val="none"/>
                <w:lang w:bidi="zh-CN"/>
              </w:rPr>
            </w:pPr>
            <w:r>
              <w:rPr>
                <w:rFonts w:hint="eastAsia" w:cs="宋体"/>
                <w:kern w:val="0"/>
                <w:sz w:val="21"/>
                <w:szCs w:val="21"/>
                <w:highlight w:val="none"/>
                <w:lang w:bidi="zh-CN"/>
              </w:rPr>
              <w:t>10</w:t>
            </w:r>
          </w:p>
        </w:tc>
        <w:tc>
          <w:tcPr>
            <w:tcW w:w="6984" w:type="dxa"/>
            <w:tcBorders>
              <w:bottom w:val="single" w:color="auto" w:sz="4" w:space="0"/>
            </w:tcBorders>
            <w:noWrap/>
          </w:tcPr>
          <w:p>
            <w:pPr>
              <w:snapToGrid w:val="0"/>
              <w:spacing w:line="360" w:lineRule="auto"/>
              <w:rPr>
                <w:rFonts w:cs="宋体"/>
                <w:sz w:val="21"/>
                <w:szCs w:val="21"/>
                <w:highlight w:val="none"/>
              </w:rPr>
            </w:pPr>
            <w:r>
              <w:rPr>
                <w:rFonts w:hint="eastAsia" w:cs="宋体"/>
                <w:sz w:val="21"/>
                <w:szCs w:val="21"/>
                <w:highlight w:val="none"/>
              </w:rPr>
              <w:t>根据投标的具体服务方案进行评分：</w:t>
            </w:r>
          </w:p>
          <w:p>
            <w:pPr>
              <w:numPr>
                <w:ilvl w:val="0"/>
                <w:numId w:val="2"/>
              </w:numPr>
              <w:snapToGrid w:val="0"/>
              <w:spacing w:line="360" w:lineRule="auto"/>
              <w:rPr>
                <w:rFonts w:cs="宋体"/>
                <w:sz w:val="21"/>
                <w:szCs w:val="21"/>
                <w:highlight w:val="none"/>
              </w:rPr>
            </w:pPr>
            <w:r>
              <w:rPr>
                <w:rFonts w:hint="eastAsia" w:cs="宋体"/>
                <w:sz w:val="21"/>
                <w:szCs w:val="21"/>
                <w:highlight w:val="none"/>
              </w:rPr>
              <w:t>整体方案、措施科学、合理、针对性和可行性强，能考虑到实际情况，保障服务正常运行，得10分；</w:t>
            </w:r>
          </w:p>
          <w:p>
            <w:pPr>
              <w:numPr>
                <w:ilvl w:val="0"/>
                <w:numId w:val="2"/>
              </w:numPr>
              <w:snapToGrid w:val="0"/>
              <w:spacing w:line="360" w:lineRule="auto"/>
              <w:rPr>
                <w:rFonts w:cs="宋体"/>
                <w:sz w:val="21"/>
                <w:szCs w:val="21"/>
                <w:highlight w:val="none"/>
              </w:rPr>
            </w:pPr>
            <w:r>
              <w:rPr>
                <w:rFonts w:hint="eastAsia" w:cs="宋体"/>
                <w:sz w:val="21"/>
                <w:szCs w:val="21"/>
                <w:highlight w:val="none"/>
              </w:rPr>
              <w:t>整体方案措施基本可行，能够考虑到实际情况，服务能够正常开展，得8分；</w:t>
            </w:r>
          </w:p>
          <w:p>
            <w:pPr>
              <w:numPr>
                <w:ilvl w:val="0"/>
                <w:numId w:val="2"/>
              </w:numPr>
              <w:snapToGrid w:val="0"/>
              <w:spacing w:line="360" w:lineRule="auto"/>
              <w:rPr>
                <w:rFonts w:cs="宋体"/>
                <w:sz w:val="21"/>
                <w:szCs w:val="21"/>
                <w:highlight w:val="none"/>
              </w:rPr>
            </w:pPr>
            <w:r>
              <w:rPr>
                <w:rFonts w:hint="eastAsia" w:cs="宋体"/>
                <w:sz w:val="21"/>
                <w:szCs w:val="21"/>
                <w:highlight w:val="none"/>
              </w:rPr>
              <w:t>内容欠完整合理、不够具备针对性的得4分；</w:t>
            </w:r>
          </w:p>
          <w:p>
            <w:pPr>
              <w:numPr>
                <w:ilvl w:val="0"/>
                <w:numId w:val="2"/>
              </w:numPr>
              <w:snapToGrid w:val="0"/>
              <w:spacing w:line="360" w:lineRule="auto"/>
              <w:rPr>
                <w:rFonts w:cs="宋体"/>
                <w:sz w:val="21"/>
                <w:szCs w:val="21"/>
                <w:highlight w:val="none"/>
              </w:rPr>
            </w:pPr>
            <w:r>
              <w:rPr>
                <w:rFonts w:hint="eastAsia" w:cs="宋体"/>
                <w:sz w:val="21"/>
                <w:szCs w:val="21"/>
                <w:highlight w:val="none"/>
              </w:rPr>
              <w:t>方案、措施不科学、不合理，不能保证服务正常开展的得2分；</w:t>
            </w:r>
          </w:p>
          <w:p>
            <w:pPr>
              <w:numPr>
                <w:ilvl w:val="0"/>
                <w:numId w:val="2"/>
              </w:numPr>
              <w:snapToGrid w:val="0"/>
              <w:spacing w:line="360" w:lineRule="auto"/>
              <w:rPr>
                <w:rFonts w:cs="宋体"/>
                <w:sz w:val="21"/>
                <w:szCs w:val="21"/>
                <w:highlight w:val="none"/>
              </w:rPr>
            </w:pPr>
            <w:r>
              <w:rPr>
                <w:rFonts w:hint="eastAsia" w:cs="宋体"/>
                <w:sz w:val="21"/>
                <w:szCs w:val="21"/>
                <w:highlight w:val="none"/>
              </w:rPr>
              <w:t>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tcBorders>
              <w:top w:val="single" w:color="auto" w:sz="4" w:space="0"/>
              <w:left w:val="single" w:color="auto" w:sz="4" w:space="0"/>
              <w:bottom w:val="single" w:color="auto" w:sz="4" w:space="0"/>
            </w:tcBorders>
            <w:noWrap/>
            <w:vAlign w:val="center"/>
          </w:tcPr>
          <w:p>
            <w:pPr>
              <w:autoSpaceDE w:val="0"/>
              <w:autoSpaceDN w:val="0"/>
              <w:snapToGrid w:val="0"/>
              <w:spacing w:line="360" w:lineRule="auto"/>
              <w:jc w:val="center"/>
              <w:rPr>
                <w:rFonts w:cs="宋体"/>
                <w:kern w:val="0"/>
                <w:sz w:val="21"/>
                <w:szCs w:val="21"/>
                <w:highlight w:val="none"/>
              </w:rPr>
            </w:pPr>
            <w:r>
              <w:rPr>
                <w:rFonts w:hint="eastAsia" w:cs="宋体"/>
                <w:kern w:val="0"/>
                <w:sz w:val="21"/>
                <w:szCs w:val="21"/>
                <w:highlight w:val="none"/>
                <w:lang w:val="zh-CN" w:bidi="zh-CN"/>
              </w:rPr>
              <w:t>餐饮菜品</w:t>
            </w:r>
            <w:r>
              <w:rPr>
                <w:rFonts w:hint="eastAsia" w:cs="宋体"/>
                <w:kern w:val="0"/>
                <w:sz w:val="21"/>
                <w:szCs w:val="21"/>
                <w:highlight w:val="none"/>
                <w:lang w:bidi="zh-CN"/>
              </w:rPr>
              <w:t>内</w:t>
            </w:r>
            <w:r>
              <w:rPr>
                <w:rFonts w:hint="eastAsia" w:cs="宋体"/>
                <w:kern w:val="0"/>
                <w:sz w:val="21"/>
                <w:szCs w:val="21"/>
                <w:highlight w:val="none"/>
                <w:lang w:val="zh-CN" w:bidi="zh-CN"/>
              </w:rPr>
              <w:t>容规划与设计方案</w:t>
            </w:r>
          </w:p>
        </w:tc>
        <w:tc>
          <w:tcPr>
            <w:tcW w:w="480" w:type="dxa"/>
            <w:tcBorders>
              <w:top w:val="single" w:color="auto" w:sz="4" w:space="0"/>
              <w:bottom w:val="single" w:color="auto" w:sz="4" w:space="0"/>
              <w:right w:val="single" w:color="auto" w:sz="4" w:space="0"/>
            </w:tcBorders>
            <w:noWrap/>
            <w:vAlign w:val="center"/>
          </w:tcPr>
          <w:p>
            <w:pPr>
              <w:autoSpaceDE w:val="0"/>
              <w:autoSpaceDN w:val="0"/>
              <w:snapToGrid w:val="0"/>
              <w:spacing w:line="360" w:lineRule="auto"/>
              <w:jc w:val="center"/>
              <w:rPr>
                <w:rFonts w:cs="宋体"/>
                <w:kern w:val="0"/>
                <w:sz w:val="21"/>
                <w:szCs w:val="21"/>
                <w:highlight w:val="none"/>
                <w:lang w:val="zh-CN" w:bidi="zh-CN"/>
              </w:rPr>
            </w:pPr>
            <w:r>
              <w:rPr>
                <w:rFonts w:hint="eastAsia" w:cs="宋体"/>
                <w:kern w:val="0"/>
                <w:sz w:val="21"/>
                <w:szCs w:val="21"/>
                <w:highlight w:val="none"/>
                <w:lang w:bidi="zh-CN"/>
              </w:rPr>
              <w:t>7</w:t>
            </w:r>
          </w:p>
        </w:tc>
        <w:tc>
          <w:tcPr>
            <w:tcW w:w="6984" w:type="dxa"/>
            <w:tcBorders>
              <w:top w:val="single" w:color="auto" w:sz="4" w:space="0"/>
              <w:bottom w:val="single" w:color="auto" w:sz="4" w:space="0"/>
              <w:right w:val="single" w:color="auto" w:sz="4" w:space="0"/>
            </w:tcBorders>
            <w:noWrap/>
          </w:tcPr>
          <w:p>
            <w:pPr>
              <w:snapToGrid w:val="0"/>
              <w:spacing w:line="360" w:lineRule="auto"/>
              <w:rPr>
                <w:rFonts w:cs="宋体"/>
                <w:sz w:val="21"/>
                <w:szCs w:val="21"/>
                <w:highlight w:val="none"/>
              </w:rPr>
            </w:pPr>
            <w:r>
              <w:rPr>
                <w:rFonts w:hint="eastAsia" w:cs="宋体"/>
                <w:sz w:val="21"/>
                <w:szCs w:val="21"/>
                <w:highlight w:val="none"/>
              </w:rPr>
              <w:t>根据菜品结构及菜谱能充分满足招标要求（做到菜品多样化，能适应不同口味要求）评分：</w:t>
            </w:r>
          </w:p>
          <w:p>
            <w:pPr>
              <w:numPr>
                <w:ilvl w:val="0"/>
                <w:numId w:val="3"/>
              </w:numPr>
              <w:snapToGrid w:val="0"/>
              <w:spacing w:line="360" w:lineRule="auto"/>
              <w:rPr>
                <w:rFonts w:cs="宋体"/>
                <w:sz w:val="21"/>
                <w:szCs w:val="21"/>
                <w:highlight w:val="none"/>
              </w:rPr>
            </w:pPr>
            <w:r>
              <w:rPr>
                <w:rFonts w:hint="eastAsia" w:cs="宋体"/>
                <w:sz w:val="21"/>
                <w:szCs w:val="21"/>
                <w:highlight w:val="none"/>
              </w:rPr>
              <w:t>菜品丰富、能适应不同口味需求得7分；</w:t>
            </w:r>
          </w:p>
          <w:p>
            <w:pPr>
              <w:numPr>
                <w:ilvl w:val="0"/>
                <w:numId w:val="3"/>
              </w:numPr>
              <w:snapToGrid w:val="0"/>
              <w:spacing w:line="360" w:lineRule="auto"/>
              <w:rPr>
                <w:rFonts w:cs="宋体"/>
                <w:sz w:val="21"/>
                <w:szCs w:val="21"/>
                <w:highlight w:val="none"/>
              </w:rPr>
            </w:pPr>
            <w:r>
              <w:rPr>
                <w:rFonts w:hint="eastAsia" w:cs="宋体"/>
                <w:sz w:val="21"/>
                <w:szCs w:val="21"/>
                <w:highlight w:val="none"/>
              </w:rPr>
              <w:t>菜品较完整，能基本适应口味需求得5分；</w:t>
            </w:r>
          </w:p>
          <w:p>
            <w:pPr>
              <w:numPr>
                <w:ilvl w:val="0"/>
                <w:numId w:val="3"/>
              </w:numPr>
              <w:snapToGrid w:val="0"/>
              <w:spacing w:line="360" w:lineRule="auto"/>
              <w:rPr>
                <w:rFonts w:cs="宋体"/>
                <w:sz w:val="21"/>
                <w:szCs w:val="21"/>
                <w:highlight w:val="none"/>
              </w:rPr>
            </w:pPr>
            <w:r>
              <w:rPr>
                <w:rFonts w:hint="eastAsia" w:cs="宋体"/>
                <w:sz w:val="21"/>
                <w:szCs w:val="21"/>
                <w:highlight w:val="none"/>
              </w:rPr>
              <w:t>菜品单一，无法适应不同口味要求的得3分；</w:t>
            </w:r>
          </w:p>
          <w:p>
            <w:pPr>
              <w:numPr>
                <w:ilvl w:val="0"/>
                <w:numId w:val="3"/>
              </w:numPr>
              <w:snapToGrid w:val="0"/>
              <w:spacing w:line="360" w:lineRule="auto"/>
              <w:rPr>
                <w:rFonts w:cs="宋体"/>
                <w:sz w:val="21"/>
                <w:szCs w:val="21"/>
                <w:highlight w:val="none"/>
              </w:rPr>
            </w:pPr>
            <w:r>
              <w:rPr>
                <w:rFonts w:hint="eastAsia" w:cs="宋体"/>
                <w:sz w:val="21"/>
                <w:szCs w:val="21"/>
                <w:highlight w:val="none"/>
              </w:rPr>
              <w:t>菜品、口味均不能满足招标要求的得1分；</w:t>
            </w:r>
          </w:p>
          <w:p>
            <w:pPr>
              <w:numPr>
                <w:ilvl w:val="0"/>
                <w:numId w:val="3"/>
              </w:numPr>
              <w:snapToGrid w:val="0"/>
              <w:spacing w:line="360" w:lineRule="auto"/>
              <w:rPr>
                <w:rFonts w:cs="宋体"/>
                <w:sz w:val="21"/>
                <w:szCs w:val="21"/>
                <w:highlight w:val="none"/>
              </w:rPr>
            </w:pPr>
            <w:r>
              <w:rPr>
                <w:rFonts w:hint="eastAsia" w:cs="宋体"/>
                <w:sz w:val="21"/>
                <w:szCs w:val="21"/>
                <w:highlight w:val="none"/>
              </w:rPr>
              <w:t>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0"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tcBorders>
              <w:top w:val="single" w:color="auto" w:sz="4" w:space="0"/>
            </w:tcBorders>
            <w:noWrap/>
            <w:vAlign w:val="center"/>
          </w:tcPr>
          <w:p>
            <w:pPr>
              <w:autoSpaceDE w:val="0"/>
              <w:autoSpaceDN w:val="0"/>
              <w:snapToGrid w:val="0"/>
              <w:spacing w:line="360" w:lineRule="auto"/>
              <w:jc w:val="center"/>
              <w:rPr>
                <w:rFonts w:cs="宋体"/>
                <w:kern w:val="0"/>
                <w:sz w:val="21"/>
                <w:szCs w:val="21"/>
                <w:highlight w:val="none"/>
                <w:lang w:eastAsia="en-US"/>
              </w:rPr>
            </w:pPr>
            <w:r>
              <w:rPr>
                <w:rFonts w:hint="eastAsia" w:cs="宋体"/>
                <w:kern w:val="0"/>
                <w:sz w:val="21"/>
                <w:szCs w:val="21"/>
                <w:highlight w:val="none"/>
                <w:lang w:val="zh-CN" w:bidi="zh-CN"/>
              </w:rPr>
              <w:t>特色服务</w:t>
            </w:r>
          </w:p>
        </w:tc>
        <w:tc>
          <w:tcPr>
            <w:tcW w:w="480" w:type="dxa"/>
            <w:tcBorders>
              <w:top w:val="single" w:color="auto" w:sz="4" w:space="0"/>
              <w:right w:val="single" w:color="auto" w:sz="4" w:space="0"/>
            </w:tcBorders>
            <w:noWrap/>
            <w:vAlign w:val="center"/>
          </w:tcPr>
          <w:p>
            <w:pPr>
              <w:tabs>
                <w:tab w:val="center" w:pos="4153"/>
                <w:tab w:val="right" w:pos="8306"/>
              </w:tabs>
              <w:snapToGrid w:val="0"/>
              <w:spacing w:line="360" w:lineRule="auto"/>
              <w:jc w:val="center"/>
              <w:rPr>
                <w:rFonts w:cs="宋体"/>
                <w:sz w:val="21"/>
                <w:szCs w:val="21"/>
                <w:highlight w:val="none"/>
                <w:lang w:val="zh-CN" w:bidi="zh-CN"/>
              </w:rPr>
            </w:pPr>
            <w:r>
              <w:rPr>
                <w:rFonts w:hint="eastAsia" w:cs="宋体"/>
                <w:sz w:val="21"/>
                <w:szCs w:val="21"/>
                <w:highlight w:val="none"/>
                <w:lang w:bidi="zh-CN"/>
              </w:rPr>
              <w:t>3</w:t>
            </w:r>
          </w:p>
        </w:tc>
        <w:tc>
          <w:tcPr>
            <w:tcW w:w="6984" w:type="dxa"/>
            <w:tcBorders>
              <w:top w:val="single" w:color="auto" w:sz="4" w:space="0"/>
              <w:right w:val="single" w:color="auto" w:sz="4" w:space="0"/>
            </w:tcBorders>
            <w:noWrap/>
          </w:tcPr>
          <w:p>
            <w:pPr>
              <w:tabs>
                <w:tab w:val="center" w:pos="4153"/>
                <w:tab w:val="right" w:pos="8306"/>
              </w:tabs>
              <w:snapToGrid w:val="0"/>
              <w:spacing w:line="360" w:lineRule="auto"/>
              <w:jc w:val="left"/>
              <w:rPr>
                <w:rFonts w:cs="宋体"/>
                <w:sz w:val="21"/>
                <w:szCs w:val="21"/>
                <w:highlight w:val="none"/>
                <w:lang w:val="zh-CN" w:bidi="zh-CN"/>
              </w:rPr>
            </w:pPr>
            <w:r>
              <w:rPr>
                <w:rFonts w:hint="eastAsia" w:cs="宋体"/>
                <w:sz w:val="21"/>
                <w:szCs w:val="21"/>
                <w:highlight w:val="none"/>
                <w:lang w:val="zh-CN" w:bidi="zh-CN"/>
              </w:rPr>
              <w:t>根据投标的具体方案情况评分：</w:t>
            </w:r>
          </w:p>
          <w:p>
            <w:pPr>
              <w:numPr>
                <w:ilvl w:val="0"/>
                <w:numId w:val="4"/>
              </w:numPr>
              <w:tabs>
                <w:tab w:val="center" w:pos="4153"/>
                <w:tab w:val="right" w:pos="8306"/>
              </w:tabs>
              <w:snapToGrid w:val="0"/>
              <w:spacing w:line="360" w:lineRule="auto"/>
              <w:jc w:val="left"/>
              <w:rPr>
                <w:rFonts w:cs="宋体"/>
                <w:sz w:val="21"/>
                <w:szCs w:val="21"/>
                <w:highlight w:val="none"/>
                <w:lang w:bidi="zh-CN"/>
              </w:rPr>
            </w:pPr>
            <w:r>
              <w:rPr>
                <w:rFonts w:hint="eastAsia" w:cs="宋体"/>
                <w:sz w:val="21"/>
                <w:szCs w:val="21"/>
                <w:highlight w:val="none"/>
                <w:lang w:bidi="zh-CN"/>
              </w:rPr>
              <w:t>服务合理、可行并具有特色和专业性得3分；</w:t>
            </w:r>
          </w:p>
          <w:p>
            <w:pPr>
              <w:numPr>
                <w:ilvl w:val="0"/>
                <w:numId w:val="4"/>
              </w:numPr>
              <w:tabs>
                <w:tab w:val="center" w:pos="4153"/>
                <w:tab w:val="right" w:pos="8306"/>
              </w:tabs>
              <w:snapToGrid w:val="0"/>
              <w:spacing w:line="360" w:lineRule="auto"/>
              <w:jc w:val="left"/>
              <w:rPr>
                <w:rFonts w:cs="宋体"/>
                <w:sz w:val="21"/>
                <w:szCs w:val="21"/>
                <w:highlight w:val="none"/>
                <w:lang w:bidi="zh-CN"/>
              </w:rPr>
            </w:pPr>
            <w:r>
              <w:rPr>
                <w:rFonts w:hint="eastAsia" w:cs="宋体"/>
                <w:sz w:val="21"/>
                <w:szCs w:val="21"/>
                <w:highlight w:val="none"/>
                <w:lang w:bidi="zh-CN"/>
              </w:rPr>
              <w:t>服务一般、可行性与专业性一般得2分；</w:t>
            </w:r>
          </w:p>
          <w:p>
            <w:pPr>
              <w:numPr>
                <w:ilvl w:val="0"/>
                <w:numId w:val="4"/>
              </w:numPr>
              <w:tabs>
                <w:tab w:val="center" w:pos="4153"/>
                <w:tab w:val="right" w:pos="8306"/>
              </w:tabs>
              <w:snapToGrid w:val="0"/>
              <w:spacing w:line="360" w:lineRule="auto"/>
              <w:jc w:val="left"/>
              <w:rPr>
                <w:rFonts w:cs="宋体"/>
                <w:sz w:val="21"/>
                <w:szCs w:val="21"/>
                <w:highlight w:val="none"/>
                <w:lang w:bidi="zh-CN"/>
              </w:rPr>
            </w:pPr>
            <w:r>
              <w:rPr>
                <w:rFonts w:hint="eastAsia" w:cs="宋体"/>
                <w:sz w:val="21"/>
                <w:szCs w:val="21"/>
                <w:highlight w:val="none"/>
                <w:lang w:bidi="zh-CN"/>
              </w:rPr>
              <w:t>服务、可行性与专业性有所欠缺，得1分。</w:t>
            </w:r>
          </w:p>
          <w:p>
            <w:pPr>
              <w:numPr>
                <w:ilvl w:val="0"/>
                <w:numId w:val="4"/>
              </w:numPr>
              <w:tabs>
                <w:tab w:val="center" w:pos="4153"/>
                <w:tab w:val="right" w:pos="8306"/>
              </w:tabs>
              <w:snapToGrid w:val="0"/>
              <w:spacing w:line="360" w:lineRule="auto"/>
              <w:jc w:val="left"/>
              <w:rPr>
                <w:rFonts w:cs="宋体"/>
                <w:sz w:val="21"/>
                <w:szCs w:val="21"/>
                <w:highlight w:val="none"/>
                <w:lang w:bidi="zh-CN"/>
              </w:rPr>
            </w:pPr>
            <w:r>
              <w:rPr>
                <w:rFonts w:hint="eastAsia" w:cs="宋体"/>
                <w:sz w:val="21"/>
                <w:szCs w:val="21"/>
                <w:highlight w:val="none"/>
                <w:lang w:bidi="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noWrap/>
            <w:vAlign w:val="center"/>
          </w:tcPr>
          <w:p>
            <w:pPr>
              <w:snapToGrid w:val="0"/>
              <w:spacing w:line="360" w:lineRule="auto"/>
              <w:jc w:val="center"/>
              <w:rPr>
                <w:rFonts w:cs="宋体"/>
                <w:sz w:val="21"/>
                <w:szCs w:val="21"/>
                <w:highlight w:val="none"/>
              </w:rPr>
            </w:pPr>
            <w:r>
              <w:rPr>
                <w:rFonts w:hint="eastAsia" w:cs="宋体"/>
                <w:sz w:val="21"/>
                <w:szCs w:val="21"/>
                <w:highlight w:val="none"/>
              </w:rPr>
              <w:t>项目</w:t>
            </w:r>
            <w:r>
              <w:rPr>
                <w:rFonts w:hint="eastAsia" w:cs="宋体"/>
                <w:sz w:val="21"/>
                <w:szCs w:val="21"/>
                <w:highlight w:val="none"/>
                <w:lang w:val="zh-CN"/>
              </w:rPr>
              <w:t>团队</w:t>
            </w:r>
            <w:r>
              <w:rPr>
                <w:rFonts w:hint="eastAsia" w:cs="宋体"/>
                <w:sz w:val="21"/>
                <w:szCs w:val="21"/>
                <w:highlight w:val="none"/>
              </w:rPr>
              <w:t>人员</w:t>
            </w:r>
          </w:p>
        </w:tc>
        <w:tc>
          <w:tcPr>
            <w:tcW w:w="480" w:type="dxa"/>
            <w:tcBorders>
              <w:bottom w:val="single" w:color="auto" w:sz="4" w:space="0"/>
            </w:tcBorders>
            <w:noWrap/>
            <w:vAlign w:val="center"/>
          </w:tcPr>
          <w:p>
            <w:pPr>
              <w:autoSpaceDE w:val="0"/>
              <w:autoSpaceDN w:val="0"/>
              <w:snapToGrid w:val="0"/>
              <w:spacing w:line="360" w:lineRule="auto"/>
              <w:jc w:val="center"/>
              <w:rPr>
                <w:rFonts w:cs="宋体"/>
                <w:kern w:val="0"/>
                <w:sz w:val="21"/>
                <w:szCs w:val="21"/>
                <w:highlight w:val="none"/>
                <w:lang w:val="zh-CN"/>
              </w:rPr>
            </w:pPr>
            <w:r>
              <w:rPr>
                <w:rFonts w:hint="eastAsia" w:cs="宋体"/>
                <w:kern w:val="0"/>
                <w:sz w:val="21"/>
                <w:szCs w:val="21"/>
                <w:highlight w:val="none"/>
                <w:lang w:bidi="zh-CN"/>
              </w:rPr>
              <w:t>13</w:t>
            </w:r>
          </w:p>
        </w:tc>
        <w:tc>
          <w:tcPr>
            <w:tcW w:w="6984" w:type="dxa"/>
            <w:tcBorders>
              <w:bottom w:val="single" w:color="auto" w:sz="4" w:space="0"/>
            </w:tcBorders>
            <w:noWrap/>
          </w:tcPr>
          <w:p>
            <w:pPr>
              <w:snapToGrid w:val="0"/>
              <w:spacing w:line="360" w:lineRule="auto"/>
              <w:rPr>
                <w:rFonts w:cs="宋体"/>
                <w:sz w:val="21"/>
                <w:szCs w:val="21"/>
                <w:highlight w:val="none"/>
              </w:rPr>
            </w:pPr>
            <w:r>
              <w:rPr>
                <w:rFonts w:hint="eastAsia" w:cs="宋体"/>
                <w:sz w:val="21"/>
                <w:szCs w:val="21"/>
                <w:highlight w:val="none"/>
              </w:rPr>
              <w:t>根据供应商提供的项目团队情况评分：</w:t>
            </w:r>
          </w:p>
          <w:p>
            <w:pPr>
              <w:snapToGrid w:val="0"/>
              <w:spacing w:line="360" w:lineRule="auto"/>
              <w:rPr>
                <w:rFonts w:cs="宋体"/>
                <w:sz w:val="21"/>
                <w:szCs w:val="21"/>
                <w:highlight w:val="none"/>
              </w:rPr>
            </w:pPr>
            <w:r>
              <w:rPr>
                <w:rFonts w:hint="eastAsia" w:cs="宋体"/>
                <w:sz w:val="21"/>
                <w:szCs w:val="21"/>
                <w:highlight w:val="none"/>
              </w:rPr>
              <w:t xml:space="preserve">（1）针对本项目5个营业就餐网点，项目人员编制配备方案，工资分配方案、每个网点方案合理可实行的得2分，部分合理得1分，不合理不得分。总分10分。 </w:t>
            </w:r>
          </w:p>
          <w:p>
            <w:pPr>
              <w:snapToGrid w:val="0"/>
              <w:spacing w:line="360" w:lineRule="auto"/>
              <w:rPr>
                <w:rFonts w:cs="宋体"/>
                <w:sz w:val="21"/>
                <w:szCs w:val="21"/>
                <w:highlight w:val="none"/>
              </w:rPr>
            </w:pPr>
            <w:r>
              <w:rPr>
                <w:rFonts w:hint="eastAsia" w:cs="宋体"/>
                <w:sz w:val="21"/>
                <w:szCs w:val="21"/>
                <w:highlight w:val="none"/>
              </w:rPr>
              <w:t xml:space="preserve">（2）明确各岗位工作内容、职责分工，能够满足招标文件要求的得 3分； 部分满足的得 2 分，内容有欠缺的得1分； 不满足或未提供的不得分。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6"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noWrap/>
            <w:vAlign w:val="center"/>
          </w:tcPr>
          <w:p>
            <w:pPr>
              <w:snapToGrid w:val="0"/>
              <w:spacing w:line="360" w:lineRule="auto"/>
              <w:jc w:val="center"/>
              <w:rPr>
                <w:rFonts w:cs="宋体"/>
                <w:sz w:val="21"/>
                <w:szCs w:val="21"/>
                <w:highlight w:val="none"/>
              </w:rPr>
            </w:pPr>
            <w:r>
              <w:rPr>
                <w:rFonts w:hint="eastAsia" w:cs="宋体"/>
                <w:sz w:val="21"/>
                <w:szCs w:val="21"/>
                <w:highlight w:val="none"/>
              </w:rPr>
              <w:t>员工管理</w:t>
            </w:r>
          </w:p>
          <w:p>
            <w:pPr>
              <w:snapToGrid w:val="0"/>
              <w:spacing w:line="360" w:lineRule="auto"/>
              <w:jc w:val="center"/>
              <w:rPr>
                <w:rFonts w:cs="宋体"/>
                <w:spacing w:val="8"/>
                <w:sz w:val="21"/>
                <w:szCs w:val="21"/>
                <w:highlight w:val="none"/>
              </w:rPr>
            </w:pPr>
            <w:r>
              <w:rPr>
                <w:rFonts w:hint="eastAsia" w:cs="宋体"/>
                <w:sz w:val="21"/>
                <w:szCs w:val="21"/>
                <w:highlight w:val="none"/>
              </w:rPr>
              <w:t>方案</w:t>
            </w:r>
          </w:p>
        </w:tc>
        <w:tc>
          <w:tcPr>
            <w:tcW w:w="480" w:type="dxa"/>
            <w:noWrap/>
            <w:vAlign w:val="center"/>
          </w:tcPr>
          <w:p>
            <w:pPr>
              <w:snapToGrid w:val="0"/>
              <w:spacing w:line="360" w:lineRule="auto"/>
              <w:jc w:val="center"/>
              <w:rPr>
                <w:rFonts w:cs="宋体"/>
                <w:sz w:val="21"/>
                <w:szCs w:val="21"/>
                <w:highlight w:val="none"/>
              </w:rPr>
            </w:pPr>
            <w:r>
              <w:rPr>
                <w:rFonts w:hint="eastAsia" w:cs="宋体"/>
                <w:sz w:val="21"/>
                <w:szCs w:val="21"/>
                <w:highlight w:val="none"/>
                <w:lang w:bidi="zh-CN"/>
              </w:rPr>
              <w:t>3</w:t>
            </w:r>
          </w:p>
        </w:tc>
        <w:tc>
          <w:tcPr>
            <w:tcW w:w="6984" w:type="dxa"/>
            <w:noWrap/>
            <w:vAlign w:val="center"/>
          </w:tcPr>
          <w:p>
            <w:pPr>
              <w:snapToGrid w:val="0"/>
              <w:spacing w:line="360" w:lineRule="auto"/>
              <w:rPr>
                <w:rFonts w:cs="宋体"/>
                <w:sz w:val="21"/>
                <w:szCs w:val="21"/>
                <w:highlight w:val="none"/>
              </w:rPr>
            </w:pPr>
            <w:r>
              <w:rPr>
                <w:rFonts w:hint="eastAsia" w:cs="宋体"/>
                <w:sz w:val="21"/>
                <w:szCs w:val="21"/>
                <w:highlight w:val="none"/>
              </w:rPr>
              <w:t>根据供应商提供的员工管理方案评分：</w:t>
            </w:r>
          </w:p>
          <w:p>
            <w:pPr>
              <w:snapToGrid w:val="0"/>
              <w:spacing w:line="360" w:lineRule="auto"/>
              <w:rPr>
                <w:rFonts w:cs="宋体"/>
                <w:sz w:val="21"/>
                <w:szCs w:val="21"/>
                <w:highlight w:val="none"/>
              </w:rPr>
            </w:pPr>
            <w:r>
              <w:rPr>
                <w:rFonts w:hint="eastAsia" w:cs="宋体"/>
                <w:sz w:val="21"/>
                <w:szCs w:val="21"/>
                <w:highlight w:val="none"/>
              </w:rPr>
              <w:t>针对本项目项目人员管理方案，工资发放方案、社保购买、</w:t>
            </w:r>
            <w:r>
              <w:rPr>
                <w:rFonts w:hint="eastAsia" w:cs="宋体"/>
                <w:sz w:val="21"/>
                <w:szCs w:val="21"/>
                <w:highlight w:val="none"/>
                <w:lang w:val="zh-CN" w:bidi="zh-CN"/>
              </w:rPr>
              <w:t>人员安全管理制度，设备操作安全标准管理制度</w:t>
            </w:r>
            <w:r>
              <w:rPr>
                <w:rFonts w:hint="eastAsia" w:cs="宋体"/>
                <w:sz w:val="21"/>
                <w:szCs w:val="21"/>
                <w:highlight w:val="none"/>
              </w:rPr>
              <w:t>。</w:t>
            </w:r>
          </w:p>
          <w:p>
            <w:pPr>
              <w:snapToGrid w:val="0"/>
              <w:spacing w:line="360" w:lineRule="auto"/>
              <w:rPr>
                <w:rFonts w:cs="宋体"/>
                <w:sz w:val="21"/>
                <w:szCs w:val="21"/>
                <w:highlight w:val="none"/>
              </w:rPr>
            </w:pPr>
            <w:r>
              <w:rPr>
                <w:rFonts w:hint="eastAsia" w:cs="宋体"/>
                <w:sz w:val="21"/>
                <w:szCs w:val="21"/>
                <w:highlight w:val="none"/>
              </w:rPr>
              <w:t>（1）方案合理可实行的得3分，</w:t>
            </w:r>
          </w:p>
          <w:p>
            <w:pPr>
              <w:snapToGrid w:val="0"/>
              <w:spacing w:line="360" w:lineRule="auto"/>
              <w:rPr>
                <w:rFonts w:cs="宋体"/>
                <w:sz w:val="21"/>
                <w:szCs w:val="21"/>
                <w:highlight w:val="none"/>
              </w:rPr>
            </w:pPr>
            <w:r>
              <w:rPr>
                <w:rFonts w:hint="eastAsia" w:cs="宋体"/>
                <w:sz w:val="21"/>
                <w:szCs w:val="21"/>
                <w:highlight w:val="none"/>
              </w:rPr>
              <w:t>（2）部分合理得1分，</w:t>
            </w:r>
          </w:p>
          <w:p>
            <w:pPr>
              <w:snapToGrid w:val="0"/>
              <w:spacing w:line="360" w:lineRule="auto"/>
              <w:rPr>
                <w:rFonts w:cs="宋体"/>
                <w:spacing w:val="-1"/>
                <w:sz w:val="21"/>
                <w:szCs w:val="21"/>
                <w:highlight w:val="none"/>
              </w:rPr>
            </w:pPr>
            <w:r>
              <w:rPr>
                <w:rFonts w:hint="eastAsia" w:cs="宋体"/>
                <w:sz w:val="21"/>
                <w:szCs w:val="21"/>
                <w:highlight w:val="none"/>
              </w:rPr>
              <w:t>（3）不合理不得分。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noWrap/>
            <w:vAlign w:val="center"/>
          </w:tcPr>
          <w:p>
            <w:pPr>
              <w:snapToGrid w:val="0"/>
              <w:spacing w:line="360" w:lineRule="auto"/>
              <w:jc w:val="center"/>
              <w:rPr>
                <w:rFonts w:cs="宋体"/>
                <w:sz w:val="21"/>
                <w:szCs w:val="21"/>
                <w:highlight w:val="none"/>
              </w:rPr>
            </w:pPr>
            <w:r>
              <w:rPr>
                <w:rFonts w:hint="eastAsia" w:cs="宋体"/>
                <w:sz w:val="21"/>
                <w:szCs w:val="21"/>
                <w:highlight w:val="none"/>
              </w:rPr>
              <w:t>食堂运营</w:t>
            </w:r>
          </w:p>
          <w:p>
            <w:pPr>
              <w:snapToGrid w:val="0"/>
              <w:spacing w:line="360" w:lineRule="auto"/>
              <w:jc w:val="center"/>
              <w:rPr>
                <w:rFonts w:cs="宋体"/>
                <w:spacing w:val="8"/>
                <w:sz w:val="21"/>
                <w:szCs w:val="21"/>
                <w:highlight w:val="none"/>
              </w:rPr>
            </w:pPr>
            <w:r>
              <w:rPr>
                <w:rFonts w:hint="eastAsia" w:cs="宋体"/>
                <w:sz w:val="21"/>
                <w:szCs w:val="21"/>
                <w:highlight w:val="none"/>
              </w:rPr>
              <w:t>管理制度</w:t>
            </w:r>
          </w:p>
        </w:tc>
        <w:tc>
          <w:tcPr>
            <w:tcW w:w="480" w:type="dxa"/>
            <w:noWrap/>
            <w:vAlign w:val="center"/>
          </w:tcPr>
          <w:p>
            <w:pPr>
              <w:snapToGrid w:val="0"/>
              <w:spacing w:line="360" w:lineRule="auto"/>
              <w:jc w:val="center"/>
              <w:rPr>
                <w:rFonts w:cs="宋体"/>
                <w:sz w:val="21"/>
                <w:szCs w:val="21"/>
                <w:highlight w:val="none"/>
              </w:rPr>
            </w:pPr>
            <w:r>
              <w:rPr>
                <w:rFonts w:hint="eastAsia" w:cs="宋体"/>
                <w:sz w:val="21"/>
                <w:szCs w:val="21"/>
                <w:highlight w:val="none"/>
                <w:lang w:bidi="zh-CN"/>
              </w:rPr>
              <w:t>5</w:t>
            </w:r>
          </w:p>
        </w:tc>
        <w:tc>
          <w:tcPr>
            <w:tcW w:w="6984" w:type="dxa"/>
            <w:noWrap/>
            <w:vAlign w:val="center"/>
          </w:tcPr>
          <w:p>
            <w:pPr>
              <w:snapToGrid w:val="0"/>
              <w:spacing w:line="360" w:lineRule="auto"/>
              <w:rPr>
                <w:rFonts w:cs="宋体"/>
                <w:sz w:val="21"/>
                <w:szCs w:val="21"/>
                <w:highlight w:val="none"/>
              </w:rPr>
            </w:pPr>
            <w:r>
              <w:rPr>
                <w:rFonts w:hint="eastAsia" w:cs="宋体"/>
                <w:sz w:val="21"/>
                <w:szCs w:val="21"/>
                <w:highlight w:val="none"/>
              </w:rPr>
              <w:t>根据供应商针对本项目制定的食堂管理制度及运营方案进行综合比较：</w:t>
            </w:r>
          </w:p>
          <w:p>
            <w:pPr>
              <w:snapToGrid w:val="0"/>
              <w:spacing w:line="360" w:lineRule="auto"/>
              <w:rPr>
                <w:rFonts w:cs="宋体"/>
                <w:sz w:val="21"/>
                <w:szCs w:val="21"/>
                <w:highlight w:val="none"/>
              </w:rPr>
            </w:pPr>
            <w:r>
              <w:rPr>
                <w:rFonts w:hint="eastAsia" w:cs="宋体"/>
                <w:sz w:val="21"/>
                <w:szCs w:val="21"/>
                <w:highlight w:val="none"/>
              </w:rPr>
              <w:t>（1）食堂管理制度及运营方案完整、详细、可行性强的得5分；</w:t>
            </w:r>
          </w:p>
          <w:p>
            <w:pPr>
              <w:snapToGrid w:val="0"/>
              <w:spacing w:line="360" w:lineRule="auto"/>
              <w:rPr>
                <w:rFonts w:cs="宋体"/>
                <w:sz w:val="21"/>
                <w:szCs w:val="21"/>
                <w:highlight w:val="none"/>
              </w:rPr>
            </w:pPr>
            <w:r>
              <w:rPr>
                <w:rFonts w:hint="eastAsia" w:cs="宋体"/>
                <w:sz w:val="21"/>
                <w:szCs w:val="21"/>
                <w:highlight w:val="none"/>
              </w:rPr>
              <w:t>（2）食堂管理制度及运营方案基本完整、详细、可行性一般的得3分；</w:t>
            </w:r>
          </w:p>
          <w:p>
            <w:pPr>
              <w:snapToGrid w:val="0"/>
              <w:spacing w:line="360" w:lineRule="auto"/>
              <w:rPr>
                <w:rFonts w:cs="宋体"/>
                <w:sz w:val="21"/>
                <w:szCs w:val="21"/>
                <w:highlight w:val="none"/>
              </w:rPr>
            </w:pPr>
            <w:r>
              <w:rPr>
                <w:rFonts w:hint="eastAsia" w:cs="宋体"/>
                <w:spacing w:val="-1"/>
                <w:sz w:val="21"/>
                <w:szCs w:val="21"/>
                <w:highlight w:val="none"/>
              </w:rPr>
              <w:t>（3）</w:t>
            </w:r>
            <w:r>
              <w:rPr>
                <w:rFonts w:hint="eastAsia" w:cs="宋体"/>
                <w:sz w:val="21"/>
                <w:szCs w:val="21"/>
                <w:highlight w:val="none"/>
              </w:rPr>
              <w:t>食堂管理制度及运营方案有欠缺、可行性有欠缺的得1分；</w:t>
            </w:r>
          </w:p>
          <w:p>
            <w:pPr>
              <w:tabs>
                <w:tab w:val="center" w:pos="4153"/>
                <w:tab w:val="right" w:pos="8306"/>
              </w:tabs>
              <w:snapToGrid w:val="0"/>
              <w:spacing w:line="360" w:lineRule="auto"/>
              <w:jc w:val="left"/>
              <w:rPr>
                <w:rFonts w:cs="宋体"/>
                <w:sz w:val="18"/>
                <w:highlight w:val="none"/>
              </w:rPr>
            </w:pPr>
            <w:r>
              <w:rPr>
                <w:rFonts w:hint="eastAsia" w:cs="宋体"/>
                <w:sz w:val="21"/>
                <w:szCs w:val="21"/>
                <w:highlight w:val="none"/>
              </w:rPr>
              <w:t>（4）</w:t>
            </w:r>
            <w:r>
              <w:rPr>
                <w:rFonts w:hint="eastAsia" w:cs="宋体"/>
                <w:sz w:val="21"/>
                <w:szCs w:val="21"/>
                <w:highlight w:val="none"/>
                <w:lang w:val="zh-CN" w:bidi="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noWrap/>
            <w:vAlign w:val="center"/>
          </w:tcPr>
          <w:p>
            <w:pPr>
              <w:autoSpaceDE w:val="0"/>
              <w:autoSpaceDN w:val="0"/>
              <w:snapToGrid w:val="0"/>
              <w:spacing w:line="360" w:lineRule="auto"/>
              <w:ind w:left="706" w:right="-29" w:hanging="707"/>
              <w:jc w:val="center"/>
              <w:rPr>
                <w:rFonts w:cs="宋体"/>
                <w:kern w:val="0"/>
                <w:sz w:val="21"/>
                <w:szCs w:val="21"/>
                <w:highlight w:val="none"/>
                <w:lang w:val="zh-CN" w:bidi="zh-CN"/>
              </w:rPr>
            </w:pPr>
            <w:r>
              <w:rPr>
                <w:rFonts w:hint="eastAsia" w:cs="宋体"/>
                <w:kern w:val="0"/>
                <w:sz w:val="21"/>
                <w:szCs w:val="21"/>
                <w:highlight w:val="none"/>
                <w:lang w:bidi="zh-CN"/>
              </w:rPr>
              <w:t>食</w:t>
            </w:r>
            <w:r>
              <w:rPr>
                <w:rFonts w:hint="eastAsia" w:cs="宋体"/>
                <w:kern w:val="0"/>
                <w:sz w:val="21"/>
                <w:szCs w:val="21"/>
                <w:highlight w:val="none"/>
                <w:lang w:val="zh-CN" w:bidi="zh-CN"/>
              </w:rPr>
              <w:t>堂餐具</w:t>
            </w:r>
          </w:p>
          <w:p>
            <w:pPr>
              <w:autoSpaceDE w:val="0"/>
              <w:autoSpaceDN w:val="0"/>
              <w:snapToGrid w:val="0"/>
              <w:spacing w:line="360" w:lineRule="auto"/>
              <w:ind w:left="706" w:right="-29" w:hanging="707"/>
              <w:jc w:val="center"/>
              <w:rPr>
                <w:rFonts w:cs="宋体"/>
                <w:spacing w:val="8"/>
                <w:kern w:val="0"/>
                <w:sz w:val="21"/>
                <w:szCs w:val="21"/>
                <w:highlight w:val="none"/>
                <w:lang w:eastAsia="en-US"/>
              </w:rPr>
            </w:pPr>
            <w:r>
              <w:rPr>
                <w:rFonts w:hint="eastAsia" w:cs="宋体"/>
                <w:kern w:val="0"/>
                <w:sz w:val="21"/>
                <w:szCs w:val="21"/>
                <w:highlight w:val="none"/>
                <w:lang w:val="zh-CN" w:bidi="zh-CN"/>
              </w:rPr>
              <w:t>消毒管理</w:t>
            </w:r>
          </w:p>
        </w:tc>
        <w:tc>
          <w:tcPr>
            <w:tcW w:w="480" w:type="dxa"/>
            <w:noWrap/>
            <w:vAlign w:val="center"/>
          </w:tcPr>
          <w:p>
            <w:pPr>
              <w:autoSpaceDE w:val="0"/>
              <w:autoSpaceDN w:val="0"/>
              <w:snapToGrid w:val="0"/>
              <w:spacing w:before="1" w:line="360" w:lineRule="auto"/>
              <w:jc w:val="center"/>
              <w:rPr>
                <w:rFonts w:cs="宋体"/>
                <w:kern w:val="0"/>
                <w:sz w:val="21"/>
                <w:szCs w:val="21"/>
                <w:highlight w:val="none"/>
                <w:lang w:bidi="zh-CN"/>
              </w:rPr>
            </w:pPr>
          </w:p>
          <w:p>
            <w:pPr>
              <w:autoSpaceDE w:val="0"/>
              <w:autoSpaceDN w:val="0"/>
              <w:snapToGrid w:val="0"/>
              <w:spacing w:before="1" w:line="360" w:lineRule="auto"/>
              <w:jc w:val="center"/>
              <w:rPr>
                <w:rFonts w:cs="宋体"/>
                <w:kern w:val="0"/>
                <w:sz w:val="21"/>
                <w:szCs w:val="21"/>
                <w:highlight w:val="none"/>
                <w:lang w:bidi="zh-CN"/>
              </w:rPr>
            </w:pPr>
            <w:r>
              <w:rPr>
                <w:rFonts w:hint="eastAsia" w:cs="宋体"/>
                <w:kern w:val="0"/>
                <w:sz w:val="21"/>
                <w:szCs w:val="21"/>
                <w:highlight w:val="none"/>
                <w:lang w:bidi="zh-CN"/>
              </w:rPr>
              <w:t>3</w:t>
            </w:r>
          </w:p>
          <w:p>
            <w:pPr>
              <w:autoSpaceDE w:val="0"/>
              <w:autoSpaceDN w:val="0"/>
              <w:snapToGrid w:val="0"/>
              <w:spacing w:line="360" w:lineRule="auto"/>
              <w:ind w:right="41"/>
              <w:jc w:val="center"/>
              <w:rPr>
                <w:rFonts w:cs="宋体"/>
                <w:kern w:val="0"/>
                <w:sz w:val="21"/>
                <w:szCs w:val="21"/>
                <w:highlight w:val="none"/>
                <w:lang w:val="zh-CN" w:bidi="zh-CN"/>
              </w:rPr>
            </w:pPr>
          </w:p>
        </w:tc>
        <w:tc>
          <w:tcPr>
            <w:tcW w:w="6984" w:type="dxa"/>
            <w:noWrap/>
          </w:tcPr>
          <w:p>
            <w:pPr>
              <w:snapToGrid w:val="0"/>
              <w:spacing w:line="360" w:lineRule="auto"/>
              <w:rPr>
                <w:rFonts w:cs="宋体"/>
                <w:sz w:val="21"/>
                <w:szCs w:val="21"/>
                <w:highlight w:val="none"/>
                <w:lang w:val="zh-CN" w:bidi="zh-CN"/>
              </w:rPr>
            </w:pPr>
            <w:r>
              <w:rPr>
                <w:rFonts w:hint="eastAsia" w:cs="宋体"/>
                <w:sz w:val="21"/>
                <w:szCs w:val="21"/>
                <w:highlight w:val="none"/>
                <w:lang w:val="zh-CN" w:bidi="zh-CN"/>
              </w:rPr>
              <w:t>根据供应商提供的针对单位用餐特点编制食堂餐具清洗和消毒、保障用餐环境卫生的标准和实施方案评分：</w:t>
            </w:r>
          </w:p>
          <w:p>
            <w:pPr>
              <w:snapToGrid w:val="0"/>
              <w:spacing w:line="360" w:lineRule="auto"/>
              <w:rPr>
                <w:rFonts w:cs="宋体"/>
                <w:sz w:val="21"/>
                <w:szCs w:val="21"/>
                <w:highlight w:val="none"/>
                <w:lang w:val="zh-CN" w:bidi="zh-CN"/>
              </w:rPr>
            </w:pPr>
            <w:r>
              <w:rPr>
                <w:rFonts w:hint="eastAsia" w:cs="宋体"/>
                <w:sz w:val="21"/>
                <w:szCs w:val="21"/>
                <w:highlight w:val="none"/>
                <w:lang w:val="zh-CN" w:bidi="zh-CN"/>
              </w:rPr>
              <w:t>（1）提供方案科学、</w:t>
            </w:r>
            <w:r>
              <w:rPr>
                <w:rFonts w:hint="eastAsia" w:cs="宋体"/>
                <w:sz w:val="21"/>
                <w:szCs w:val="21"/>
                <w:highlight w:val="none"/>
                <w:lang w:bidi="zh-CN"/>
              </w:rPr>
              <w:t>完整</w:t>
            </w:r>
            <w:r>
              <w:rPr>
                <w:rFonts w:hint="eastAsia" w:cs="宋体"/>
                <w:sz w:val="21"/>
                <w:szCs w:val="21"/>
                <w:highlight w:val="none"/>
                <w:lang w:val="zh-CN" w:bidi="zh-CN"/>
              </w:rPr>
              <w:t>得 3 分；</w:t>
            </w:r>
          </w:p>
          <w:p>
            <w:pPr>
              <w:snapToGrid w:val="0"/>
              <w:spacing w:line="360" w:lineRule="auto"/>
              <w:rPr>
                <w:rFonts w:cs="宋体"/>
                <w:spacing w:val="-1"/>
                <w:sz w:val="21"/>
                <w:szCs w:val="21"/>
                <w:highlight w:val="none"/>
              </w:rPr>
            </w:pPr>
            <w:r>
              <w:rPr>
                <w:rFonts w:hint="eastAsia" w:cs="宋体"/>
                <w:spacing w:val="-1"/>
                <w:sz w:val="21"/>
                <w:szCs w:val="21"/>
                <w:highlight w:val="none"/>
              </w:rPr>
              <w:t>（2）</w:t>
            </w:r>
            <w:r>
              <w:rPr>
                <w:rFonts w:hint="eastAsia" w:cs="宋体"/>
                <w:sz w:val="21"/>
                <w:szCs w:val="21"/>
                <w:highlight w:val="none"/>
                <w:lang w:val="zh-CN" w:bidi="zh-CN"/>
              </w:rPr>
              <w:t>提供方案</w:t>
            </w:r>
            <w:r>
              <w:rPr>
                <w:rFonts w:hint="eastAsia" w:cs="宋体"/>
                <w:sz w:val="21"/>
                <w:szCs w:val="21"/>
                <w:highlight w:val="none"/>
                <w:lang w:bidi="zh-CN"/>
              </w:rPr>
              <w:t>基本合理</w:t>
            </w:r>
            <w:r>
              <w:rPr>
                <w:rFonts w:hint="eastAsia" w:cs="宋体"/>
                <w:sz w:val="21"/>
                <w:szCs w:val="21"/>
                <w:highlight w:val="none"/>
                <w:lang w:val="zh-CN" w:bidi="zh-CN"/>
              </w:rPr>
              <w:t xml:space="preserve">得 </w:t>
            </w:r>
            <w:r>
              <w:rPr>
                <w:rFonts w:hint="eastAsia" w:cs="宋体"/>
                <w:sz w:val="21"/>
                <w:szCs w:val="21"/>
                <w:highlight w:val="none"/>
                <w:lang w:bidi="zh-CN"/>
              </w:rPr>
              <w:t>2</w:t>
            </w:r>
            <w:r>
              <w:rPr>
                <w:rFonts w:hint="eastAsia" w:cs="宋体"/>
                <w:sz w:val="21"/>
                <w:szCs w:val="21"/>
                <w:highlight w:val="none"/>
                <w:lang w:val="zh-CN" w:bidi="zh-CN"/>
              </w:rPr>
              <w:t xml:space="preserve"> 分；</w:t>
            </w:r>
          </w:p>
          <w:p>
            <w:pPr>
              <w:snapToGrid w:val="0"/>
              <w:spacing w:line="360" w:lineRule="auto"/>
              <w:rPr>
                <w:rFonts w:cs="宋体"/>
                <w:spacing w:val="-1"/>
                <w:sz w:val="21"/>
                <w:szCs w:val="21"/>
                <w:highlight w:val="none"/>
              </w:rPr>
            </w:pPr>
            <w:r>
              <w:rPr>
                <w:rFonts w:hint="eastAsia" w:cs="宋体"/>
                <w:spacing w:val="-1"/>
                <w:sz w:val="21"/>
                <w:szCs w:val="21"/>
                <w:highlight w:val="none"/>
              </w:rPr>
              <w:t>（3）</w:t>
            </w:r>
            <w:r>
              <w:rPr>
                <w:rFonts w:hint="eastAsia" w:cs="宋体"/>
                <w:sz w:val="21"/>
                <w:szCs w:val="21"/>
                <w:highlight w:val="none"/>
                <w:lang w:val="zh-CN" w:bidi="zh-CN"/>
              </w:rPr>
              <w:t>提供方案欠完整合理</w:t>
            </w:r>
            <w:r>
              <w:rPr>
                <w:rFonts w:hint="eastAsia" w:cs="宋体"/>
                <w:sz w:val="21"/>
                <w:szCs w:val="21"/>
                <w:highlight w:val="none"/>
                <w:lang w:bidi="zh-CN"/>
              </w:rPr>
              <w:t>的</w:t>
            </w:r>
            <w:r>
              <w:rPr>
                <w:rFonts w:hint="eastAsia" w:cs="宋体"/>
                <w:sz w:val="21"/>
                <w:szCs w:val="21"/>
                <w:highlight w:val="none"/>
                <w:lang w:val="zh-CN" w:bidi="zh-CN"/>
              </w:rPr>
              <w:t>得</w:t>
            </w:r>
            <w:r>
              <w:rPr>
                <w:rFonts w:hint="eastAsia" w:cs="宋体"/>
                <w:sz w:val="21"/>
                <w:szCs w:val="21"/>
                <w:highlight w:val="none"/>
                <w:lang w:bidi="zh-CN"/>
              </w:rPr>
              <w:t xml:space="preserve"> 1 </w:t>
            </w:r>
            <w:r>
              <w:rPr>
                <w:rFonts w:hint="eastAsia" w:cs="宋体"/>
                <w:sz w:val="21"/>
                <w:szCs w:val="21"/>
                <w:highlight w:val="none"/>
                <w:lang w:val="zh-CN" w:bidi="zh-CN"/>
              </w:rPr>
              <w:t>分</w:t>
            </w:r>
            <w:r>
              <w:rPr>
                <w:rFonts w:hint="eastAsia" w:cs="宋体"/>
                <w:sz w:val="21"/>
                <w:szCs w:val="21"/>
                <w:highlight w:val="none"/>
                <w:lang w:bidi="zh-CN"/>
              </w:rPr>
              <w:t>；</w:t>
            </w:r>
          </w:p>
          <w:p>
            <w:pPr>
              <w:snapToGrid w:val="0"/>
              <w:spacing w:line="360" w:lineRule="auto"/>
              <w:rPr>
                <w:rFonts w:cs="宋体"/>
                <w:spacing w:val="-1"/>
                <w:sz w:val="21"/>
                <w:szCs w:val="21"/>
                <w:highlight w:val="none"/>
              </w:rPr>
            </w:pPr>
            <w:r>
              <w:rPr>
                <w:rFonts w:hint="eastAsia" w:cs="宋体"/>
                <w:spacing w:val="-1"/>
                <w:sz w:val="21"/>
                <w:szCs w:val="21"/>
                <w:highlight w:val="none"/>
              </w:rPr>
              <w:t>（4）</w:t>
            </w:r>
            <w:r>
              <w:rPr>
                <w:rFonts w:hint="eastAsia" w:cs="宋体"/>
                <w:sz w:val="21"/>
                <w:szCs w:val="21"/>
                <w:highlight w:val="none"/>
                <w:lang w:val="zh-CN" w:bidi="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noWrap/>
            <w:vAlign w:val="center"/>
          </w:tcPr>
          <w:p>
            <w:pPr>
              <w:snapToGrid w:val="0"/>
              <w:spacing w:line="360" w:lineRule="auto"/>
              <w:jc w:val="center"/>
              <w:rPr>
                <w:rFonts w:cs="宋体"/>
                <w:spacing w:val="8"/>
                <w:sz w:val="21"/>
                <w:szCs w:val="21"/>
                <w:highlight w:val="none"/>
              </w:rPr>
            </w:pPr>
            <w:r>
              <w:rPr>
                <w:rFonts w:hint="eastAsia" w:cs="宋体"/>
                <w:sz w:val="21"/>
                <w:szCs w:val="21"/>
                <w:highlight w:val="none"/>
                <w:lang w:bidi="zh-CN"/>
              </w:rPr>
              <w:t>服务质量与投诉解决方案</w:t>
            </w:r>
          </w:p>
        </w:tc>
        <w:tc>
          <w:tcPr>
            <w:tcW w:w="480" w:type="dxa"/>
            <w:noWrap/>
            <w:vAlign w:val="center"/>
          </w:tcPr>
          <w:p>
            <w:pPr>
              <w:widowControl/>
              <w:pBdr>
                <w:between w:val="single" w:color="auto" w:sz="4" w:space="0"/>
              </w:pBdr>
              <w:snapToGrid w:val="0"/>
              <w:spacing w:line="360" w:lineRule="auto"/>
              <w:jc w:val="center"/>
              <w:rPr>
                <w:rFonts w:cs="宋体"/>
                <w:sz w:val="21"/>
                <w:szCs w:val="21"/>
                <w:highlight w:val="none"/>
                <w:lang w:bidi="zh-CN"/>
              </w:rPr>
            </w:pPr>
            <w:r>
              <w:rPr>
                <w:rFonts w:hint="eastAsia" w:cs="宋体"/>
                <w:sz w:val="21"/>
                <w:szCs w:val="21"/>
                <w:highlight w:val="none"/>
                <w:lang w:bidi="zh-CN"/>
              </w:rPr>
              <w:t>3</w:t>
            </w:r>
          </w:p>
        </w:tc>
        <w:tc>
          <w:tcPr>
            <w:tcW w:w="6984" w:type="dxa"/>
            <w:noWrap/>
            <w:vAlign w:val="center"/>
          </w:tcPr>
          <w:p>
            <w:pPr>
              <w:widowControl/>
              <w:snapToGrid w:val="0"/>
              <w:spacing w:line="360" w:lineRule="auto"/>
              <w:jc w:val="left"/>
              <w:rPr>
                <w:rFonts w:cs="宋体"/>
                <w:sz w:val="21"/>
                <w:szCs w:val="21"/>
                <w:highlight w:val="none"/>
                <w:lang w:bidi="zh-CN"/>
              </w:rPr>
            </w:pPr>
            <w:r>
              <w:rPr>
                <w:rFonts w:hint="eastAsia" w:cs="宋体"/>
                <w:color w:val="000000"/>
                <w:kern w:val="0"/>
                <w:sz w:val="21"/>
                <w:szCs w:val="21"/>
                <w:highlight w:val="none"/>
              </w:rPr>
              <w:t>根据供应商提供的服务质量与投诉解决</w:t>
            </w:r>
            <w:r>
              <w:rPr>
                <w:rFonts w:hint="eastAsia" w:cs="宋体"/>
                <w:sz w:val="21"/>
                <w:szCs w:val="21"/>
                <w:highlight w:val="none"/>
                <w:lang w:bidi="zh-CN"/>
              </w:rPr>
              <w:t>方案评分：</w:t>
            </w:r>
          </w:p>
          <w:p>
            <w:pPr>
              <w:widowControl/>
              <w:snapToGrid w:val="0"/>
              <w:spacing w:line="360" w:lineRule="auto"/>
              <w:jc w:val="left"/>
              <w:rPr>
                <w:rFonts w:cs="宋体"/>
                <w:color w:val="000000"/>
                <w:sz w:val="21"/>
                <w:szCs w:val="21"/>
                <w:highlight w:val="none"/>
              </w:rPr>
            </w:pPr>
            <w:r>
              <w:rPr>
                <w:rFonts w:hint="eastAsia" w:cs="宋体"/>
                <w:color w:val="000000"/>
                <w:sz w:val="21"/>
                <w:szCs w:val="21"/>
                <w:highlight w:val="none"/>
              </w:rPr>
              <w:t>（1）</w:t>
            </w:r>
            <w:r>
              <w:rPr>
                <w:rFonts w:hint="eastAsia" w:cs="宋体"/>
                <w:color w:val="000000"/>
                <w:kern w:val="0"/>
                <w:sz w:val="21"/>
                <w:szCs w:val="21"/>
                <w:highlight w:val="none"/>
              </w:rPr>
              <w:t>供应商有完善得服务质量监控管理体系与投诉解决方案，方案须切实可行，能有效、快速处理问题，方案内容</w:t>
            </w:r>
            <w:r>
              <w:rPr>
                <w:rFonts w:hint="eastAsia" w:cs="宋体"/>
                <w:color w:val="000000"/>
                <w:sz w:val="21"/>
                <w:szCs w:val="21"/>
                <w:highlight w:val="none"/>
              </w:rPr>
              <w:t>详细全面、合理、可行、针对性强得3分；</w:t>
            </w:r>
          </w:p>
          <w:p>
            <w:pPr>
              <w:widowControl/>
              <w:snapToGrid w:val="0"/>
              <w:spacing w:line="360" w:lineRule="auto"/>
              <w:jc w:val="left"/>
              <w:rPr>
                <w:rFonts w:cs="宋体"/>
                <w:color w:val="000000"/>
                <w:sz w:val="21"/>
                <w:szCs w:val="21"/>
                <w:highlight w:val="none"/>
              </w:rPr>
            </w:pPr>
            <w:r>
              <w:rPr>
                <w:rFonts w:hint="eastAsia" w:cs="宋体"/>
                <w:color w:val="000000"/>
                <w:sz w:val="21"/>
                <w:szCs w:val="21"/>
                <w:highlight w:val="none"/>
              </w:rPr>
              <w:t>（2）内容基本全面、合理、可行得2分；</w:t>
            </w:r>
          </w:p>
          <w:p>
            <w:pPr>
              <w:widowControl/>
              <w:snapToGrid w:val="0"/>
              <w:spacing w:line="360" w:lineRule="auto"/>
              <w:jc w:val="left"/>
              <w:rPr>
                <w:rFonts w:cs="宋体"/>
                <w:color w:val="000000"/>
                <w:sz w:val="21"/>
                <w:szCs w:val="21"/>
                <w:highlight w:val="none"/>
              </w:rPr>
            </w:pPr>
            <w:r>
              <w:rPr>
                <w:rFonts w:hint="eastAsia" w:cs="宋体"/>
                <w:color w:val="000000"/>
                <w:sz w:val="21"/>
                <w:szCs w:val="21"/>
                <w:highlight w:val="none"/>
              </w:rPr>
              <w:t>（3）方案欠缺，基本可行得1分；</w:t>
            </w:r>
          </w:p>
          <w:p>
            <w:pPr>
              <w:widowControl/>
              <w:snapToGrid w:val="0"/>
              <w:spacing w:line="360" w:lineRule="auto"/>
              <w:jc w:val="left"/>
              <w:rPr>
                <w:rFonts w:cs="宋体"/>
                <w:highlight w:val="none"/>
              </w:rPr>
            </w:pPr>
            <w:r>
              <w:rPr>
                <w:rFonts w:hint="eastAsia" w:cs="宋体"/>
                <w:color w:val="000000"/>
                <w:sz w:val="21"/>
                <w:szCs w:val="21"/>
                <w:highlight w:val="none"/>
              </w:rPr>
              <w:t>（4）未</w:t>
            </w:r>
            <w:r>
              <w:rPr>
                <w:rFonts w:hint="eastAsia" w:cs="宋体"/>
                <w:color w:val="000000"/>
                <w:kern w:val="0"/>
                <w:sz w:val="21"/>
                <w:szCs w:val="21"/>
                <w:highlight w:val="none"/>
              </w:rPr>
              <w:t>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16" w:type="dxa"/>
            <w:vMerge w:val="continue"/>
            <w:noWrap/>
            <w:vAlign w:val="center"/>
          </w:tcPr>
          <w:p>
            <w:pPr>
              <w:snapToGrid w:val="0"/>
              <w:spacing w:line="360" w:lineRule="auto"/>
              <w:jc w:val="center"/>
              <w:rPr>
                <w:rFonts w:cs="宋体"/>
                <w:sz w:val="21"/>
                <w:szCs w:val="21"/>
                <w:highlight w:val="none"/>
              </w:rPr>
            </w:pPr>
          </w:p>
        </w:tc>
        <w:tc>
          <w:tcPr>
            <w:tcW w:w="945" w:type="dxa"/>
            <w:vMerge w:val="continue"/>
            <w:noWrap/>
            <w:vAlign w:val="center"/>
          </w:tcPr>
          <w:p>
            <w:pPr>
              <w:snapToGrid w:val="0"/>
              <w:spacing w:line="360" w:lineRule="auto"/>
              <w:jc w:val="center"/>
              <w:rPr>
                <w:rFonts w:cs="宋体"/>
                <w:sz w:val="21"/>
                <w:szCs w:val="21"/>
                <w:highlight w:val="none"/>
              </w:rPr>
            </w:pPr>
          </w:p>
        </w:tc>
        <w:tc>
          <w:tcPr>
            <w:tcW w:w="1035" w:type="dxa"/>
            <w:noWrap/>
            <w:vAlign w:val="center"/>
          </w:tcPr>
          <w:p>
            <w:pPr>
              <w:snapToGrid w:val="0"/>
              <w:spacing w:line="360" w:lineRule="auto"/>
              <w:jc w:val="center"/>
              <w:rPr>
                <w:rFonts w:cs="宋体"/>
                <w:spacing w:val="8"/>
                <w:sz w:val="21"/>
                <w:szCs w:val="21"/>
                <w:highlight w:val="none"/>
              </w:rPr>
            </w:pPr>
            <w:r>
              <w:rPr>
                <w:rFonts w:hint="eastAsia" w:cs="宋体"/>
                <w:sz w:val="21"/>
                <w:szCs w:val="21"/>
                <w:highlight w:val="none"/>
                <w:lang w:bidi="zh-CN"/>
              </w:rPr>
              <w:t>应急预案</w:t>
            </w:r>
          </w:p>
        </w:tc>
        <w:tc>
          <w:tcPr>
            <w:tcW w:w="480" w:type="dxa"/>
            <w:noWrap/>
            <w:vAlign w:val="center"/>
          </w:tcPr>
          <w:p>
            <w:pPr>
              <w:widowControl/>
              <w:pBdr>
                <w:between w:val="single" w:color="auto" w:sz="4" w:space="0"/>
              </w:pBdr>
              <w:snapToGrid w:val="0"/>
              <w:spacing w:line="360" w:lineRule="auto"/>
              <w:jc w:val="center"/>
              <w:rPr>
                <w:rFonts w:cs="宋体"/>
                <w:sz w:val="21"/>
                <w:szCs w:val="21"/>
                <w:highlight w:val="none"/>
                <w:lang w:bidi="zh-CN"/>
              </w:rPr>
            </w:pPr>
            <w:r>
              <w:rPr>
                <w:rFonts w:hint="eastAsia" w:cs="宋体"/>
                <w:sz w:val="21"/>
                <w:szCs w:val="21"/>
                <w:highlight w:val="none"/>
                <w:lang w:bidi="zh-CN"/>
              </w:rPr>
              <w:t>3</w:t>
            </w:r>
          </w:p>
        </w:tc>
        <w:tc>
          <w:tcPr>
            <w:tcW w:w="6984" w:type="dxa"/>
            <w:noWrap/>
            <w:vAlign w:val="center"/>
          </w:tcPr>
          <w:p>
            <w:pPr>
              <w:widowControl/>
              <w:autoSpaceDE w:val="0"/>
              <w:autoSpaceDN w:val="0"/>
              <w:snapToGrid w:val="0"/>
              <w:spacing w:line="360" w:lineRule="auto"/>
              <w:jc w:val="left"/>
              <w:rPr>
                <w:rFonts w:cs="宋体"/>
                <w:sz w:val="21"/>
                <w:szCs w:val="21"/>
                <w:highlight w:val="none"/>
                <w:lang w:bidi="zh-CN"/>
              </w:rPr>
            </w:pPr>
            <w:r>
              <w:rPr>
                <w:rFonts w:hint="eastAsia" w:cs="宋体"/>
                <w:sz w:val="21"/>
                <w:szCs w:val="21"/>
                <w:highlight w:val="none"/>
              </w:rPr>
              <w:t>根据供应商对本项目制定</w:t>
            </w:r>
            <w:r>
              <w:rPr>
                <w:rFonts w:hint="eastAsia" w:cs="宋体"/>
                <w:sz w:val="21"/>
                <w:szCs w:val="21"/>
                <w:highlight w:val="none"/>
                <w:lang w:bidi="zh-CN"/>
              </w:rPr>
              <w:t>应急预案方案评分：</w:t>
            </w:r>
          </w:p>
          <w:p>
            <w:pPr>
              <w:widowControl/>
              <w:autoSpaceDE w:val="0"/>
              <w:autoSpaceDN w:val="0"/>
              <w:snapToGrid w:val="0"/>
              <w:spacing w:line="360" w:lineRule="auto"/>
              <w:jc w:val="left"/>
              <w:rPr>
                <w:rFonts w:cs="宋体"/>
                <w:color w:val="000000"/>
                <w:kern w:val="0"/>
                <w:sz w:val="21"/>
                <w:szCs w:val="21"/>
                <w:highlight w:val="none"/>
              </w:rPr>
            </w:pPr>
            <w:r>
              <w:rPr>
                <w:rFonts w:hint="eastAsia" w:cs="宋体"/>
                <w:sz w:val="21"/>
                <w:szCs w:val="21"/>
                <w:highlight w:val="none"/>
                <w:lang w:bidi="zh-CN"/>
              </w:rPr>
              <w:t>（1）突发治安事件应急措施、</w:t>
            </w:r>
            <w:r>
              <w:rPr>
                <w:rFonts w:hint="eastAsia" w:cs="宋体"/>
                <w:color w:val="000000"/>
                <w:kern w:val="0"/>
                <w:sz w:val="21"/>
                <w:szCs w:val="21"/>
                <w:highlight w:val="none"/>
              </w:rPr>
              <w:t>杜绝食源性细菌感染食物中毒的应急预案、能及时满足停水、停电、停气应急方案、完善的消防应急预案、</w:t>
            </w:r>
            <w:r>
              <w:rPr>
                <w:rFonts w:hint="eastAsia" w:cs="宋体"/>
                <w:color w:val="000000"/>
                <w:kern w:val="0"/>
                <w:sz w:val="21"/>
                <w:szCs w:val="21"/>
                <w:highlight w:val="none"/>
                <w:lang w:val="zh-CN"/>
              </w:rPr>
              <w:t>防四害预控</w:t>
            </w:r>
            <w:r>
              <w:rPr>
                <w:rFonts w:hint="eastAsia" w:cs="宋体"/>
                <w:color w:val="000000"/>
                <w:kern w:val="0"/>
                <w:sz w:val="21"/>
                <w:szCs w:val="21"/>
                <w:highlight w:val="none"/>
              </w:rPr>
              <w:t>方案，方案内容详细全面、合理、可行、针对性强得3分；</w:t>
            </w:r>
          </w:p>
          <w:p>
            <w:pPr>
              <w:widowControl/>
              <w:autoSpaceDE w:val="0"/>
              <w:autoSpaceDN w:val="0"/>
              <w:snapToGrid w:val="0"/>
              <w:spacing w:line="360" w:lineRule="auto"/>
              <w:jc w:val="left"/>
              <w:rPr>
                <w:rFonts w:cs="宋体"/>
                <w:color w:val="000000"/>
                <w:kern w:val="0"/>
                <w:sz w:val="21"/>
                <w:szCs w:val="21"/>
                <w:highlight w:val="none"/>
              </w:rPr>
            </w:pPr>
            <w:r>
              <w:rPr>
                <w:rFonts w:hint="eastAsia" w:cs="宋体"/>
                <w:color w:val="000000"/>
                <w:kern w:val="0"/>
                <w:sz w:val="21"/>
                <w:szCs w:val="21"/>
                <w:highlight w:val="none"/>
              </w:rPr>
              <w:t>（2）内容基本全面、合理、可行得2分；</w:t>
            </w:r>
          </w:p>
          <w:p>
            <w:pPr>
              <w:widowControl/>
              <w:autoSpaceDE w:val="0"/>
              <w:autoSpaceDN w:val="0"/>
              <w:snapToGrid w:val="0"/>
              <w:spacing w:line="360" w:lineRule="auto"/>
              <w:jc w:val="left"/>
              <w:rPr>
                <w:rFonts w:cs="宋体"/>
                <w:color w:val="000000"/>
                <w:kern w:val="0"/>
                <w:sz w:val="21"/>
                <w:szCs w:val="21"/>
                <w:highlight w:val="none"/>
              </w:rPr>
            </w:pPr>
            <w:r>
              <w:rPr>
                <w:rFonts w:hint="eastAsia" w:cs="宋体"/>
                <w:color w:val="000000"/>
                <w:kern w:val="0"/>
                <w:sz w:val="21"/>
                <w:szCs w:val="21"/>
                <w:highlight w:val="none"/>
              </w:rPr>
              <w:t>（3）合理，方案欠缺基本可行得1分。</w:t>
            </w:r>
          </w:p>
          <w:p>
            <w:pPr>
              <w:widowControl/>
              <w:autoSpaceDE w:val="0"/>
              <w:autoSpaceDN w:val="0"/>
              <w:snapToGrid w:val="0"/>
              <w:spacing w:line="360" w:lineRule="auto"/>
              <w:jc w:val="left"/>
              <w:rPr>
                <w:rFonts w:cs="宋体"/>
                <w:spacing w:val="-1"/>
                <w:sz w:val="21"/>
                <w:szCs w:val="21"/>
                <w:highlight w:val="none"/>
              </w:rPr>
            </w:pPr>
            <w:r>
              <w:rPr>
                <w:rFonts w:hint="eastAsia" w:cs="宋体"/>
                <w:color w:val="000000"/>
                <w:kern w:val="0"/>
                <w:sz w:val="21"/>
                <w:szCs w:val="21"/>
                <w:highlight w:val="none"/>
              </w:rPr>
              <w:t>（4）未提供不得分。</w:t>
            </w:r>
          </w:p>
        </w:tc>
      </w:tr>
    </w:tbl>
    <w:p>
      <w:pPr>
        <w:spacing w:line="360" w:lineRule="auto"/>
        <w:rPr>
          <w:rFonts w:cs="宋体"/>
          <w:highlight w:val="none"/>
        </w:rPr>
      </w:pPr>
    </w:p>
    <w:p>
      <w:pPr>
        <w:rPr>
          <w:rFonts w:cs="宋体"/>
          <w:highlight w:val="none"/>
        </w:rPr>
        <w:sectPr>
          <w:pgSz w:w="11906" w:h="16839"/>
          <w:pgMar w:top="1134" w:right="1785" w:bottom="1134" w:left="1460" w:header="0" w:footer="992" w:gutter="0"/>
          <w:cols w:space="720" w:num="1"/>
        </w:sectPr>
      </w:pPr>
    </w:p>
    <w:p>
      <w:pPr>
        <w:adjustRightInd w:val="0"/>
        <w:snapToGrid w:val="0"/>
        <w:spacing w:before="100" w:line="396" w:lineRule="auto"/>
        <w:rPr>
          <w:rFonts w:cs="宋体"/>
          <w:b/>
          <w:kern w:val="0"/>
          <w:highlight w:val="none"/>
          <w:lang w:val="zh-CN"/>
        </w:rPr>
      </w:pPr>
      <w:r>
        <w:rPr>
          <w:rFonts w:hint="eastAsia" w:cs="宋体"/>
          <w:b/>
          <w:kern w:val="0"/>
          <w:highlight w:val="none"/>
        </w:rPr>
        <w:t>1、</w:t>
      </w:r>
      <w:r>
        <w:rPr>
          <w:rFonts w:hint="eastAsia" w:cs="宋体"/>
          <w:b/>
          <w:kern w:val="0"/>
          <w:highlight w:val="none"/>
          <w:lang w:val="zh-CN"/>
        </w:rPr>
        <w:t>评标方法</w:t>
      </w:r>
    </w:p>
    <w:p>
      <w:pPr>
        <w:snapToGrid w:val="0"/>
        <w:spacing w:line="396" w:lineRule="auto"/>
        <w:ind w:right="70" w:firstLine="508" w:firstLineChars="200"/>
        <w:rPr>
          <w:rFonts w:cs="宋体"/>
          <w:highlight w:val="none"/>
        </w:rPr>
      </w:pPr>
      <w:r>
        <w:rPr>
          <w:rFonts w:hint="eastAsia" w:cs="宋体"/>
          <w:spacing w:val="7"/>
          <w:highlight w:val="none"/>
        </w:rPr>
        <w:t>本次评标采用综合评分法。评标委员会对满足招标文件实质性要求的投标文件，按照本章第2.2款规定的评分标准进行打分，并按得</w:t>
      </w:r>
      <w:r>
        <w:rPr>
          <w:rFonts w:hint="eastAsia" w:cs="宋体"/>
          <w:spacing w:val="6"/>
          <w:highlight w:val="none"/>
        </w:rPr>
        <w:t>分由高到低顺序推荐中标候选人。如供应商最</w:t>
      </w:r>
      <w:r>
        <w:rPr>
          <w:rFonts w:hint="eastAsia" w:cs="宋体"/>
          <w:spacing w:val="8"/>
          <w:highlight w:val="none"/>
        </w:rPr>
        <w:t>后得分相同时，按照本章第3.4.1款规定的办法对供应商进行排序推荐中标候选人。</w:t>
      </w:r>
    </w:p>
    <w:p>
      <w:pPr>
        <w:snapToGrid w:val="0"/>
        <w:spacing w:line="396" w:lineRule="auto"/>
        <w:ind w:firstLine="492" w:firstLineChars="200"/>
        <w:rPr>
          <w:rFonts w:cs="宋体"/>
          <w:highlight w:val="none"/>
        </w:rPr>
      </w:pPr>
      <w:r>
        <w:rPr>
          <w:rFonts w:hint="eastAsia" w:cs="宋体"/>
          <w:spacing w:val="3"/>
          <w:highlight w:val="none"/>
        </w:rPr>
        <w:t>评标活动遵循“公平、公正、科学、择优”的原则。在评标期间，任何人不得非法干预、</w:t>
      </w:r>
      <w:r>
        <w:rPr>
          <w:rFonts w:hint="eastAsia" w:cs="宋体"/>
          <w:spacing w:val="7"/>
          <w:highlight w:val="none"/>
        </w:rPr>
        <w:t>影响评标过程。</w:t>
      </w:r>
    </w:p>
    <w:p>
      <w:pPr>
        <w:adjustRightInd w:val="0"/>
        <w:snapToGrid w:val="0"/>
        <w:spacing w:before="100" w:line="396" w:lineRule="auto"/>
        <w:rPr>
          <w:rFonts w:cs="宋体"/>
          <w:b/>
          <w:kern w:val="0"/>
          <w:highlight w:val="none"/>
        </w:rPr>
      </w:pPr>
      <w:r>
        <w:rPr>
          <w:rFonts w:hint="eastAsia" w:cs="宋体"/>
          <w:b/>
          <w:kern w:val="0"/>
          <w:highlight w:val="none"/>
        </w:rPr>
        <w:t>2. 评审标准</w:t>
      </w:r>
    </w:p>
    <w:p>
      <w:pPr>
        <w:snapToGrid w:val="0"/>
        <w:spacing w:line="396" w:lineRule="auto"/>
        <w:ind w:left="350"/>
        <w:rPr>
          <w:rFonts w:cs="宋体"/>
          <w:highlight w:val="none"/>
        </w:rPr>
      </w:pPr>
      <w:r>
        <w:rPr>
          <w:rFonts w:hint="eastAsia" w:cs="宋体"/>
          <w:spacing w:val="6"/>
          <w:highlight w:val="none"/>
        </w:rPr>
        <w:t>2.1 初步评审标准</w:t>
      </w:r>
    </w:p>
    <w:p>
      <w:pPr>
        <w:snapToGrid w:val="0"/>
        <w:spacing w:line="396" w:lineRule="auto"/>
        <w:ind w:left="770"/>
        <w:rPr>
          <w:rFonts w:cs="宋体"/>
          <w:highlight w:val="none"/>
        </w:rPr>
      </w:pPr>
      <w:r>
        <w:rPr>
          <w:rFonts w:hint="eastAsia" w:cs="宋体"/>
          <w:spacing w:val="7"/>
          <w:highlight w:val="none"/>
        </w:rPr>
        <w:t>2.1.1 资格性审查标准：见评标办法前附表。</w:t>
      </w:r>
    </w:p>
    <w:p>
      <w:pPr>
        <w:snapToGrid w:val="0"/>
        <w:spacing w:line="396" w:lineRule="auto"/>
        <w:ind w:left="770"/>
        <w:rPr>
          <w:rFonts w:cs="宋体"/>
          <w:highlight w:val="none"/>
        </w:rPr>
      </w:pPr>
      <w:r>
        <w:rPr>
          <w:rFonts w:hint="eastAsia" w:cs="宋体"/>
          <w:spacing w:val="7"/>
          <w:highlight w:val="none"/>
        </w:rPr>
        <w:t>2.1.2 符合性审查标准：见评标办法前附表。</w:t>
      </w:r>
    </w:p>
    <w:p>
      <w:pPr>
        <w:snapToGrid w:val="0"/>
        <w:spacing w:line="396" w:lineRule="auto"/>
        <w:ind w:left="350"/>
        <w:rPr>
          <w:rFonts w:cs="宋体"/>
          <w:highlight w:val="none"/>
        </w:rPr>
      </w:pPr>
      <w:r>
        <w:rPr>
          <w:rFonts w:hint="eastAsia" w:cs="宋体"/>
          <w:spacing w:val="7"/>
          <w:highlight w:val="none"/>
        </w:rPr>
        <w:t>2.2 分值构成与评分标准</w:t>
      </w:r>
    </w:p>
    <w:p>
      <w:pPr>
        <w:snapToGrid w:val="0"/>
        <w:spacing w:line="396" w:lineRule="auto"/>
        <w:ind w:firstLine="750" w:firstLineChars="300"/>
        <w:rPr>
          <w:rFonts w:cs="宋体"/>
          <w:highlight w:val="none"/>
        </w:rPr>
      </w:pPr>
      <w:r>
        <w:rPr>
          <w:rFonts w:hint="eastAsia" w:cs="宋体"/>
          <w:spacing w:val="5"/>
          <w:highlight w:val="none"/>
        </w:rPr>
        <w:t>2.2.1 分值构成</w:t>
      </w:r>
    </w:p>
    <w:p>
      <w:pPr>
        <w:snapToGrid w:val="0"/>
        <w:spacing w:line="396" w:lineRule="auto"/>
        <w:ind w:left="778"/>
        <w:rPr>
          <w:rFonts w:cs="宋体"/>
          <w:highlight w:val="none"/>
        </w:rPr>
      </w:pPr>
      <w:r>
        <w:rPr>
          <w:rFonts w:hint="eastAsia" w:cs="宋体"/>
          <w:spacing w:val="7"/>
          <w:highlight w:val="none"/>
        </w:rPr>
        <w:t>（1）技术部分：见评标办法前附表；</w:t>
      </w:r>
    </w:p>
    <w:p>
      <w:pPr>
        <w:snapToGrid w:val="0"/>
        <w:spacing w:line="396" w:lineRule="auto"/>
        <w:ind w:left="778"/>
        <w:rPr>
          <w:rFonts w:cs="宋体"/>
          <w:highlight w:val="none"/>
        </w:rPr>
      </w:pPr>
      <w:r>
        <w:rPr>
          <w:rFonts w:hint="eastAsia" w:cs="宋体"/>
          <w:spacing w:val="7"/>
          <w:highlight w:val="none"/>
        </w:rPr>
        <w:t>（2）商务部分：见评标办法前附表；</w:t>
      </w:r>
    </w:p>
    <w:p>
      <w:pPr>
        <w:snapToGrid w:val="0"/>
        <w:spacing w:line="396" w:lineRule="auto"/>
        <w:ind w:left="778"/>
        <w:rPr>
          <w:rFonts w:cs="宋体"/>
          <w:highlight w:val="none"/>
        </w:rPr>
      </w:pPr>
      <w:r>
        <w:rPr>
          <w:rFonts w:hint="eastAsia" w:cs="宋体"/>
          <w:spacing w:val="7"/>
          <w:highlight w:val="none"/>
        </w:rPr>
        <w:t>（3）投标报价：见评标办法前附表；</w:t>
      </w:r>
    </w:p>
    <w:p>
      <w:pPr>
        <w:snapToGrid w:val="0"/>
        <w:spacing w:line="396" w:lineRule="auto"/>
        <w:ind w:left="778"/>
        <w:rPr>
          <w:rFonts w:cs="宋体"/>
          <w:highlight w:val="none"/>
        </w:rPr>
      </w:pPr>
      <w:r>
        <w:rPr>
          <w:rFonts w:hint="eastAsia" w:cs="宋体"/>
          <w:spacing w:val="8"/>
          <w:highlight w:val="none"/>
        </w:rPr>
        <w:t>（4）其他评分因素：见评标办法前附表。</w:t>
      </w:r>
    </w:p>
    <w:p>
      <w:pPr>
        <w:snapToGrid w:val="0"/>
        <w:spacing w:line="396" w:lineRule="auto"/>
        <w:ind w:left="770"/>
        <w:rPr>
          <w:rFonts w:cs="宋体"/>
          <w:highlight w:val="none"/>
        </w:rPr>
      </w:pPr>
      <w:r>
        <w:rPr>
          <w:rFonts w:hint="eastAsia" w:cs="宋体"/>
          <w:spacing w:val="6"/>
          <w:highlight w:val="none"/>
        </w:rPr>
        <w:t>2.2.2 评标基准价计算</w:t>
      </w:r>
    </w:p>
    <w:p>
      <w:pPr>
        <w:snapToGrid w:val="0"/>
        <w:spacing w:line="396" w:lineRule="auto"/>
        <w:ind w:left="767" w:firstLine="256" w:firstLineChars="100"/>
        <w:rPr>
          <w:rFonts w:cs="宋体"/>
          <w:highlight w:val="none"/>
        </w:rPr>
      </w:pPr>
      <w:r>
        <w:rPr>
          <w:rFonts w:hint="eastAsia" w:cs="宋体"/>
          <w:spacing w:val="8"/>
          <w:highlight w:val="none"/>
        </w:rPr>
        <w:t>评标基准价计算方法：见评标办法前附表。</w:t>
      </w:r>
    </w:p>
    <w:p>
      <w:pPr>
        <w:snapToGrid w:val="0"/>
        <w:spacing w:line="396" w:lineRule="auto"/>
        <w:ind w:left="770"/>
        <w:rPr>
          <w:rFonts w:cs="宋体"/>
          <w:highlight w:val="none"/>
        </w:rPr>
      </w:pPr>
      <w:r>
        <w:rPr>
          <w:rFonts w:hint="eastAsia" w:cs="宋体"/>
          <w:spacing w:val="5"/>
          <w:highlight w:val="none"/>
        </w:rPr>
        <w:t>2.2.3 评分标准</w:t>
      </w:r>
    </w:p>
    <w:p>
      <w:pPr>
        <w:snapToGrid w:val="0"/>
        <w:spacing w:line="396" w:lineRule="auto"/>
        <w:ind w:left="778"/>
        <w:rPr>
          <w:rFonts w:cs="宋体"/>
          <w:spacing w:val="8"/>
          <w:highlight w:val="none"/>
        </w:rPr>
      </w:pPr>
      <w:r>
        <w:rPr>
          <w:rFonts w:hint="eastAsia" w:cs="宋体"/>
          <w:spacing w:val="8"/>
          <w:highlight w:val="none"/>
        </w:rPr>
        <w:t>（1）投标报价评分标准：见评标办法前附表；</w:t>
      </w:r>
    </w:p>
    <w:p>
      <w:pPr>
        <w:snapToGrid w:val="0"/>
        <w:spacing w:line="396" w:lineRule="auto"/>
        <w:ind w:left="778"/>
        <w:rPr>
          <w:rFonts w:cs="宋体"/>
          <w:highlight w:val="none"/>
        </w:rPr>
      </w:pPr>
      <w:r>
        <w:rPr>
          <w:rFonts w:hint="eastAsia" w:cs="宋体"/>
          <w:spacing w:val="8"/>
          <w:highlight w:val="none"/>
        </w:rPr>
        <w:t>（2）技术部分评分标准：见评标办法前附表；</w:t>
      </w:r>
    </w:p>
    <w:p>
      <w:pPr>
        <w:snapToGrid w:val="0"/>
        <w:spacing w:line="396" w:lineRule="auto"/>
        <w:ind w:firstLine="768" w:firstLineChars="300"/>
        <w:rPr>
          <w:rFonts w:cs="宋体"/>
          <w:highlight w:val="none"/>
        </w:rPr>
      </w:pPr>
      <w:r>
        <w:rPr>
          <w:rFonts w:hint="eastAsia" w:cs="宋体"/>
          <w:spacing w:val="8"/>
          <w:highlight w:val="none"/>
        </w:rPr>
        <w:t>（3）商务部分评分标准</w:t>
      </w:r>
      <w:r>
        <w:rPr>
          <w:rFonts w:hint="eastAsia" w:cs="宋体"/>
          <w:highlight w:val="none"/>
        </w:rPr>
        <w:t>：</w:t>
      </w:r>
      <w:r>
        <w:rPr>
          <w:rFonts w:hint="eastAsia" w:cs="宋体"/>
          <w:spacing w:val="8"/>
          <w:highlight w:val="none"/>
        </w:rPr>
        <w:t>见评标办法前附表</w:t>
      </w:r>
    </w:p>
    <w:p>
      <w:pPr>
        <w:adjustRightInd w:val="0"/>
        <w:snapToGrid w:val="0"/>
        <w:spacing w:before="100" w:line="396" w:lineRule="auto"/>
        <w:rPr>
          <w:rFonts w:cs="宋体"/>
          <w:b/>
          <w:kern w:val="0"/>
          <w:highlight w:val="none"/>
        </w:rPr>
      </w:pPr>
      <w:r>
        <w:rPr>
          <w:rFonts w:hint="eastAsia" w:cs="宋体"/>
          <w:b/>
          <w:kern w:val="0"/>
          <w:highlight w:val="none"/>
        </w:rPr>
        <w:t>3. 评标程序</w:t>
      </w:r>
    </w:p>
    <w:p>
      <w:pPr>
        <w:snapToGrid w:val="0"/>
        <w:spacing w:line="396" w:lineRule="auto"/>
        <w:ind w:left="350"/>
        <w:rPr>
          <w:rFonts w:cs="宋体"/>
          <w:spacing w:val="6"/>
          <w:highlight w:val="none"/>
        </w:rPr>
      </w:pPr>
      <w:r>
        <w:rPr>
          <w:rFonts w:hint="eastAsia" w:cs="宋体"/>
          <w:spacing w:val="6"/>
          <w:highlight w:val="none"/>
        </w:rPr>
        <w:t>3.1 初步评审</w:t>
      </w:r>
    </w:p>
    <w:p>
      <w:pPr>
        <w:snapToGrid w:val="0"/>
        <w:spacing w:line="396" w:lineRule="auto"/>
        <w:ind w:firstLine="512" w:firstLineChars="200"/>
        <w:rPr>
          <w:rFonts w:cs="宋体"/>
          <w:spacing w:val="8"/>
          <w:highlight w:val="none"/>
        </w:rPr>
      </w:pPr>
      <w:r>
        <w:rPr>
          <w:rFonts w:hint="eastAsia" w:cs="宋体"/>
          <w:spacing w:val="8"/>
          <w:highlight w:val="none"/>
        </w:rPr>
        <w:t>3.1.1 评标委员会可以要求供应商提交第二章供应商须知第 13.2 条规定的有关证明和证件的原件，以便核验。评标委员会依据本章第 2.1.1 款规定的标准对投标文件进行初步评审。有一项不符合评审标准的，其投标按照无效投标处理。</w:t>
      </w:r>
    </w:p>
    <w:p>
      <w:pPr>
        <w:snapToGrid w:val="0"/>
        <w:spacing w:line="396" w:lineRule="auto"/>
        <w:ind w:left="446"/>
        <w:rPr>
          <w:rFonts w:cs="宋体"/>
          <w:highlight w:val="none"/>
        </w:rPr>
      </w:pPr>
      <w:r>
        <w:rPr>
          <w:rFonts w:hint="eastAsia" w:cs="宋体"/>
          <w:spacing w:val="8"/>
          <w:highlight w:val="none"/>
        </w:rPr>
        <w:t>3.1.2 供应商有以下情形之一的，其投标按照无效投标处理：</w:t>
      </w:r>
    </w:p>
    <w:p>
      <w:pPr>
        <w:snapToGrid w:val="0"/>
        <w:spacing w:line="396" w:lineRule="auto"/>
        <w:ind w:left="452"/>
        <w:rPr>
          <w:rFonts w:cs="宋体"/>
          <w:highlight w:val="none"/>
        </w:rPr>
      </w:pPr>
      <w:r>
        <w:rPr>
          <w:rFonts w:hint="eastAsia" w:cs="宋体"/>
          <w:spacing w:val="7"/>
          <w:highlight w:val="none"/>
        </w:rPr>
        <w:t>（1）违反本章第2.1款初步评审标准规定的任何一种情形的；</w:t>
      </w:r>
    </w:p>
    <w:p>
      <w:pPr>
        <w:snapToGrid w:val="0"/>
        <w:spacing w:line="396" w:lineRule="auto"/>
        <w:ind w:left="452"/>
        <w:rPr>
          <w:rFonts w:cs="宋体"/>
          <w:highlight w:val="none"/>
        </w:rPr>
      </w:pPr>
      <w:r>
        <w:rPr>
          <w:rFonts w:hint="eastAsia" w:cs="宋体"/>
          <w:spacing w:val="8"/>
          <w:highlight w:val="none"/>
        </w:rPr>
        <w:t>（2）串通投标或弄虚作假或有其他违法行为的；</w:t>
      </w:r>
    </w:p>
    <w:p>
      <w:pPr>
        <w:snapToGrid w:val="0"/>
        <w:spacing w:line="396" w:lineRule="auto"/>
        <w:ind w:left="452"/>
        <w:rPr>
          <w:rFonts w:cs="宋体"/>
          <w:highlight w:val="none"/>
        </w:rPr>
      </w:pPr>
      <w:r>
        <w:rPr>
          <w:rFonts w:hint="eastAsia" w:cs="宋体"/>
          <w:spacing w:val="8"/>
          <w:highlight w:val="none"/>
        </w:rPr>
        <w:t>（3）不按评标委员会要求澄清、说明或补正的。</w:t>
      </w:r>
    </w:p>
    <w:p>
      <w:pPr>
        <w:snapToGrid w:val="0"/>
        <w:spacing w:line="396" w:lineRule="auto"/>
        <w:ind w:left="446"/>
        <w:rPr>
          <w:rFonts w:cs="宋体"/>
          <w:highlight w:val="none"/>
        </w:rPr>
      </w:pPr>
      <w:r>
        <w:rPr>
          <w:rFonts w:hint="eastAsia" w:cs="宋体"/>
          <w:spacing w:val="8"/>
          <w:highlight w:val="none"/>
        </w:rPr>
        <w:t>3.1.3在招标采购中，出现下列情形之一的，应</w:t>
      </w:r>
      <w:r>
        <w:rPr>
          <w:rFonts w:hint="eastAsia" w:cs="宋体"/>
          <w:spacing w:val="7"/>
          <w:highlight w:val="none"/>
        </w:rPr>
        <w:t>予废标：</w:t>
      </w:r>
    </w:p>
    <w:p>
      <w:pPr>
        <w:snapToGrid w:val="0"/>
        <w:spacing w:line="396" w:lineRule="auto"/>
        <w:ind w:left="452"/>
        <w:rPr>
          <w:rFonts w:cs="宋体"/>
          <w:highlight w:val="none"/>
        </w:rPr>
      </w:pPr>
      <w:r>
        <w:rPr>
          <w:rFonts w:hint="eastAsia" w:cs="宋体"/>
          <w:spacing w:val="9"/>
          <w:highlight w:val="none"/>
        </w:rPr>
        <w:t>（1）符合专业条件的供应商或者对招标文件作实质响应的供应商不足三</w:t>
      </w:r>
      <w:r>
        <w:rPr>
          <w:rFonts w:hint="eastAsia" w:cs="宋体"/>
          <w:spacing w:val="8"/>
          <w:highlight w:val="none"/>
        </w:rPr>
        <w:t>家的；</w:t>
      </w:r>
    </w:p>
    <w:p>
      <w:pPr>
        <w:snapToGrid w:val="0"/>
        <w:spacing w:line="396" w:lineRule="auto"/>
        <w:ind w:left="452"/>
        <w:rPr>
          <w:rFonts w:cs="宋体"/>
          <w:highlight w:val="none"/>
        </w:rPr>
      </w:pPr>
      <w:r>
        <w:rPr>
          <w:rFonts w:hint="eastAsia" w:cs="宋体"/>
          <w:spacing w:val="8"/>
          <w:highlight w:val="none"/>
        </w:rPr>
        <w:t>（2）出现影响采购公正的违法、违规行为的；</w:t>
      </w:r>
    </w:p>
    <w:p>
      <w:pPr>
        <w:snapToGrid w:val="0"/>
        <w:spacing w:line="396" w:lineRule="auto"/>
        <w:ind w:left="452"/>
        <w:rPr>
          <w:rFonts w:cs="宋体"/>
          <w:highlight w:val="none"/>
        </w:rPr>
      </w:pPr>
      <w:r>
        <w:rPr>
          <w:rFonts w:hint="eastAsia" w:cs="宋体"/>
          <w:spacing w:val="8"/>
          <w:highlight w:val="none"/>
        </w:rPr>
        <w:t>（3）供应商的报价均超过了采购预算，采购人不能支付的；</w:t>
      </w:r>
    </w:p>
    <w:p>
      <w:pPr>
        <w:snapToGrid w:val="0"/>
        <w:spacing w:line="396" w:lineRule="auto"/>
        <w:ind w:left="452"/>
        <w:rPr>
          <w:rFonts w:cs="宋体"/>
          <w:highlight w:val="none"/>
        </w:rPr>
      </w:pPr>
      <w:r>
        <w:rPr>
          <w:rFonts w:hint="eastAsia" w:cs="宋体"/>
          <w:spacing w:val="7"/>
          <w:highlight w:val="none"/>
        </w:rPr>
        <w:t>（4）因重大变故，采购任务取消的。</w:t>
      </w:r>
    </w:p>
    <w:p>
      <w:pPr>
        <w:snapToGrid w:val="0"/>
        <w:spacing w:line="396" w:lineRule="auto"/>
        <w:ind w:left="441"/>
        <w:rPr>
          <w:rFonts w:cs="宋体"/>
          <w:highlight w:val="none"/>
        </w:rPr>
      </w:pPr>
      <w:r>
        <w:rPr>
          <w:rFonts w:hint="eastAsia" w:cs="宋体"/>
          <w:spacing w:val="9"/>
          <w:highlight w:val="none"/>
        </w:rPr>
        <w:t>废标后，采购人应当将废标理由通知所有供应商。</w:t>
      </w:r>
    </w:p>
    <w:p>
      <w:pPr>
        <w:snapToGrid w:val="0"/>
        <w:spacing w:line="396" w:lineRule="auto"/>
        <w:ind w:left="22" w:right="12" w:firstLine="424"/>
        <w:rPr>
          <w:rFonts w:cs="宋体"/>
          <w:highlight w:val="none"/>
        </w:rPr>
      </w:pPr>
      <w:r>
        <w:rPr>
          <w:rFonts w:hint="eastAsia" w:cs="宋体"/>
          <w:spacing w:val="8"/>
          <w:highlight w:val="none"/>
        </w:rPr>
        <w:t>3.1.4投标报价有算术错误的，评标委员会按以下原则对投</w:t>
      </w:r>
      <w:r>
        <w:rPr>
          <w:rFonts w:hint="eastAsia" w:cs="宋体"/>
          <w:spacing w:val="7"/>
          <w:highlight w:val="none"/>
        </w:rPr>
        <w:t>标报价进行修正，修正的价</w:t>
      </w:r>
      <w:r>
        <w:rPr>
          <w:rFonts w:hint="eastAsia" w:cs="宋体"/>
          <w:spacing w:val="9"/>
          <w:highlight w:val="none"/>
        </w:rPr>
        <w:t>格经供应商书面确认后具有约束力。供应商不接受修正价格的，其投标按照</w:t>
      </w:r>
      <w:r>
        <w:rPr>
          <w:rFonts w:hint="eastAsia" w:cs="宋体"/>
          <w:spacing w:val="8"/>
          <w:highlight w:val="none"/>
        </w:rPr>
        <w:t>无效投标处理。</w:t>
      </w:r>
    </w:p>
    <w:p>
      <w:pPr>
        <w:snapToGrid w:val="0"/>
        <w:spacing w:line="396" w:lineRule="auto"/>
        <w:ind w:left="452"/>
        <w:rPr>
          <w:rFonts w:cs="宋体"/>
          <w:highlight w:val="none"/>
        </w:rPr>
      </w:pPr>
      <w:r>
        <w:rPr>
          <w:rFonts w:hint="eastAsia" w:cs="宋体"/>
          <w:spacing w:val="9"/>
          <w:highlight w:val="none"/>
        </w:rPr>
        <w:t>（1）投标文件中的大写金额与小写金额不一致的，以</w:t>
      </w:r>
      <w:r>
        <w:rPr>
          <w:rFonts w:hint="eastAsia" w:cs="宋体"/>
          <w:spacing w:val="8"/>
          <w:highlight w:val="none"/>
        </w:rPr>
        <w:t>大写金额为准；</w:t>
      </w:r>
    </w:p>
    <w:p>
      <w:pPr>
        <w:snapToGrid w:val="0"/>
        <w:spacing w:line="396" w:lineRule="auto"/>
        <w:ind w:left="32" w:right="71" w:firstLine="419"/>
        <w:rPr>
          <w:rFonts w:cs="宋体"/>
          <w:highlight w:val="none"/>
        </w:rPr>
      </w:pPr>
      <w:r>
        <w:rPr>
          <w:rFonts w:hint="eastAsia" w:cs="宋体"/>
          <w:spacing w:val="10"/>
          <w:highlight w:val="none"/>
        </w:rPr>
        <w:t>（2）总价金额与按单价汇总金额不一致的，以单</w:t>
      </w:r>
      <w:r>
        <w:rPr>
          <w:rFonts w:hint="eastAsia" w:cs="宋体"/>
          <w:spacing w:val="9"/>
          <w:highlight w:val="none"/>
        </w:rPr>
        <w:t>价金额计算结果为准。单价金额小数</w:t>
      </w:r>
      <w:r>
        <w:rPr>
          <w:rFonts w:hint="eastAsia" w:cs="宋体"/>
          <w:spacing w:val="8"/>
          <w:highlight w:val="none"/>
        </w:rPr>
        <w:t>点有明显错位的，应以总价为准，并修改单价。</w:t>
      </w:r>
    </w:p>
    <w:p>
      <w:pPr>
        <w:snapToGrid w:val="0"/>
        <w:spacing w:line="396" w:lineRule="auto"/>
        <w:ind w:left="452"/>
        <w:rPr>
          <w:rFonts w:cs="宋体"/>
          <w:highlight w:val="none"/>
        </w:rPr>
      </w:pPr>
      <w:r>
        <w:rPr>
          <w:rFonts w:hint="eastAsia" w:cs="宋体"/>
          <w:spacing w:val="9"/>
          <w:highlight w:val="none"/>
        </w:rPr>
        <w:t>（3）对不同文字文本投标文件的解释发生异议的，以</w:t>
      </w:r>
      <w:r>
        <w:rPr>
          <w:rFonts w:hint="eastAsia" w:cs="宋体"/>
          <w:spacing w:val="8"/>
          <w:highlight w:val="none"/>
        </w:rPr>
        <w:t>中文文本为准。</w:t>
      </w:r>
    </w:p>
    <w:p>
      <w:pPr>
        <w:snapToGrid w:val="0"/>
        <w:spacing w:line="396" w:lineRule="auto"/>
        <w:ind w:left="446"/>
        <w:rPr>
          <w:rFonts w:cs="宋体"/>
          <w:highlight w:val="none"/>
        </w:rPr>
      </w:pPr>
      <w:r>
        <w:rPr>
          <w:rFonts w:hint="eastAsia" w:cs="宋体"/>
          <w:spacing w:val="4"/>
          <w:highlight w:val="none"/>
        </w:rPr>
        <w:t>3.2详细评审</w:t>
      </w:r>
    </w:p>
    <w:p>
      <w:pPr>
        <w:snapToGrid w:val="0"/>
        <w:spacing w:line="396" w:lineRule="auto"/>
        <w:ind w:firstLine="464" w:firstLineChars="200"/>
        <w:rPr>
          <w:rFonts w:cs="宋体"/>
          <w:spacing w:val="-5"/>
          <w:highlight w:val="none"/>
        </w:rPr>
      </w:pPr>
      <w:r>
        <w:rPr>
          <w:rFonts w:hint="eastAsia" w:cs="宋体"/>
          <w:spacing w:val="-4"/>
          <w:highlight w:val="none"/>
        </w:rPr>
        <w:t>3.2.1评标委员会按本章第2.2款规定的量化因</w:t>
      </w:r>
      <w:r>
        <w:rPr>
          <w:rFonts w:hint="eastAsia" w:cs="宋体"/>
          <w:spacing w:val="-5"/>
          <w:highlight w:val="none"/>
        </w:rPr>
        <w:t>素和分值进行打分，并计算出综合评估得分。</w:t>
      </w:r>
    </w:p>
    <w:p>
      <w:pPr>
        <w:snapToGrid w:val="0"/>
        <w:spacing w:line="396" w:lineRule="auto"/>
        <w:ind w:left="452"/>
        <w:rPr>
          <w:rFonts w:cs="宋体"/>
          <w:highlight w:val="none"/>
        </w:rPr>
      </w:pPr>
      <w:r>
        <w:rPr>
          <w:rFonts w:hint="eastAsia" w:cs="宋体"/>
          <w:spacing w:val="8"/>
          <w:highlight w:val="none"/>
        </w:rPr>
        <w:t>（1）按本章第2.2.3（1）目规定的评审因素和分值对投标报价</w:t>
      </w:r>
      <w:r>
        <w:rPr>
          <w:rFonts w:hint="eastAsia" w:cs="宋体"/>
          <w:spacing w:val="7"/>
          <w:highlight w:val="none"/>
        </w:rPr>
        <w:t>部分计算出得分A；</w:t>
      </w:r>
    </w:p>
    <w:p>
      <w:pPr>
        <w:snapToGrid w:val="0"/>
        <w:spacing w:line="396" w:lineRule="auto"/>
        <w:ind w:left="452"/>
        <w:rPr>
          <w:rFonts w:cs="宋体"/>
          <w:highlight w:val="none"/>
        </w:rPr>
      </w:pPr>
      <w:r>
        <w:rPr>
          <w:rFonts w:hint="eastAsia" w:cs="宋体"/>
          <w:spacing w:val="8"/>
          <w:highlight w:val="none"/>
        </w:rPr>
        <w:t>（1）按本章第2.2.3（1）目规定的评审因素和分值对商务</w:t>
      </w:r>
      <w:r>
        <w:rPr>
          <w:rFonts w:hint="eastAsia" w:cs="宋体"/>
          <w:spacing w:val="7"/>
          <w:highlight w:val="none"/>
        </w:rPr>
        <w:t>部分计算出得分B；</w:t>
      </w:r>
    </w:p>
    <w:p>
      <w:pPr>
        <w:snapToGrid w:val="0"/>
        <w:spacing w:line="396" w:lineRule="auto"/>
        <w:ind w:left="452"/>
        <w:rPr>
          <w:rFonts w:cs="宋体"/>
          <w:highlight w:val="none"/>
        </w:rPr>
      </w:pPr>
      <w:r>
        <w:rPr>
          <w:rFonts w:hint="eastAsia" w:cs="宋体"/>
          <w:spacing w:val="8"/>
          <w:highlight w:val="none"/>
        </w:rPr>
        <w:t>（2）按本章第2.2.3（2）目规定的评审因素和分值对技术</w:t>
      </w:r>
      <w:r>
        <w:rPr>
          <w:rFonts w:hint="eastAsia" w:cs="宋体"/>
          <w:spacing w:val="7"/>
          <w:highlight w:val="none"/>
        </w:rPr>
        <w:t>部分计算出得分C；</w:t>
      </w:r>
    </w:p>
    <w:p>
      <w:pPr>
        <w:snapToGrid w:val="0"/>
        <w:spacing w:line="396" w:lineRule="auto"/>
        <w:ind w:left="446"/>
        <w:rPr>
          <w:rFonts w:cs="宋体"/>
          <w:highlight w:val="none"/>
        </w:rPr>
      </w:pPr>
      <w:r>
        <w:rPr>
          <w:rFonts w:hint="eastAsia" w:cs="宋体"/>
          <w:spacing w:val="7"/>
          <w:highlight w:val="none"/>
        </w:rPr>
        <w:t>3.2.2评分分值计算保留小数点后三位，小数点后第四位“四舍五入”。</w:t>
      </w:r>
    </w:p>
    <w:p>
      <w:pPr>
        <w:snapToGrid w:val="0"/>
        <w:spacing w:line="396" w:lineRule="auto"/>
        <w:ind w:left="446"/>
        <w:rPr>
          <w:rFonts w:cs="宋体"/>
          <w:highlight w:val="none"/>
        </w:rPr>
      </w:pPr>
      <w:r>
        <w:rPr>
          <w:rFonts w:hint="eastAsia" w:cs="宋体"/>
          <w:spacing w:val="4"/>
          <w:highlight w:val="none"/>
        </w:rPr>
        <w:t>3.2.3供应商得分=A+B+C。</w:t>
      </w:r>
    </w:p>
    <w:p>
      <w:pPr>
        <w:snapToGrid w:val="0"/>
        <w:spacing w:line="396" w:lineRule="auto"/>
        <w:ind w:left="446"/>
        <w:rPr>
          <w:rFonts w:cs="宋体"/>
          <w:highlight w:val="none"/>
        </w:rPr>
      </w:pPr>
      <w:r>
        <w:rPr>
          <w:rFonts w:hint="eastAsia" w:cs="宋体"/>
          <w:spacing w:val="7"/>
          <w:highlight w:val="none"/>
        </w:rPr>
        <w:t>3.3 投标文件的澄清和补正</w:t>
      </w:r>
    </w:p>
    <w:p>
      <w:pPr>
        <w:tabs>
          <w:tab w:val="left" w:pos="868"/>
        </w:tabs>
        <w:snapToGrid w:val="0"/>
        <w:spacing w:line="396" w:lineRule="auto"/>
        <w:ind w:firstLine="480" w:firstLineChars="200"/>
        <w:rPr>
          <w:rFonts w:cs="宋体"/>
          <w:bCs/>
          <w:szCs w:val="20"/>
          <w:highlight w:val="none"/>
        </w:rPr>
      </w:pPr>
      <w:r>
        <w:rPr>
          <w:rFonts w:hint="eastAsia" w:cs="宋体"/>
          <w:bCs/>
          <w:szCs w:val="20"/>
          <w:highlight w:val="none"/>
        </w:rPr>
        <w:t>评标期间，评标委员会有权要求供应商对其投标文件中含义不明确、同类问题表述不一致或者有明显文字和计算错误的内容等作必要的澄清、说明或者补正。供应商必须按照评标委员会要求的澄清内容和时间做出澄清。除按本章第 3.1.3 款规定改正算术错误外，供应商对投标文件的澄清不得超出投标文件的范围或者改变投标文件的实质性内容。在评标期间，评标委员会可要求供应商对其投标文件进行澄清，但不得寻求、提供或允许供应商对投标报价等实质性内容做任何更改。有关澄清的答复均应由供应商的法定代表人或委托代理人签字的书面形式作出。供应商的澄清文件是其投标文件的组成部分。</w:t>
      </w:r>
    </w:p>
    <w:p>
      <w:pPr>
        <w:snapToGrid w:val="0"/>
        <w:spacing w:line="396" w:lineRule="auto"/>
        <w:ind w:left="446"/>
        <w:rPr>
          <w:rFonts w:cs="宋体"/>
          <w:highlight w:val="none"/>
        </w:rPr>
      </w:pPr>
      <w:r>
        <w:rPr>
          <w:rFonts w:hint="eastAsia" w:cs="宋体"/>
          <w:spacing w:val="5"/>
          <w:highlight w:val="none"/>
        </w:rPr>
        <w:t>3.4 评标结果</w:t>
      </w:r>
    </w:p>
    <w:p>
      <w:pPr>
        <w:snapToGrid w:val="0"/>
        <w:spacing w:line="396" w:lineRule="auto"/>
        <w:ind w:left="21" w:right="3" w:firstLine="425"/>
        <w:rPr>
          <w:rFonts w:cs="宋体"/>
          <w:highlight w:val="none"/>
        </w:rPr>
      </w:pPr>
      <w:r>
        <w:rPr>
          <w:rFonts w:hint="eastAsia" w:cs="宋体"/>
          <w:spacing w:val="-2"/>
          <w:highlight w:val="none"/>
        </w:rPr>
        <w:t>3.4.1各评委严格按照本章要求对实质上响应招标文件要求的投标文件进行独立评分。全体评委评分完成后再进行汇总。由采购代理机构负责打分统计工作，评标委员</w:t>
      </w:r>
      <w:r>
        <w:rPr>
          <w:rFonts w:hint="eastAsia" w:cs="宋体"/>
          <w:spacing w:val="-3"/>
          <w:highlight w:val="none"/>
        </w:rPr>
        <w:t>会组长负责审核。各</w:t>
      </w:r>
      <w:r>
        <w:rPr>
          <w:rFonts w:hint="eastAsia" w:cs="宋体"/>
          <w:spacing w:val="-2"/>
          <w:highlight w:val="none"/>
        </w:rPr>
        <w:t>供应商的最终得分计算办法见评标办法前附表。评标委员会按照得分由高到</w:t>
      </w:r>
      <w:r>
        <w:rPr>
          <w:rFonts w:hint="eastAsia" w:cs="宋体"/>
          <w:spacing w:val="-3"/>
          <w:highlight w:val="none"/>
        </w:rPr>
        <w:t>低的顺序推荐排序第</w:t>
      </w:r>
      <w:r>
        <w:rPr>
          <w:rFonts w:hint="eastAsia" w:cs="宋体"/>
          <w:spacing w:val="-2"/>
          <w:highlight w:val="none"/>
        </w:rPr>
        <w:t>一的供应商作为中标候选人，由采购人按照法律法规的有关规定确定中标供应商。</w:t>
      </w:r>
    </w:p>
    <w:p>
      <w:pPr>
        <w:snapToGrid w:val="0"/>
        <w:spacing w:line="396" w:lineRule="auto"/>
        <w:ind w:firstLine="472" w:firstLineChars="200"/>
        <w:rPr>
          <w:rFonts w:cs="宋体"/>
          <w:spacing w:val="-2"/>
          <w:highlight w:val="none"/>
        </w:rPr>
      </w:pPr>
      <w:r>
        <w:rPr>
          <w:rFonts w:hint="eastAsia" w:cs="宋体"/>
          <w:spacing w:val="-2"/>
          <w:highlight w:val="none"/>
        </w:rPr>
        <w:t>3.4.2 完成评标后，全体评委须在评标结果推荐意见上共同签字。</w:t>
      </w:r>
    </w:p>
    <w:p>
      <w:pPr>
        <w:adjustRightInd w:val="0"/>
        <w:snapToGrid w:val="0"/>
        <w:spacing w:before="100" w:line="396" w:lineRule="auto"/>
        <w:rPr>
          <w:rFonts w:cs="宋体"/>
          <w:b/>
          <w:kern w:val="0"/>
          <w:highlight w:val="none"/>
          <w:lang w:val="zh-CN"/>
        </w:rPr>
      </w:pPr>
      <w:r>
        <w:rPr>
          <w:rFonts w:hint="eastAsia" w:cs="宋体"/>
          <w:b/>
          <w:kern w:val="0"/>
          <w:highlight w:val="none"/>
        </w:rPr>
        <w:t>4</w:t>
      </w:r>
      <w:r>
        <w:rPr>
          <w:rFonts w:hint="eastAsia" w:cs="宋体"/>
          <w:b/>
          <w:kern w:val="0"/>
          <w:highlight w:val="none"/>
          <w:lang w:val="zh-CN"/>
        </w:rPr>
        <w:t>、澄清有关问题</w:t>
      </w:r>
    </w:p>
    <w:p>
      <w:pPr>
        <w:tabs>
          <w:tab w:val="left" w:pos="616"/>
        </w:tabs>
        <w:snapToGrid w:val="0"/>
        <w:spacing w:line="396" w:lineRule="auto"/>
        <w:ind w:firstLine="480" w:firstLineChars="200"/>
        <w:rPr>
          <w:rFonts w:cs="宋体"/>
          <w:bCs/>
          <w:szCs w:val="20"/>
          <w:highlight w:val="none"/>
          <w:lang w:val="zh-CN"/>
        </w:rPr>
      </w:pPr>
      <w:r>
        <w:rPr>
          <w:rFonts w:hint="eastAsia" w:cs="宋体"/>
          <w:bCs/>
          <w:szCs w:val="20"/>
          <w:highlight w:val="none"/>
        </w:rPr>
        <w:t>4.1</w:t>
      </w:r>
      <w:r>
        <w:rPr>
          <w:rFonts w:hint="eastAsia" w:cs="宋体"/>
          <w:bCs/>
          <w:szCs w:val="20"/>
          <w:highlight w:val="none"/>
          <w:lang w:val="zh-CN"/>
        </w:rPr>
        <w:t>评标期间，对于投标文件中含义不明确、同类问题表述不一致或者有明显文字和计算错误的内容，评标委员会应当以书面形式要求供应商作出必要的澄清、说明或者补正。</w:t>
      </w:r>
    </w:p>
    <w:p>
      <w:pPr>
        <w:tabs>
          <w:tab w:val="left" w:pos="616"/>
        </w:tabs>
        <w:snapToGrid w:val="0"/>
        <w:spacing w:line="396" w:lineRule="auto"/>
        <w:ind w:firstLine="480" w:firstLineChars="200"/>
        <w:rPr>
          <w:rFonts w:cs="宋体"/>
          <w:bCs/>
          <w:strike/>
          <w:szCs w:val="20"/>
          <w:highlight w:val="none"/>
          <w:lang w:val="zh-CN"/>
        </w:rPr>
      </w:pPr>
      <w:r>
        <w:rPr>
          <w:rFonts w:hint="eastAsia" w:cs="宋体"/>
          <w:bCs/>
          <w:szCs w:val="20"/>
          <w:highlight w:val="none"/>
        </w:rPr>
        <w:t>4.2</w:t>
      </w:r>
      <w:r>
        <w:rPr>
          <w:rFonts w:hint="eastAsia" w:cs="宋体"/>
          <w:bCs/>
          <w:szCs w:val="20"/>
          <w:highlight w:val="none"/>
          <w:lang w:val="zh-CN"/>
        </w:rPr>
        <w:t>供应商应按照评标委员会要求的澄清内容在规定时间内做出澄清。</w:t>
      </w:r>
      <w:r>
        <w:rPr>
          <w:rFonts w:hint="eastAsia" w:cs="宋体"/>
          <w:szCs w:val="20"/>
          <w:highlight w:val="none"/>
          <w:lang w:val="zh-CN"/>
        </w:rPr>
        <w:t>投标文件报价出现前后不一致的，按照本节第3.3</w:t>
      </w:r>
      <w:r>
        <w:rPr>
          <w:rFonts w:hint="eastAsia" w:cs="宋体"/>
          <w:bCs/>
          <w:szCs w:val="20"/>
          <w:highlight w:val="none"/>
          <w:lang w:val="zh-CN"/>
        </w:rPr>
        <w:t>条规定进行修正，</w:t>
      </w:r>
      <w:r>
        <w:rPr>
          <w:rFonts w:hint="eastAsia" w:cs="宋体"/>
          <w:kern w:val="0"/>
          <w:highlight w:val="none"/>
          <w:lang w:val="zh-CN"/>
        </w:rPr>
        <w:t>供应商的澄清、说明或者补正不得超出投标文件的范围或者改变投标文件的实质性内容。</w:t>
      </w:r>
    </w:p>
    <w:p>
      <w:pPr>
        <w:tabs>
          <w:tab w:val="left" w:pos="616"/>
        </w:tabs>
        <w:snapToGrid w:val="0"/>
        <w:spacing w:line="396" w:lineRule="auto"/>
        <w:ind w:firstLine="480" w:firstLineChars="200"/>
        <w:rPr>
          <w:rFonts w:cs="宋体"/>
          <w:bCs/>
          <w:szCs w:val="20"/>
          <w:highlight w:val="none"/>
          <w:lang w:val="zh-CN"/>
        </w:rPr>
      </w:pPr>
      <w:r>
        <w:rPr>
          <w:rFonts w:hint="eastAsia" w:cs="宋体"/>
          <w:bCs/>
          <w:szCs w:val="20"/>
          <w:highlight w:val="none"/>
        </w:rPr>
        <w:t>4.3</w:t>
      </w:r>
      <w:r>
        <w:rPr>
          <w:rFonts w:hint="eastAsia" w:cs="宋体"/>
          <w:bCs/>
          <w:szCs w:val="20"/>
          <w:highlight w:val="none"/>
          <w:lang w:val="zh-CN"/>
        </w:rPr>
        <w:t>投标文件报价出现前后不一致的，按照下列规定修正：</w:t>
      </w:r>
    </w:p>
    <w:p>
      <w:pPr>
        <w:adjustRightInd w:val="0"/>
        <w:snapToGrid w:val="0"/>
        <w:spacing w:line="396" w:lineRule="auto"/>
        <w:ind w:firstLine="480" w:firstLineChars="200"/>
        <w:rPr>
          <w:rFonts w:cs="宋体"/>
          <w:highlight w:val="none"/>
          <w:lang w:val="zh-CN"/>
        </w:rPr>
      </w:pPr>
      <w:r>
        <w:rPr>
          <w:rFonts w:hint="eastAsia" w:cs="宋体"/>
          <w:highlight w:val="none"/>
        </w:rPr>
        <w:t>4.3.1</w:t>
      </w:r>
      <w:r>
        <w:rPr>
          <w:rFonts w:hint="eastAsia" w:cs="宋体"/>
          <w:highlight w:val="none"/>
          <w:lang w:val="zh-CN"/>
        </w:rPr>
        <w:t>投标文件中开标一览表内容与投标文件中相应内容不一致的，以开标一览表为准。</w:t>
      </w:r>
    </w:p>
    <w:p>
      <w:pPr>
        <w:adjustRightInd w:val="0"/>
        <w:snapToGrid w:val="0"/>
        <w:spacing w:line="396" w:lineRule="auto"/>
        <w:ind w:firstLine="480" w:firstLineChars="200"/>
        <w:rPr>
          <w:rFonts w:cs="宋体"/>
          <w:highlight w:val="none"/>
          <w:lang w:val="zh-CN"/>
        </w:rPr>
      </w:pPr>
      <w:r>
        <w:rPr>
          <w:rFonts w:hint="eastAsia" w:cs="宋体"/>
          <w:highlight w:val="none"/>
        </w:rPr>
        <w:t>4.3.2</w:t>
      </w:r>
      <w:r>
        <w:rPr>
          <w:rFonts w:hint="eastAsia" w:cs="宋体"/>
          <w:highlight w:val="none"/>
          <w:lang w:val="zh-CN"/>
        </w:rPr>
        <w:t>大写金额和小写金额不一致的，以大写金额为准。</w:t>
      </w:r>
    </w:p>
    <w:p>
      <w:pPr>
        <w:adjustRightInd w:val="0"/>
        <w:snapToGrid w:val="0"/>
        <w:spacing w:line="396" w:lineRule="auto"/>
        <w:ind w:firstLine="480" w:firstLineChars="200"/>
        <w:rPr>
          <w:rFonts w:cs="宋体"/>
          <w:highlight w:val="none"/>
          <w:lang w:val="zh-CN"/>
        </w:rPr>
      </w:pPr>
      <w:r>
        <w:rPr>
          <w:rFonts w:hint="eastAsia" w:cs="宋体"/>
          <w:highlight w:val="none"/>
        </w:rPr>
        <w:t>4.3.3</w:t>
      </w:r>
      <w:r>
        <w:rPr>
          <w:rFonts w:hint="eastAsia" w:cs="宋体"/>
          <w:highlight w:val="none"/>
          <w:lang w:val="zh-CN"/>
        </w:rPr>
        <w:t>单价金额小数点或者百分比有明显错位的，以开标一览表的总价为准，并修改单价。</w:t>
      </w:r>
    </w:p>
    <w:p>
      <w:pPr>
        <w:adjustRightInd w:val="0"/>
        <w:snapToGrid w:val="0"/>
        <w:spacing w:line="396" w:lineRule="auto"/>
        <w:ind w:firstLine="480" w:firstLineChars="200"/>
        <w:rPr>
          <w:rFonts w:cs="宋体"/>
          <w:highlight w:val="none"/>
          <w:lang w:val="zh-CN"/>
        </w:rPr>
      </w:pPr>
      <w:r>
        <w:rPr>
          <w:rFonts w:hint="eastAsia" w:cs="宋体"/>
          <w:highlight w:val="none"/>
        </w:rPr>
        <w:t>4.3.4</w:t>
      </w:r>
      <w:r>
        <w:rPr>
          <w:rFonts w:hint="eastAsia" w:cs="宋体"/>
          <w:highlight w:val="none"/>
          <w:lang w:val="zh-CN"/>
        </w:rPr>
        <w:t>总价金额与按单价汇总金额不一致的，以单价金额计算结果为准。</w:t>
      </w:r>
    </w:p>
    <w:p>
      <w:pPr>
        <w:adjustRightInd w:val="0"/>
        <w:snapToGrid w:val="0"/>
        <w:spacing w:line="396" w:lineRule="auto"/>
        <w:ind w:firstLine="480" w:firstLineChars="200"/>
        <w:rPr>
          <w:rFonts w:cs="宋体"/>
          <w:highlight w:val="none"/>
          <w:lang w:val="zh-CN"/>
        </w:rPr>
      </w:pPr>
      <w:r>
        <w:rPr>
          <w:rFonts w:hint="eastAsia" w:cs="宋体"/>
          <w:highlight w:val="none"/>
        </w:rPr>
        <w:t>4.3.5</w:t>
      </w:r>
      <w:r>
        <w:rPr>
          <w:rFonts w:hint="eastAsia" w:cs="宋体"/>
          <w:highlight w:val="none"/>
          <w:lang w:val="zh-CN"/>
        </w:rPr>
        <w:t>同时出现两种以上不一致的，按照前款规定的顺序修正。</w:t>
      </w:r>
    </w:p>
    <w:p>
      <w:pPr>
        <w:adjustRightInd w:val="0"/>
        <w:snapToGrid w:val="0"/>
        <w:spacing w:line="396" w:lineRule="auto"/>
        <w:ind w:firstLine="480" w:firstLineChars="200"/>
        <w:rPr>
          <w:rFonts w:cs="宋体"/>
          <w:highlight w:val="none"/>
          <w:lang w:val="zh-CN"/>
        </w:rPr>
      </w:pPr>
      <w:r>
        <w:rPr>
          <w:rFonts w:hint="eastAsia" w:cs="宋体"/>
          <w:highlight w:val="none"/>
        </w:rPr>
        <w:t>3.3.6</w:t>
      </w:r>
      <w:r>
        <w:rPr>
          <w:rFonts w:hint="eastAsia" w:cs="宋体"/>
          <w:highlight w:val="none"/>
          <w:lang w:val="zh-CN"/>
        </w:rPr>
        <w:t>修正后的报价按照本节第3.4条规定经供应商确认后产生约束力，供应商不确认的,</w:t>
      </w:r>
      <w:r>
        <w:rPr>
          <w:rFonts w:hint="eastAsia" w:cs="宋体"/>
          <w:highlight w:val="none"/>
        </w:rPr>
        <w:t>按</w:t>
      </w:r>
      <w:r>
        <w:rPr>
          <w:rFonts w:hint="eastAsia" w:cs="宋体"/>
          <w:highlight w:val="none"/>
          <w:lang w:val="zh-CN"/>
        </w:rPr>
        <w:t>照</w:t>
      </w:r>
      <w:r>
        <w:rPr>
          <w:rFonts w:hint="eastAsia" w:cs="宋体"/>
          <w:b/>
          <w:highlight w:val="none"/>
          <w:lang w:val="zh-CN"/>
        </w:rPr>
        <w:t>无效投标处理</w:t>
      </w:r>
      <w:r>
        <w:rPr>
          <w:rFonts w:hint="eastAsia" w:cs="宋体"/>
          <w:highlight w:val="none"/>
          <w:lang w:val="zh-CN"/>
        </w:rPr>
        <w:t>。</w:t>
      </w:r>
    </w:p>
    <w:p>
      <w:pPr>
        <w:tabs>
          <w:tab w:val="left" w:pos="616"/>
        </w:tabs>
        <w:snapToGrid w:val="0"/>
        <w:spacing w:line="396" w:lineRule="auto"/>
        <w:ind w:firstLine="480" w:firstLineChars="200"/>
        <w:rPr>
          <w:rFonts w:cs="宋体"/>
          <w:szCs w:val="20"/>
          <w:highlight w:val="none"/>
          <w:lang w:val="zh-CN"/>
        </w:rPr>
      </w:pPr>
      <w:r>
        <w:rPr>
          <w:rFonts w:hint="eastAsia" w:cs="宋体"/>
          <w:szCs w:val="20"/>
          <w:highlight w:val="none"/>
        </w:rPr>
        <w:t>3.4</w:t>
      </w:r>
      <w:r>
        <w:rPr>
          <w:rFonts w:hint="eastAsia" w:cs="宋体"/>
          <w:szCs w:val="20"/>
          <w:highlight w:val="none"/>
          <w:lang w:val="zh-CN"/>
        </w:rPr>
        <w:t>供应商的</w:t>
      </w:r>
      <w:r>
        <w:rPr>
          <w:rFonts w:hint="eastAsia" w:cs="宋体"/>
          <w:kern w:val="0"/>
          <w:highlight w:val="none"/>
          <w:lang w:val="zh-CN"/>
        </w:rPr>
        <w:t>澄清、说明或者补正</w:t>
      </w:r>
      <w:r>
        <w:rPr>
          <w:rFonts w:hint="eastAsia" w:cs="宋体"/>
          <w:szCs w:val="20"/>
          <w:highlight w:val="none"/>
          <w:lang w:val="zh-CN"/>
        </w:rPr>
        <w:t>是其投标文件的有效组成部分。</w:t>
      </w:r>
      <w:r>
        <w:rPr>
          <w:rFonts w:hint="eastAsia" w:cs="宋体"/>
          <w:kern w:val="0"/>
          <w:highlight w:val="none"/>
          <w:lang w:val="zh-CN"/>
        </w:rPr>
        <w:t>供应商的澄清、说明或者补正应当采用书面形式，并加盖公章，或者由法定代表人或其授权的代表签字。</w:t>
      </w:r>
    </w:p>
    <w:p>
      <w:pPr>
        <w:adjustRightInd w:val="0"/>
        <w:snapToGrid w:val="0"/>
        <w:spacing w:before="100" w:line="396" w:lineRule="auto"/>
        <w:rPr>
          <w:rFonts w:cs="宋体"/>
          <w:b/>
          <w:kern w:val="0"/>
          <w:highlight w:val="none"/>
          <w:lang w:val="zh-CN"/>
        </w:rPr>
      </w:pPr>
      <w:r>
        <w:rPr>
          <w:rFonts w:hint="eastAsia" w:cs="宋体"/>
          <w:b/>
          <w:kern w:val="0"/>
          <w:highlight w:val="none"/>
        </w:rPr>
        <w:t>5</w:t>
      </w:r>
      <w:r>
        <w:rPr>
          <w:rFonts w:hint="eastAsia" w:cs="宋体"/>
          <w:b/>
          <w:kern w:val="0"/>
          <w:highlight w:val="none"/>
          <w:lang w:val="zh-CN"/>
        </w:rPr>
        <w:t>、综合比较与评价</w:t>
      </w:r>
    </w:p>
    <w:p>
      <w:pPr>
        <w:snapToGrid w:val="0"/>
        <w:spacing w:line="396" w:lineRule="auto"/>
        <w:ind w:firstLine="480" w:firstLineChars="200"/>
        <w:rPr>
          <w:rFonts w:cs="宋体"/>
          <w:bCs/>
          <w:szCs w:val="20"/>
          <w:highlight w:val="none"/>
          <w:lang w:val="zh-CN"/>
        </w:rPr>
      </w:pPr>
      <w:r>
        <w:rPr>
          <w:rFonts w:hint="eastAsia" w:cs="宋体"/>
          <w:bCs/>
          <w:szCs w:val="20"/>
          <w:highlight w:val="none"/>
          <w:lang w:val="zh-CN"/>
        </w:rPr>
        <w:t>评标委员会应当按照本章中规定的评审因素及评分标准，对符合性审查合格的投标文件进行商务和技术评估，综合比较与评价。</w:t>
      </w:r>
    </w:p>
    <w:p>
      <w:pPr>
        <w:snapToGrid w:val="0"/>
        <w:spacing w:line="396" w:lineRule="auto"/>
        <w:ind w:left="446"/>
        <w:rPr>
          <w:rFonts w:cs="宋体"/>
          <w:spacing w:val="5"/>
          <w:highlight w:val="none"/>
          <w:lang w:val="zh-CN"/>
        </w:rPr>
      </w:pPr>
      <w:r>
        <w:rPr>
          <w:rFonts w:hint="eastAsia" w:cs="宋体"/>
          <w:spacing w:val="5"/>
          <w:highlight w:val="none"/>
        </w:rPr>
        <w:t>5.1</w:t>
      </w:r>
      <w:r>
        <w:rPr>
          <w:rFonts w:hint="eastAsia" w:cs="宋体"/>
          <w:spacing w:val="5"/>
          <w:highlight w:val="none"/>
          <w:lang w:val="zh-CN"/>
        </w:rPr>
        <w:t>商务</w:t>
      </w:r>
      <w:r>
        <w:rPr>
          <w:rFonts w:hint="eastAsia" w:cs="宋体"/>
          <w:spacing w:val="5"/>
          <w:highlight w:val="none"/>
        </w:rPr>
        <w:t>部分评议</w:t>
      </w:r>
    </w:p>
    <w:p>
      <w:pPr>
        <w:snapToGrid w:val="0"/>
        <w:spacing w:line="396" w:lineRule="auto"/>
        <w:ind w:firstLine="480" w:firstLineChars="200"/>
        <w:rPr>
          <w:rFonts w:cs="宋体"/>
          <w:bCs/>
          <w:szCs w:val="20"/>
          <w:highlight w:val="none"/>
          <w:lang w:val="zh-CN"/>
        </w:rPr>
      </w:pPr>
      <w:r>
        <w:rPr>
          <w:rFonts w:hint="eastAsia" w:cs="宋体"/>
          <w:bCs/>
          <w:szCs w:val="20"/>
          <w:highlight w:val="none"/>
          <w:lang w:val="zh-CN"/>
        </w:rPr>
        <w:t>评标委员会对符合性审查合格的投标文件进行评议，并依据本章“评审因素及评分标准”中的商务评议进行综合比较和评分。</w:t>
      </w:r>
    </w:p>
    <w:p>
      <w:pPr>
        <w:snapToGrid w:val="0"/>
        <w:spacing w:line="396" w:lineRule="auto"/>
        <w:ind w:left="446"/>
        <w:rPr>
          <w:rFonts w:cs="宋体"/>
          <w:spacing w:val="5"/>
          <w:highlight w:val="none"/>
          <w:lang w:val="zh-CN"/>
        </w:rPr>
      </w:pPr>
      <w:r>
        <w:rPr>
          <w:rFonts w:hint="eastAsia" w:cs="宋体"/>
          <w:spacing w:val="5"/>
          <w:highlight w:val="none"/>
        </w:rPr>
        <w:t>5.2</w:t>
      </w:r>
      <w:r>
        <w:rPr>
          <w:rFonts w:hint="eastAsia" w:cs="宋体"/>
          <w:spacing w:val="5"/>
          <w:highlight w:val="none"/>
          <w:lang w:val="zh-CN"/>
        </w:rPr>
        <w:t>技术</w:t>
      </w:r>
      <w:r>
        <w:rPr>
          <w:rFonts w:hint="eastAsia" w:cs="宋体"/>
          <w:spacing w:val="5"/>
          <w:highlight w:val="none"/>
        </w:rPr>
        <w:t>部分</w:t>
      </w:r>
      <w:r>
        <w:rPr>
          <w:rFonts w:hint="eastAsia" w:cs="宋体"/>
          <w:spacing w:val="5"/>
          <w:highlight w:val="none"/>
          <w:lang w:val="zh-CN"/>
        </w:rPr>
        <w:t>评议</w:t>
      </w:r>
    </w:p>
    <w:p>
      <w:pPr>
        <w:snapToGrid w:val="0"/>
        <w:spacing w:line="396" w:lineRule="auto"/>
        <w:ind w:firstLine="480" w:firstLineChars="200"/>
        <w:rPr>
          <w:rFonts w:cs="宋体"/>
          <w:kern w:val="0"/>
          <w:szCs w:val="20"/>
          <w:highlight w:val="none"/>
          <w:lang w:val="zh-CN"/>
        </w:rPr>
      </w:pPr>
      <w:r>
        <w:rPr>
          <w:rFonts w:hint="eastAsia" w:cs="宋体"/>
          <w:bCs/>
          <w:szCs w:val="20"/>
          <w:highlight w:val="none"/>
          <w:lang w:val="zh-CN"/>
        </w:rPr>
        <w:t>评标委员会对符合性审查合格的投标文件进行评议，并依据本章“评审因素及评分标准”中的技术评议进行综合比较和评分。</w:t>
      </w:r>
    </w:p>
    <w:p>
      <w:pPr>
        <w:snapToGrid w:val="0"/>
        <w:spacing w:line="396" w:lineRule="auto"/>
        <w:ind w:left="446"/>
        <w:rPr>
          <w:rFonts w:cs="宋体"/>
          <w:spacing w:val="5"/>
          <w:highlight w:val="none"/>
          <w:lang w:val="zh-CN"/>
        </w:rPr>
      </w:pPr>
      <w:r>
        <w:rPr>
          <w:rFonts w:hint="eastAsia" w:cs="宋体"/>
          <w:spacing w:val="5"/>
          <w:highlight w:val="none"/>
        </w:rPr>
        <w:t>5.3</w:t>
      </w:r>
      <w:r>
        <w:rPr>
          <w:rFonts w:hint="eastAsia" w:cs="宋体"/>
          <w:spacing w:val="5"/>
          <w:highlight w:val="none"/>
          <w:lang w:val="zh-CN"/>
        </w:rPr>
        <w:t>价格评议</w:t>
      </w:r>
    </w:p>
    <w:p>
      <w:pPr>
        <w:snapToGrid w:val="0"/>
        <w:spacing w:line="396" w:lineRule="auto"/>
        <w:ind w:firstLine="480" w:firstLineChars="200"/>
        <w:rPr>
          <w:rFonts w:cs="宋体"/>
          <w:bCs/>
          <w:highlight w:val="none"/>
        </w:rPr>
      </w:pPr>
      <w:r>
        <w:rPr>
          <w:rFonts w:hint="eastAsia" w:cs="宋体"/>
          <w:bCs/>
          <w:highlight w:val="none"/>
        </w:rPr>
        <w:t>评标委员会对符合性审查合格的投标文件进行价格评议，报价分采用低价优先法计算，即满足招标文件要求且投标价格（落实政府采购政策进行价格调整的，以调整后的价格计算）最低的投标报价为评标基准价（投标价格为投标货物单价），其报价分为满分。其他供应商的报价分值计算详见本章“评审因素及评分标准”中的具体计算方式。</w:t>
      </w:r>
    </w:p>
    <w:p>
      <w:pPr>
        <w:adjustRightInd w:val="0"/>
        <w:snapToGrid w:val="0"/>
        <w:spacing w:line="396" w:lineRule="auto"/>
        <w:ind w:firstLine="482" w:firstLineChars="200"/>
        <w:rPr>
          <w:rFonts w:cs="宋体"/>
          <w:bCs/>
          <w:szCs w:val="21"/>
          <w:highlight w:val="none"/>
          <w:lang w:val="zh-CN"/>
        </w:rPr>
      </w:pPr>
      <w:r>
        <w:rPr>
          <w:rFonts w:hint="eastAsia" w:cs="宋体"/>
          <w:b/>
          <w:highlight w:val="none"/>
        </w:rPr>
        <w:t>5.3.1</w:t>
      </w:r>
      <w:r>
        <w:rPr>
          <w:rFonts w:hint="eastAsia" w:cs="宋体"/>
          <w:b/>
          <w:highlight w:val="none"/>
          <w:lang w:val="zh-CN"/>
        </w:rPr>
        <w:t>报价合理性说明：</w:t>
      </w:r>
      <w:r>
        <w:rPr>
          <w:rFonts w:hint="eastAsia" w:cs="宋体"/>
          <w:kern w:val="0"/>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应当将其作为</w:t>
      </w:r>
      <w:r>
        <w:rPr>
          <w:rFonts w:hint="eastAsia" w:cs="宋体"/>
          <w:b/>
          <w:kern w:val="0"/>
          <w:highlight w:val="none"/>
          <w:lang w:val="zh-CN"/>
        </w:rPr>
        <w:t>无效投标处理</w:t>
      </w:r>
      <w:r>
        <w:rPr>
          <w:rFonts w:hint="eastAsia" w:cs="宋体"/>
          <w:kern w:val="0"/>
          <w:highlight w:val="none"/>
          <w:lang w:val="zh-CN"/>
        </w:rPr>
        <w:t>。</w:t>
      </w:r>
    </w:p>
    <w:p>
      <w:pPr>
        <w:rPr>
          <w:rFonts w:cs="宋体"/>
          <w:b/>
          <w:color w:val="0000FF"/>
          <w:highlight w:val="none"/>
        </w:rPr>
      </w:pPr>
      <w:r>
        <w:rPr>
          <w:rFonts w:hint="eastAsia" w:cs="宋体"/>
          <w:b/>
          <w:color w:val="0000FF"/>
          <w:highlight w:val="none"/>
        </w:rPr>
        <w:br w:type="page"/>
      </w:r>
    </w:p>
    <w:p>
      <w:pPr>
        <w:adjustRightInd w:val="0"/>
        <w:spacing w:line="360" w:lineRule="auto"/>
        <w:ind w:firstLine="482" w:firstLineChars="200"/>
        <w:rPr>
          <w:rFonts w:cs="宋体"/>
          <w:b/>
          <w:color w:val="0000FF"/>
          <w:highlight w:val="none"/>
          <w:lang w:val="zh-CN"/>
        </w:rPr>
      </w:pPr>
      <w:r>
        <w:rPr>
          <w:rFonts w:hint="eastAsia" w:cs="宋体"/>
          <w:b/>
          <w:color w:val="0000FF"/>
          <w:highlight w:val="none"/>
        </w:rPr>
        <w:t>5.3.2</w:t>
      </w:r>
      <w:r>
        <w:rPr>
          <w:rFonts w:hint="eastAsia" w:cs="宋体"/>
          <w:b/>
          <w:color w:val="0000FF"/>
          <w:highlight w:val="none"/>
          <w:lang w:val="zh-CN"/>
        </w:rPr>
        <w:t>小型和微型企业、监狱企业、残疾人福利性单位价格扣除：</w:t>
      </w:r>
    </w:p>
    <w:tbl>
      <w:tblPr>
        <w:tblStyle w:val="20"/>
        <w:tblW w:w="5000" w:type="pct"/>
        <w:tblInd w:w="0" w:type="dxa"/>
        <w:tblLayout w:type="autofit"/>
        <w:tblCellMar>
          <w:top w:w="0" w:type="dxa"/>
          <w:left w:w="108" w:type="dxa"/>
          <w:bottom w:w="0" w:type="dxa"/>
          <w:right w:w="108" w:type="dxa"/>
        </w:tblCellMar>
      </w:tblPr>
      <w:tblGrid>
        <w:gridCol w:w="1443"/>
        <w:gridCol w:w="8195"/>
      </w:tblGrid>
      <w:tr>
        <w:tblPrEx>
          <w:tblCellMar>
            <w:top w:w="0" w:type="dxa"/>
            <w:left w:w="108" w:type="dxa"/>
            <w:bottom w:w="0" w:type="dxa"/>
            <w:right w:w="108" w:type="dxa"/>
          </w:tblCellMar>
        </w:tblPrEx>
        <w:trPr>
          <w:trHeight w:val="472" w:hRule="atLeast"/>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cs="宋体"/>
                <w:b/>
                <w:bCs/>
                <w:color w:val="000000"/>
                <w:kern w:val="0"/>
                <w:sz w:val="22"/>
                <w:szCs w:val="22"/>
                <w:highlight w:val="none"/>
              </w:rPr>
            </w:pPr>
            <w:r>
              <w:rPr>
                <w:rFonts w:hint="eastAsia" w:cs="宋体"/>
                <w:b/>
                <w:bCs/>
                <w:color w:val="000000"/>
                <w:kern w:val="0"/>
                <w:sz w:val="22"/>
                <w:szCs w:val="22"/>
                <w:highlight w:val="none"/>
              </w:rPr>
              <w:t>政府采购相关政策</w:t>
            </w:r>
          </w:p>
        </w:tc>
      </w:tr>
      <w:tr>
        <w:tblPrEx>
          <w:tblCellMar>
            <w:top w:w="0" w:type="dxa"/>
            <w:left w:w="108" w:type="dxa"/>
            <w:bottom w:w="0" w:type="dxa"/>
            <w:right w:w="108" w:type="dxa"/>
          </w:tblCellMar>
        </w:tblPrEx>
        <w:trPr>
          <w:trHeight w:val="440" w:hRule="atLeast"/>
        </w:trPr>
        <w:tc>
          <w:tcPr>
            <w:tcW w:w="76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cs="宋体"/>
                <w:color w:val="000000"/>
                <w:kern w:val="0"/>
                <w:sz w:val="22"/>
                <w:szCs w:val="22"/>
                <w:highlight w:val="none"/>
              </w:rPr>
            </w:pPr>
            <w:r>
              <w:rPr>
                <w:rFonts w:hint="eastAsia" w:cs="宋体"/>
                <w:color w:val="000000"/>
                <w:kern w:val="0"/>
                <w:sz w:val="22"/>
                <w:szCs w:val="22"/>
                <w:highlight w:val="none"/>
              </w:rPr>
              <w:t>支持中小企业政策</w:t>
            </w:r>
          </w:p>
        </w:tc>
        <w:tc>
          <w:tcPr>
            <w:tcW w:w="42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cs="宋体"/>
                <w:color w:val="000000"/>
                <w:kern w:val="0"/>
                <w:sz w:val="22"/>
                <w:szCs w:val="22"/>
                <w:highlight w:val="none"/>
              </w:rPr>
            </w:pPr>
            <w:r>
              <w:rPr>
                <w:rFonts w:hint="eastAsia" w:cs="宋体"/>
                <w:color w:val="000000"/>
                <w:kern w:val="0"/>
                <w:sz w:val="22"/>
                <w:szCs w:val="22"/>
                <w:highlight w:val="none"/>
              </w:rPr>
              <w:t>1、非专门面向中小企业的货物类采购项目，按招标文件中采购清单确定的货物，对小型和微型企业制造的货物价格给予</w:t>
            </w:r>
            <w:r>
              <w:rPr>
                <w:rFonts w:hint="eastAsia" w:cs="宋体"/>
                <w:b/>
                <w:color w:val="000000"/>
                <w:kern w:val="0"/>
                <w:sz w:val="22"/>
                <w:szCs w:val="22"/>
                <w:highlight w:val="none"/>
              </w:rPr>
              <w:t>6%</w:t>
            </w:r>
            <w:r>
              <w:rPr>
                <w:rFonts w:hint="eastAsia" w:cs="宋体"/>
                <w:color w:val="000000"/>
                <w:kern w:val="0"/>
                <w:sz w:val="22"/>
                <w:szCs w:val="22"/>
                <w:highlight w:val="none"/>
              </w:rPr>
              <w:t>的扣除，用扣除后的价格参与评审。</w:t>
            </w:r>
          </w:p>
          <w:p>
            <w:pPr>
              <w:widowControl/>
              <w:spacing w:line="360" w:lineRule="auto"/>
              <w:jc w:val="left"/>
              <w:rPr>
                <w:rFonts w:cs="宋体"/>
                <w:color w:val="000000"/>
                <w:kern w:val="0"/>
                <w:sz w:val="22"/>
                <w:szCs w:val="22"/>
                <w:highlight w:val="none"/>
              </w:rPr>
            </w:pPr>
            <w:r>
              <w:rPr>
                <w:rFonts w:hint="eastAsia" w:cs="宋体"/>
                <w:color w:val="000000"/>
                <w:kern w:val="0"/>
                <w:sz w:val="22"/>
                <w:szCs w:val="22"/>
                <w:highlight w:val="none"/>
              </w:rPr>
              <w:t>2、非专门面向中小企业的工程、服务类采购项目，供应商是小型和微型企业的价格给予</w:t>
            </w:r>
            <w:r>
              <w:rPr>
                <w:rFonts w:hint="eastAsia" w:cs="宋体"/>
                <w:b/>
                <w:color w:val="000000"/>
                <w:kern w:val="0"/>
                <w:sz w:val="22"/>
                <w:szCs w:val="22"/>
                <w:highlight w:val="none"/>
              </w:rPr>
              <w:t>6%</w:t>
            </w:r>
            <w:r>
              <w:rPr>
                <w:rFonts w:hint="eastAsia" w:cs="宋体"/>
                <w:color w:val="000000"/>
                <w:kern w:val="0"/>
                <w:sz w:val="22"/>
                <w:szCs w:val="22"/>
                <w:highlight w:val="none"/>
              </w:rPr>
              <w:t>的扣除，用扣除后的价格参与评审。</w:t>
            </w:r>
          </w:p>
          <w:p>
            <w:pPr>
              <w:spacing w:line="360" w:lineRule="auto"/>
              <w:rPr>
                <w:rFonts w:cs="宋体"/>
                <w:sz w:val="21"/>
                <w:szCs w:val="21"/>
                <w:highlight w:val="none"/>
              </w:rPr>
            </w:pPr>
            <w:r>
              <w:rPr>
                <w:rFonts w:hint="eastAsia" w:cs="宋体"/>
                <w:sz w:val="21"/>
                <w:szCs w:val="21"/>
                <w:highlight w:val="none"/>
              </w:rPr>
              <w:t>3</w:t>
            </w:r>
            <w:r>
              <w:rPr>
                <w:rFonts w:hint="eastAsia" w:cs="宋体"/>
                <w:kern w:val="0"/>
                <w:sz w:val="22"/>
                <w:szCs w:val="22"/>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cs="宋体"/>
                <w:b/>
                <w:kern w:val="0"/>
                <w:sz w:val="22"/>
                <w:szCs w:val="22"/>
                <w:highlight w:val="none"/>
              </w:rPr>
              <w:t>3%</w:t>
            </w:r>
            <w:r>
              <w:rPr>
                <w:rFonts w:hint="eastAsia" w:cs="宋体"/>
                <w:kern w:val="0"/>
                <w:sz w:val="22"/>
                <w:szCs w:val="22"/>
                <w:highlight w:val="none"/>
              </w:rPr>
              <w:t>的价格扣除，不重复享受政策。</w:t>
            </w:r>
          </w:p>
        </w:tc>
      </w:tr>
      <w:tr>
        <w:tblPrEx>
          <w:tblCellMar>
            <w:top w:w="0" w:type="dxa"/>
            <w:left w:w="108" w:type="dxa"/>
            <w:bottom w:w="0" w:type="dxa"/>
            <w:right w:w="108" w:type="dxa"/>
          </w:tblCellMar>
        </w:tblPrEx>
        <w:trPr>
          <w:trHeight w:val="1761" w:hRule="atLeast"/>
        </w:trPr>
        <w:tc>
          <w:tcPr>
            <w:tcW w:w="76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cs="宋体"/>
                <w:color w:val="000000"/>
                <w:kern w:val="0"/>
                <w:sz w:val="22"/>
                <w:szCs w:val="22"/>
                <w:highlight w:val="none"/>
              </w:rPr>
            </w:pPr>
            <w:r>
              <w:rPr>
                <w:rFonts w:hint="eastAsia" w:cs="宋体"/>
                <w:color w:val="000000"/>
                <w:kern w:val="0"/>
                <w:sz w:val="22"/>
                <w:szCs w:val="22"/>
                <w:highlight w:val="none"/>
              </w:rPr>
              <w:t>支持监狱企业政策和促进残疾人就业政府采购政策</w:t>
            </w:r>
          </w:p>
        </w:tc>
        <w:tc>
          <w:tcPr>
            <w:tcW w:w="42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440" w:firstLineChars="200"/>
              <w:jc w:val="left"/>
              <w:rPr>
                <w:rFonts w:cs="宋体"/>
                <w:color w:val="000000"/>
                <w:kern w:val="0"/>
                <w:sz w:val="22"/>
                <w:szCs w:val="22"/>
                <w:highlight w:val="none"/>
              </w:rPr>
            </w:pPr>
            <w:r>
              <w:rPr>
                <w:rFonts w:hint="eastAsia" w:cs="宋体"/>
                <w:color w:val="000000"/>
                <w:kern w:val="0"/>
                <w:sz w:val="22"/>
                <w:szCs w:val="22"/>
                <w:highlight w:val="none"/>
              </w:rPr>
              <w:t>监狱企业、残疾人福利性单位视同小型、微型企业，享受预留份额、评审中价格扣除等政府采购促进中小企业发展的政府采购政策，残疾人福利性单位属于小型、微型企业的，不重复享受政策。</w:t>
            </w:r>
          </w:p>
        </w:tc>
      </w:tr>
      <w:tr>
        <w:tblPrEx>
          <w:tblCellMar>
            <w:top w:w="0" w:type="dxa"/>
            <w:left w:w="108" w:type="dxa"/>
            <w:bottom w:w="0" w:type="dxa"/>
            <w:right w:w="108" w:type="dxa"/>
          </w:tblCellMar>
        </w:tblPrEx>
        <w:trPr>
          <w:trHeight w:val="836" w:hRule="atLeast"/>
        </w:trPr>
        <w:tc>
          <w:tcPr>
            <w:tcW w:w="5000" w:type="pct"/>
            <w:gridSpan w:val="2"/>
            <w:tcBorders>
              <w:top w:val="single" w:color="000000" w:sz="4" w:space="0"/>
              <w:left w:val="single" w:color="000000" w:sz="4" w:space="0"/>
              <w:bottom w:val="single" w:color="000000" w:sz="4" w:space="0"/>
              <w:right w:val="single" w:color="000000" w:sz="4" w:space="0"/>
            </w:tcBorders>
            <w:noWrap/>
          </w:tcPr>
          <w:p>
            <w:pPr>
              <w:widowControl/>
              <w:spacing w:line="360" w:lineRule="auto"/>
              <w:ind w:firstLine="440" w:firstLineChars="200"/>
              <w:jc w:val="left"/>
              <w:rPr>
                <w:rFonts w:cs="宋体"/>
                <w:color w:val="000000"/>
                <w:kern w:val="0"/>
                <w:sz w:val="22"/>
                <w:szCs w:val="22"/>
                <w:highlight w:val="none"/>
              </w:rPr>
            </w:pPr>
            <w:r>
              <w:rPr>
                <w:rFonts w:hint="eastAsia" w:cs="宋体"/>
                <w:color w:val="0000FF"/>
                <w:kern w:val="0"/>
                <w:sz w:val="22"/>
                <w:szCs w:val="22"/>
                <w:highlight w:val="none"/>
              </w:rPr>
              <w:t>小型和微型企业应出具《声明函》</w:t>
            </w:r>
            <w:r>
              <w:rPr>
                <w:rFonts w:hint="eastAsia" w:cs="宋体"/>
                <w:color w:val="000000"/>
                <w:kern w:val="0"/>
                <w:sz w:val="22"/>
                <w:szCs w:val="22"/>
                <w:highlight w:val="none"/>
              </w:rPr>
              <w:t>；监狱企业应提供由省级监狱局、戒毒局（含新疆生产兵团）出具的监狱企业的证明文件；残疾人福利性单位提供《声明函》。</w:t>
            </w:r>
          </w:p>
        </w:tc>
      </w:tr>
      <w:tr>
        <w:tblPrEx>
          <w:tblCellMar>
            <w:top w:w="0" w:type="dxa"/>
            <w:left w:w="108" w:type="dxa"/>
            <w:bottom w:w="0" w:type="dxa"/>
            <w:right w:w="108" w:type="dxa"/>
          </w:tblCellMar>
        </w:tblPrEx>
        <w:trPr>
          <w:trHeight w:val="2380" w:hRule="atLeast"/>
        </w:trPr>
        <w:tc>
          <w:tcPr>
            <w:tcW w:w="76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cs="宋体"/>
                <w:color w:val="000000"/>
                <w:kern w:val="0"/>
                <w:sz w:val="22"/>
                <w:szCs w:val="22"/>
                <w:highlight w:val="none"/>
              </w:rPr>
            </w:pPr>
            <w:r>
              <w:rPr>
                <w:rFonts w:hint="eastAsia" w:cs="宋体"/>
                <w:color w:val="000000"/>
                <w:kern w:val="0"/>
                <w:sz w:val="22"/>
                <w:szCs w:val="22"/>
                <w:highlight w:val="none"/>
              </w:rPr>
              <w:t>采购节能产品政策及采购环境标志产品政策</w:t>
            </w:r>
          </w:p>
        </w:tc>
        <w:tc>
          <w:tcPr>
            <w:tcW w:w="42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440" w:firstLineChars="200"/>
              <w:jc w:val="left"/>
              <w:rPr>
                <w:rFonts w:cs="宋体"/>
                <w:color w:val="000000"/>
                <w:kern w:val="0"/>
                <w:sz w:val="22"/>
                <w:szCs w:val="22"/>
                <w:highlight w:val="none"/>
              </w:rPr>
            </w:pPr>
            <w:r>
              <w:rPr>
                <w:rFonts w:hint="eastAsia" w:cs="宋体"/>
                <w:color w:val="000000"/>
                <w:kern w:val="0"/>
                <w:sz w:val="22"/>
                <w:szCs w:val="22"/>
                <w:highlight w:val="none"/>
              </w:rPr>
              <w:t>根据《财政部发展改革委生态环境部 市场监管总局关于调整优化节能产品 环境标志产品政府采购执行机制的通知》（财库〔2019〕9号），供应商所投产品如属于政府强制采购节能产品范围，则该产品必须在节能产品品目内，提供相关证书。供应商所投产品如属于政府优先采购节能、环境标志产品范围，在同等条件下（评审得分及报价相同）优先采购，提供产品相关证书。“节能、环境标志产品政府采购品目”以中国政府采购网为准。</w:t>
            </w:r>
          </w:p>
        </w:tc>
      </w:tr>
    </w:tbl>
    <w:p>
      <w:pPr>
        <w:spacing w:line="360" w:lineRule="auto"/>
        <w:rPr>
          <w:rFonts w:cs="宋体"/>
          <w:sz w:val="21"/>
          <w:szCs w:val="21"/>
          <w:highlight w:val="none"/>
          <w:lang w:val="zh-CN"/>
        </w:rPr>
      </w:pPr>
    </w:p>
    <w:p>
      <w:pPr>
        <w:snapToGrid w:val="0"/>
        <w:spacing w:line="480" w:lineRule="auto"/>
        <w:ind w:left="446"/>
        <w:rPr>
          <w:rFonts w:cs="宋体"/>
          <w:spacing w:val="5"/>
          <w:highlight w:val="none"/>
          <w:lang w:val="zh-CN"/>
        </w:rPr>
      </w:pPr>
      <w:r>
        <w:rPr>
          <w:rFonts w:hint="eastAsia" w:cs="宋体"/>
          <w:spacing w:val="5"/>
          <w:highlight w:val="none"/>
        </w:rPr>
        <w:t>4.4</w:t>
      </w:r>
      <w:r>
        <w:rPr>
          <w:rFonts w:hint="eastAsia" w:cs="宋体"/>
          <w:spacing w:val="5"/>
          <w:highlight w:val="none"/>
          <w:lang w:val="zh-CN"/>
        </w:rPr>
        <w:t>相同品牌处理原则</w:t>
      </w:r>
    </w:p>
    <w:p>
      <w:pPr>
        <w:adjustRightInd w:val="0"/>
        <w:snapToGrid w:val="0"/>
        <w:spacing w:line="480" w:lineRule="auto"/>
        <w:ind w:firstLine="480" w:firstLineChars="200"/>
        <w:rPr>
          <w:rFonts w:cs="宋体"/>
          <w:kern w:val="0"/>
          <w:highlight w:val="none"/>
          <w:lang w:val="zh-CN"/>
        </w:rPr>
      </w:pPr>
      <w:r>
        <w:rPr>
          <w:rFonts w:hint="eastAsia" w:cs="宋体"/>
          <w:kern w:val="0"/>
          <w:highlight w:val="none"/>
        </w:rPr>
        <w:t>4.4.1</w:t>
      </w:r>
      <w:r>
        <w:rPr>
          <w:rFonts w:hint="eastAsia" w:cs="宋体"/>
          <w:kern w:val="0"/>
          <w:highlight w:val="none"/>
          <w:lang w:val="zh-CN"/>
        </w:rPr>
        <w:t>提供相同品牌产品且通过资格审查、符合性审查的不同供应商参加同一合同项下投标的，按一家供应商计算，评审后得分最高的同品牌供应商获得中标人推荐资格；评审得分相同的，由采购人确定或者采购人委托评标委员会以投票方式确定一个供应商获得中标人推荐资格，其他同品牌供应商不作为中标候选人。</w:t>
      </w:r>
    </w:p>
    <w:p>
      <w:pPr>
        <w:adjustRightInd w:val="0"/>
        <w:snapToGrid w:val="0"/>
        <w:spacing w:line="480" w:lineRule="auto"/>
        <w:ind w:firstLine="480" w:firstLineChars="200"/>
        <w:rPr>
          <w:rFonts w:cs="宋体"/>
          <w:kern w:val="0"/>
          <w:highlight w:val="none"/>
          <w:lang w:val="zh-CN"/>
        </w:rPr>
      </w:pPr>
      <w:r>
        <w:rPr>
          <w:rFonts w:hint="eastAsia" w:cs="宋体"/>
          <w:kern w:val="0"/>
          <w:highlight w:val="none"/>
        </w:rPr>
        <w:t>4.4.2</w:t>
      </w:r>
      <w:r>
        <w:rPr>
          <w:rFonts w:hint="eastAsia" w:cs="宋体"/>
          <w:kern w:val="0"/>
          <w:highlight w:val="none"/>
          <w:lang w:val="zh-CN"/>
        </w:rPr>
        <w:t>非单一产品采购项目，采购人应当根据采购项目技术构成、产品价格比重等合理确定</w:t>
      </w:r>
      <w:r>
        <w:rPr>
          <w:rFonts w:hint="eastAsia" w:cs="宋体"/>
          <w:b/>
          <w:kern w:val="0"/>
          <w:highlight w:val="none"/>
          <w:lang w:val="zh-CN"/>
        </w:rPr>
        <w:t>一个核心产品</w:t>
      </w:r>
      <w:r>
        <w:rPr>
          <w:rFonts w:hint="eastAsia" w:cs="宋体"/>
          <w:kern w:val="0"/>
          <w:highlight w:val="none"/>
          <w:lang w:val="zh-CN"/>
        </w:rPr>
        <w:t>，并以</w:t>
      </w:r>
      <w:r>
        <w:rPr>
          <w:rFonts w:hint="eastAsia" w:cs="宋体"/>
          <w:b/>
          <w:kern w:val="0"/>
          <w:highlight w:val="none"/>
          <w:lang w:val="zh-CN"/>
        </w:rPr>
        <w:t>“核心产品”</w:t>
      </w:r>
      <w:r>
        <w:rPr>
          <w:rFonts w:hint="eastAsia" w:cs="宋体"/>
          <w:kern w:val="0"/>
          <w:highlight w:val="none"/>
          <w:lang w:val="zh-CN"/>
        </w:rPr>
        <w:t>在招标文件中标注。多家供应商提供的核心产品品牌相同的，按4.1条规定处理。</w:t>
      </w:r>
    </w:p>
    <w:p>
      <w:pPr>
        <w:adjustRightInd w:val="0"/>
        <w:snapToGrid w:val="0"/>
        <w:spacing w:before="100" w:line="480" w:lineRule="auto"/>
        <w:rPr>
          <w:rFonts w:cs="宋体"/>
          <w:b/>
          <w:kern w:val="0"/>
          <w:highlight w:val="none"/>
          <w:lang w:val="zh-CN"/>
        </w:rPr>
      </w:pPr>
      <w:r>
        <w:rPr>
          <w:rFonts w:hint="eastAsia" w:cs="宋体"/>
          <w:b/>
          <w:kern w:val="0"/>
          <w:highlight w:val="none"/>
        </w:rPr>
        <w:t>5</w:t>
      </w:r>
      <w:r>
        <w:rPr>
          <w:rFonts w:hint="eastAsia" w:cs="宋体"/>
          <w:b/>
          <w:kern w:val="0"/>
          <w:highlight w:val="none"/>
          <w:lang w:val="zh-CN"/>
        </w:rPr>
        <w:t>、计分办法</w:t>
      </w:r>
    </w:p>
    <w:p>
      <w:pPr>
        <w:adjustRightInd w:val="0"/>
        <w:snapToGrid w:val="0"/>
        <w:spacing w:line="480" w:lineRule="auto"/>
        <w:ind w:firstLine="480" w:firstLineChars="200"/>
        <w:rPr>
          <w:rFonts w:cs="宋体"/>
          <w:kern w:val="0"/>
          <w:highlight w:val="none"/>
          <w:lang w:val="zh-CN"/>
        </w:rPr>
      </w:pPr>
      <w:r>
        <w:rPr>
          <w:rFonts w:hint="eastAsia" w:cs="宋体"/>
          <w:kern w:val="0"/>
          <w:highlight w:val="none"/>
        </w:rPr>
        <w:t>5.1采购代理机构</w:t>
      </w:r>
      <w:r>
        <w:rPr>
          <w:rFonts w:hint="eastAsia" w:cs="宋体"/>
          <w:kern w:val="0"/>
          <w:highlight w:val="none"/>
          <w:lang w:val="zh-CN"/>
        </w:rPr>
        <w:t>对各评委的总分进行复核。各项统计结果均精确到小数点后两位。</w:t>
      </w:r>
    </w:p>
    <w:p>
      <w:pPr>
        <w:adjustRightInd w:val="0"/>
        <w:snapToGrid w:val="0"/>
        <w:spacing w:line="480" w:lineRule="auto"/>
        <w:ind w:firstLine="480" w:firstLineChars="200"/>
        <w:rPr>
          <w:rFonts w:cs="宋体"/>
          <w:kern w:val="0"/>
          <w:highlight w:val="none"/>
          <w:lang w:val="zh-CN"/>
        </w:rPr>
      </w:pPr>
      <w:r>
        <w:rPr>
          <w:rFonts w:hint="eastAsia" w:cs="宋体"/>
          <w:kern w:val="0"/>
          <w:highlight w:val="none"/>
        </w:rPr>
        <w:t>5.2</w:t>
      </w:r>
      <w:r>
        <w:rPr>
          <w:rFonts w:hint="eastAsia" w:cs="宋体"/>
          <w:kern w:val="0"/>
          <w:highlight w:val="none"/>
          <w:lang w:val="zh-CN"/>
        </w:rPr>
        <w:t>各供应商的最终得分为评委所评定分数的算术平均值。</w:t>
      </w:r>
    </w:p>
    <w:p>
      <w:pPr>
        <w:adjustRightInd w:val="0"/>
        <w:snapToGrid w:val="0"/>
        <w:spacing w:before="100" w:line="480" w:lineRule="auto"/>
        <w:rPr>
          <w:rFonts w:cs="宋体"/>
          <w:b/>
          <w:kern w:val="0"/>
          <w:highlight w:val="none"/>
          <w:lang w:val="zh-CN"/>
        </w:rPr>
      </w:pPr>
      <w:r>
        <w:rPr>
          <w:rFonts w:hint="eastAsia" w:cs="宋体"/>
          <w:b/>
          <w:kern w:val="0"/>
          <w:highlight w:val="none"/>
        </w:rPr>
        <w:t>6</w:t>
      </w:r>
      <w:r>
        <w:rPr>
          <w:rFonts w:hint="eastAsia" w:cs="宋体"/>
          <w:b/>
          <w:kern w:val="0"/>
          <w:highlight w:val="none"/>
          <w:lang w:val="zh-CN"/>
        </w:rPr>
        <w:t>、推荐中标候选人名单或确定中标人</w:t>
      </w:r>
    </w:p>
    <w:p>
      <w:pPr>
        <w:tabs>
          <w:tab w:val="left" w:pos="868"/>
        </w:tabs>
        <w:snapToGrid w:val="0"/>
        <w:spacing w:line="480" w:lineRule="auto"/>
        <w:ind w:firstLine="480" w:firstLineChars="200"/>
        <w:rPr>
          <w:rFonts w:cs="宋体"/>
          <w:bCs/>
          <w:szCs w:val="20"/>
          <w:highlight w:val="none"/>
          <w:lang w:val="zh-CN"/>
        </w:rPr>
      </w:pPr>
      <w:r>
        <w:rPr>
          <w:rFonts w:hint="eastAsia" w:cs="宋体"/>
          <w:bCs/>
          <w:szCs w:val="20"/>
          <w:highlight w:val="none"/>
        </w:rPr>
        <w:t>6.1</w:t>
      </w:r>
      <w:r>
        <w:rPr>
          <w:rFonts w:hint="eastAsia" w:cs="宋体"/>
          <w:bCs/>
          <w:szCs w:val="20"/>
          <w:highlight w:val="none"/>
          <w:lang w:val="zh-CN"/>
        </w:rPr>
        <w:t>评标委员会按照招标文件确定的评标方法、程序及标准，对投标文件进行评审。</w:t>
      </w:r>
      <w:r>
        <w:rPr>
          <w:rFonts w:hint="eastAsia" w:cs="宋体"/>
          <w:bCs/>
          <w:szCs w:val="22"/>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tabs>
          <w:tab w:val="left" w:pos="868"/>
        </w:tabs>
        <w:snapToGrid w:val="0"/>
        <w:spacing w:line="480" w:lineRule="auto"/>
        <w:ind w:firstLine="480" w:firstLineChars="200"/>
        <w:rPr>
          <w:rFonts w:cs="宋体"/>
          <w:bCs/>
          <w:szCs w:val="20"/>
          <w:highlight w:val="none"/>
          <w:lang w:val="zh-CN"/>
        </w:rPr>
      </w:pPr>
      <w:r>
        <w:rPr>
          <w:rFonts w:hint="eastAsia" w:cs="宋体"/>
          <w:bCs/>
          <w:szCs w:val="20"/>
          <w:highlight w:val="none"/>
        </w:rPr>
        <w:t>6.2</w:t>
      </w:r>
      <w:r>
        <w:rPr>
          <w:rFonts w:hint="eastAsia" w:cs="宋体"/>
          <w:bCs/>
          <w:szCs w:val="20"/>
          <w:highlight w:val="none"/>
          <w:lang w:val="zh-CN"/>
        </w:rPr>
        <w:t>评标委员会依据评标结果，按各供应商的评审后得分由高到低的顺序向采购人推荐得分前三名的进入中标候选人名单，并形成书面的评标报告。</w:t>
      </w:r>
    </w:p>
    <w:p>
      <w:pPr>
        <w:snapToGrid w:val="0"/>
        <w:spacing w:line="480" w:lineRule="auto"/>
        <w:ind w:firstLine="480" w:firstLineChars="200"/>
        <w:rPr>
          <w:rFonts w:cs="宋体"/>
          <w:b/>
          <w:sz w:val="21"/>
          <w:szCs w:val="21"/>
          <w:highlight w:val="none"/>
        </w:rPr>
      </w:pPr>
      <w:r>
        <w:rPr>
          <w:rFonts w:hint="eastAsia" w:cs="宋体"/>
          <w:bCs/>
          <w:szCs w:val="22"/>
          <w:highlight w:val="none"/>
        </w:rPr>
        <w:t>6.3中标候选人并列的，</w:t>
      </w:r>
      <w:r>
        <w:rPr>
          <w:rFonts w:hint="eastAsia" w:cs="宋体"/>
          <w:bCs/>
          <w:szCs w:val="20"/>
          <w:highlight w:val="none"/>
          <w:lang w:val="zh-CN"/>
        </w:rPr>
        <w:t>由采购人确定或者采购人委托评标委员会以投票方式确定中标人。评标委员会应当在评标报告上签字，对自己的评审意见承担法律责任。对评标报告有异议的，应当在评标报告上签署不同意见，并说明理由，否则视为同意评标报告。</w:t>
      </w:r>
    </w:p>
    <w:p>
      <w:pPr>
        <w:widowControl/>
        <w:topLinePunct/>
        <w:autoSpaceDE w:val="0"/>
        <w:autoSpaceDN w:val="0"/>
        <w:adjustRightInd w:val="0"/>
        <w:snapToGrid w:val="0"/>
        <w:spacing w:line="360" w:lineRule="auto"/>
        <w:ind w:firstLine="420" w:firstLineChars="200"/>
        <w:rPr>
          <w:rFonts w:cs="宋体"/>
          <w:sz w:val="21"/>
          <w:szCs w:val="21"/>
          <w:highlight w:val="none"/>
        </w:rPr>
      </w:pPr>
    </w:p>
    <w:p>
      <w:pPr>
        <w:rPr>
          <w:rFonts w:cs="宋体"/>
          <w:sz w:val="21"/>
          <w:szCs w:val="21"/>
          <w:highlight w:val="none"/>
        </w:rPr>
        <w:sectPr>
          <w:pgSz w:w="11906" w:h="16838"/>
          <w:pgMar w:top="1440" w:right="1242" w:bottom="1440" w:left="1242" w:header="851" w:footer="992" w:gutter="0"/>
          <w:cols w:space="720" w:num="1"/>
          <w:titlePg/>
          <w:docGrid w:type="lines" w:linePitch="312" w:charSpace="0"/>
        </w:sectPr>
      </w:pPr>
    </w:p>
    <w:p>
      <w:pPr>
        <w:pStyle w:val="3"/>
        <w:autoSpaceDE/>
        <w:autoSpaceDN/>
        <w:spacing w:line="720" w:lineRule="auto"/>
        <w:jc w:val="center"/>
        <w:rPr>
          <w:rFonts w:ascii="宋体" w:hAnsi="宋体" w:eastAsia="宋体" w:cs="宋体"/>
          <w:bCs/>
          <w:snapToGrid/>
          <w:kern w:val="2"/>
          <w:sz w:val="32"/>
          <w:highlight w:val="none"/>
        </w:rPr>
      </w:pPr>
      <w:bookmarkStart w:id="63" w:name="_Toc2174"/>
      <w:bookmarkStart w:id="64" w:name="_Toc1484421284"/>
      <w:bookmarkStart w:id="65" w:name="_Toc17872"/>
      <w:bookmarkStart w:id="66" w:name="_Toc525052847"/>
      <w:bookmarkStart w:id="67" w:name="_Toc353483817"/>
      <w:bookmarkStart w:id="68" w:name="_Toc1914430521"/>
      <w:bookmarkStart w:id="69" w:name="_Toc12113"/>
      <w:bookmarkStart w:id="70" w:name="_Toc38030150"/>
      <w:bookmarkStart w:id="71" w:name="_Toc25581"/>
      <w:bookmarkStart w:id="72" w:name="_Toc614538032"/>
      <w:bookmarkStart w:id="73" w:name="_Toc1406510925"/>
      <w:bookmarkStart w:id="74" w:name="_Toc1505390621"/>
      <w:r>
        <w:rPr>
          <w:rFonts w:hint="eastAsia" w:ascii="宋体" w:hAnsi="宋体" w:eastAsia="宋体" w:cs="宋体"/>
          <w:bCs/>
          <w:snapToGrid/>
          <w:kern w:val="2"/>
          <w:sz w:val="32"/>
          <w:highlight w:val="none"/>
        </w:rPr>
        <w:t>第四章政府采购合同文本</w:t>
      </w:r>
      <w:bookmarkEnd w:id="63"/>
      <w:bookmarkEnd w:id="64"/>
      <w:bookmarkEnd w:id="65"/>
      <w:bookmarkEnd w:id="66"/>
      <w:bookmarkEnd w:id="67"/>
      <w:bookmarkEnd w:id="68"/>
      <w:bookmarkEnd w:id="69"/>
      <w:bookmarkEnd w:id="70"/>
      <w:bookmarkEnd w:id="71"/>
      <w:bookmarkEnd w:id="72"/>
      <w:bookmarkEnd w:id="73"/>
      <w:bookmarkEnd w:id="74"/>
    </w:p>
    <w:p>
      <w:pPr>
        <w:pStyle w:val="13"/>
        <w:jc w:val="center"/>
        <w:rPr>
          <w:rFonts w:hAnsi="宋体" w:cs="宋体"/>
          <w:b/>
          <w:sz w:val="21"/>
          <w:highlight w:val="none"/>
        </w:rPr>
      </w:pPr>
    </w:p>
    <w:p>
      <w:pPr>
        <w:pStyle w:val="13"/>
        <w:jc w:val="center"/>
        <w:rPr>
          <w:rFonts w:hAnsi="宋体" w:cs="宋体"/>
          <w:b/>
          <w:sz w:val="21"/>
          <w:highlight w:val="none"/>
        </w:rPr>
      </w:pPr>
    </w:p>
    <w:p>
      <w:pPr>
        <w:pStyle w:val="13"/>
        <w:jc w:val="center"/>
        <w:rPr>
          <w:rFonts w:hAnsi="宋体" w:cs="宋体"/>
          <w:bCs/>
          <w:sz w:val="52"/>
          <w:szCs w:val="52"/>
          <w:highlight w:val="none"/>
        </w:rPr>
      </w:pPr>
      <w:r>
        <w:rPr>
          <w:rFonts w:hint="eastAsia" w:hAnsi="宋体" w:cs="宋体"/>
          <w:bCs/>
          <w:sz w:val="52"/>
          <w:szCs w:val="52"/>
          <w:highlight w:val="none"/>
        </w:rPr>
        <w:t>合 同 书</w:t>
      </w:r>
    </w:p>
    <w:p>
      <w:pPr>
        <w:pStyle w:val="13"/>
        <w:jc w:val="center"/>
        <w:rPr>
          <w:rFonts w:hAnsi="宋体" w:cs="宋体"/>
          <w:bCs/>
          <w:sz w:val="21"/>
          <w:highlight w:val="none"/>
        </w:rPr>
      </w:pPr>
    </w:p>
    <w:p>
      <w:pPr>
        <w:tabs>
          <w:tab w:val="left" w:pos="540"/>
          <w:tab w:val="left" w:pos="1080"/>
          <w:tab w:val="left" w:pos="1440"/>
        </w:tabs>
        <w:snapToGrid w:val="0"/>
        <w:jc w:val="center"/>
        <w:rPr>
          <w:rFonts w:cs="宋体"/>
          <w:sz w:val="21"/>
          <w:szCs w:val="21"/>
          <w:highlight w:val="none"/>
        </w:rPr>
      </w:pPr>
    </w:p>
    <w:p>
      <w:pPr>
        <w:tabs>
          <w:tab w:val="left" w:pos="540"/>
          <w:tab w:val="left" w:pos="1080"/>
          <w:tab w:val="left" w:pos="1440"/>
        </w:tabs>
        <w:snapToGrid w:val="0"/>
        <w:jc w:val="center"/>
        <w:rPr>
          <w:rFonts w:cs="宋体"/>
          <w:sz w:val="21"/>
          <w:szCs w:val="21"/>
          <w:highlight w:val="none"/>
        </w:rPr>
      </w:pPr>
    </w:p>
    <w:p>
      <w:pPr>
        <w:tabs>
          <w:tab w:val="left" w:pos="540"/>
          <w:tab w:val="left" w:pos="1080"/>
          <w:tab w:val="left" w:pos="1440"/>
        </w:tabs>
        <w:snapToGrid w:val="0"/>
        <w:jc w:val="center"/>
        <w:rPr>
          <w:rFonts w:cs="宋体"/>
          <w:sz w:val="21"/>
          <w:szCs w:val="21"/>
          <w:highlight w:val="none"/>
        </w:rPr>
      </w:pPr>
    </w:p>
    <w:p>
      <w:pPr>
        <w:tabs>
          <w:tab w:val="left" w:pos="540"/>
          <w:tab w:val="left" w:pos="1080"/>
          <w:tab w:val="left" w:pos="1440"/>
        </w:tabs>
        <w:snapToGrid w:val="0"/>
        <w:ind w:left="1920" w:leftChars="800"/>
        <w:jc w:val="center"/>
        <w:rPr>
          <w:rFonts w:cs="宋体"/>
          <w:sz w:val="21"/>
          <w:szCs w:val="21"/>
          <w:highlight w:val="none"/>
        </w:rPr>
      </w:pPr>
    </w:p>
    <w:p>
      <w:pPr>
        <w:topLinePunct/>
        <w:autoSpaceDE w:val="0"/>
        <w:autoSpaceDN w:val="0"/>
        <w:snapToGrid w:val="0"/>
        <w:spacing w:line="360" w:lineRule="auto"/>
        <w:ind w:firstLine="960" w:firstLineChars="400"/>
        <w:rPr>
          <w:rFonts w:cs="宋体"/>
          <w:highlight w:val="none"/>
        </w:rPr>
      </w:pPr>
      <w:r>
        <w:rPr>
          <w:rFonts w:hint="eastAsia" w:cs="宋体"/>
          <w:bCs/>
          <w:highlight w:val="none"/>
        </w:rPr>
        <w:t>项目名称：</w:t>
      </w:r>
      <w:r>
        <w:rPr>
          <w:rFonts w:hint="eastAsia" w:cs="宋体"/>
          <w:highlight w:val="none"/>
        </w:rPr>
        <w:t>国家税务总局十堰市税务局2025年度食堂餐饮服务项目协议</w:t>
      </w:r>
    </w:p>
    <w:p>
      <w:pPr>
        <w:tabs>
          <w:tab w:val="left" w:pos="540"/>
          <w:tab w:val="left" w:pos="1080"/>
          <w:tab w:val="left" w:pos="1440"/>
        </w:tabs>
        <w:snapToGrid w:val="0"/>
        <w:spacing w:line="360" w:lineRule="auto"/>
        <w:ind w:firstLine="2400" w:firstLineChars="1000"/>
        <w:rPr>
          <w:rFonts w:hint="eastAsia" w:cs="宋体"/>
          <w:bCs/>
          <w:highlight w:val="none"/>
        </w:rPr>
      </w:pPr>
    </w:p>
    <w:p>
      <w:pPr>
        <w:tabs>
          <w:tab w:val="left" w:pos="540"/>
          <w:tab w:val="left" w:pos="1080"/>
          <w:tab w:val="left" w:pos="1440"/>
        </w:tabs>
        <w:snapToGrid w:val="0"/>
        <w:spacing w:line="360" w:lineRule="auto"/>
        <w:ind w:firstLine="2400" w:firstLineChars="1000"/>
        <w:rPr>
          <w:rFonts w:cs="宋体"/>
          <w:bCs/>
          <w:highlight w:val="none"/>
        </w:rPr>
      </w:pPr>
      <w:r>
        <w:rPr>
          <w:rFonts w:hint="eastAsia" w:cs="宋体"/>
          <w:bCs/>
          <w:highlight w:val="none"/>
        </w:rPr>
        <w:t>合同编号：</w:t>
      </w:r>
    </w:p>
    <w:p>
      <w:pPr>
        <w:tabs>
          <w:tab w:val="left" w:pos="2160"/>
        </w:tabs>
        <w:topLinePunct/>
        <w:autoSpaceDE w:val="0"/>
        <w:autoSpaceDN w:val="0"/>
        <w:snapToGrid w:val="0"/>
        <w:spacing w:line="360" w:lineRule="auto"/>
        <w:rPr>
          <w:rFonts w:cs="宋体"/>
          <w:bCs/>
          <w:highlight w:val="none"/>
        </w:rPr>
      </w:pPr>
    </w:p>
    <w:p>
      <w:pPr>
        <w:pStyle w:val="13"/>
        <w:spacing w:line="460" w:lineRule="exact"/>
        <w:rPr>
          <w:rFonts w:hAnsi="宋体" w:cs="宋体"/>
          <w:bCs/>
          <w:szCs w:val="24"/>
          <w:highlight w:val="none"/>
        </w:rPr>
      </w:pPr>
    </w:p>
    <w:p>
      <w:pPr>
        <w:pStyle w:val="13"/>
        <w:spacing w:line="460" w:lineRule="exact"/>
        <w:rPr>
          <w:rFonts w:hAnsi="宋体" w:cs="宋体"/>
          <w:bCs/>
          <w:szCs w:val="24"/>
          <w:highlight w:val="none"/>
        </w:rPr>
      </w:pPr>
    </w:p>
    <w:p>
      <w:pPr>
        <w:pStyle w:val="13"/>
        <w:spacing w:line="460" w:lineRule="exact"/>
        <w:jc w:val="center"/>
        <w:rPr>
          <w:rFonts w:hAnsi="宋体" w:cs="宋体"/>
          <w:bCs/>
          <w:szCs w:val="24"/>
          <w:highlight w:val="none"/>
        </w:rPr>
      </w:pPr>
    </w:p>
    <w:p>
      <w:pPr>
        <w:spacing w:line="300" w:lineRule="auto"/>
        <w:ind w:left="960" w:leftChars="400" w:firstLine="1298" w:firstLineChars="541"/>
        <w:rPr>
          <w:rFonts w:cs="宋体"/>
          <w:bCs/>
          <w:highlight w:val="none"/>
        </w:rPr>
      </w:pPr>
      <w:r>
        <w:rPr>
          <w:rFonts w:hint="eastAsia" w:cs="宋体"/>
          <w:bCs/>
          <w:highlight w:val="none"/>
        </w:rPr>
        <w:t>甲    方：</w:t>
      </w:r>
      <w:r>
        <w:rPr>
          <w:rFonts w:hint="eastAsia" w:cs="宋体"/>
          <w:bCs/>
          <w:highlight w:val="none"/>
          <w:u w:val="single"/>
        </w:rPr>
        <w:t>国家税务总局十堰市税务局</w:t>
      </w:r>
    </w:p>
    <w:p>
      <w:pPr>
        <w:spacing w:line="300" w:lineRule="auto"/>
        <w:ind w:left="960" w:leftChars="400" w:firstLine="1298" w:firstLineChars="541"/>
        <w:rPr>
          <w:rFonts w:cs="宋体"/>
          <w:bCs/>
          <w:highlight w:val="none"/>
          <w:u w:val="single"/>
        </w:rPr>
      </w:pPr>
      <w:r>
        <w:rPr>
          <w:rFonts w:hint="eastAsia" w:cs="宋体"/>
          <w:bCs/>
          <w:highlight w:val="none"/>
        </w:rPr>
        <w:t xml:space="preserve">乙    方： </w:t>
      </w:r>
    </w:p>
    <w:p>
      <w:pPr>
        <w:spacing w:line="300" w:lineRule="auto"/>
        <w:ind w:left="960" w:leftChars="400" w:firstLine="1298" w:firstLineChars="541"/>
        <w:rPr>
          <w:rFonts w:cs="宋体"/>
          <w:bCs/>
          <w:highlight w:val="none"/>
          <w:u w:val="single"/>
        </w:rPr>
      </w:pPr>
      <w:r>
        <w:rPr>
          <w:rFonts w:hint="eastAsia" w:cs="宋体"/>
          <w:bCs/>
          <w:highlight w:val="none"/>
        </w:rPr>
        <w:t xml:space="preserve">日    期： </w:t>
      </w:r>
      <w:r>
        <w:rPr>
          <w:rFonts w:hint="eastAsia" w:cs="宋体"/>
          <w:bCs/>
          <w:highlight w:val="none"/>
          <w:u w:val="single"/>
        </w:rPr>
        <w:t>年</w:t>
      </w:r>
      <w:r>
        <w:rPr>
          <w:rFonts w:hint="eastAsia" w:cs="宋体"/>
          <w:bCs/>
          <w:highlight w:val="none"/>
          <w:u w:val="single"/>
          <w:lang w:val="en-US" w:eastAsia="zh-CN"/>
        </w:rPr>
        <w:t xml:space="preserve">   </w:t>
      </w:r>
      <w:r>
        <w:rPr>
          <w:rFonts w:hint="eastAsia" w:cs="宋体"/>
          <w:bCs/>
          <w:highlight w:val="none"/>
          <w:u w:val="single"/>
        </w:rPr>
        <w:t>月  日</w:t>
      </w:r>
    </w:p>
    <w:p>
      <w:pPr>
        <w:pStyle w:val="4"/>
        <w:autoSpaceDE/>
        <w:autoSpaceDN/>
        <w:spacing w:beforeLines="50"/>
        <w:jc w:val="center"/>
        <w:rPr>
          <w:rFonts w:ascii="宋体" w:hAnsi="宋体" w:eastAsia="宋体" w:cs="宋体"/>
          <w:sz w:val="21"/>
          <w:szCs w:val="21"/>
          <w:highlight w:val="none"/>
        </w:rPr>
      </w:pPr>
      <w:r>
        <w:rPr>
          <w:rFonts w:hint="eastAsia" w:ascii="宋体" w:hAnsi="宋体" w:eastAsia="宋体" w:cs="宋体"/>
          <w:bCs/>
          <w:sz w:val="21"/>
          <w:szCs w:val="21"/>
          <w:highlight w:val="none"/>
        </w:rPr>
        <w:br w:type="page"/>
      </w:r>
      <w:bookmarkStart w:id="75" w:name="_Toc8818"/>
      <w:bookmarkStart w:id="76" w:name="_Toc1034"/>
      <w:bookmarkStart w:id="77" w:name="_Toc26976"/>
      <w:bookmarkStart w:id="78" w:name="_Toc9386"/>
      <w:bookmarkStart w:id="79" w:name="_Toc11833"/>
      <w:bookmarkStart w:id="80" w:name="_Toc27754"/>
      <w:bookmarkStart w:id="81" w:name="_Toc23037"/>
      <w:bookmarkStart w:id="82" w:name="_Toc23844"/>
      <w:bookmarkStart w:id="83" w:name="_Toc14388"/>
      <w:bookmarkStart w:id="84" w:name="_Toc15587"/>
      <w:r>
        <w:rPr>
          <w:rFonts w:hint="eastAsia" w:ascii="宋体" w:hAnsi="宋体" w:eastAsia="宋体" w:cs="宋体"/>
          <w:sz w:val="21"/>
          <w:szCs w:val="21"/>
          <w:highlight w:val="none"/>
        </w:rPr>
        <w:t>合同条款前附表</w:t>
      </w:r>
      <w:bookmarkEnd w:id="75"/>
      <w:bookmarkEnd w:id="76"/>
      <w:bookmarkEnd w:id="77"/>
      <w:bookmarkEnd w:id="78"/>
      <w:bookmarkEnd w:id="79"/>
      <w:bookmarkEnd w:id="80"/>
      <w:bookmarkEnd w:id="81"/>
      <w:bookmarkEnd w:id="82"/>
      <w:bookmarkEnd w:id="83"/>
      <w:bookmarkEnd w:id="84"/>
    </w:p>
    <w:tbl>
      <w:tblPr>
        <w:tblStyle w:val="20"/>
        <w:tblW w:w="87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93"/>
        <w:gridCol w:w="155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098" w:type="dxa"/>
            <w:gridSpan w:val="3"/>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auto"/>
                <w:sz w:val="24"/>
                <w:szCs w:val="24"/>
                <w:highlight w:val="none"/>
              </w:rPr>
              <w:t>国家税务总局十堰市税务局2025年度食堂餐饮服务项目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c>
        <w:tc>
          <w:tcPr>
            <w:tcW w:w="6148" w:type="dxa"/>
            <w:tcBorders>
              <w:tl2br w:val="nil"/>
              <w:tr2bl w:val="nil"/>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HB2025-DLGK-C0080-B00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合同类型</w:t>
            </w:r>
          </w:p>
        </w:tc>
        <w:tc>
          <w:tcPr>
            <w:tcW w:w="6148" w:type="dxa"/>
            <w:tcBorders>
              <w:tl2br w:val="nil"/>
              <w:tr2bl w:val="nil"/>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定价方式</w:t>
            </w:r>
          </w:p>
        </w:tc>
        <w:tc>
          <w:tcPr>
            <w:tcW w:w="6148" w:type="dxa"/>
            <w:tcBorders>
              <w:tl2br w:val="nil"/>
              <w:tr2bl w:val="nil"/>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restart"/>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甲方名称</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国家税务总局十堰市税务局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甲方地址</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十堰市朝阳中路15号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393" w:type="dxa"/>
            <w:vMerge w:val="restart"/>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甲方相关部门</w:t>
            </w:r>
          </w:p>
        </w:tc>
        <w:tc>
          <w:tcPr>
            <w:tcW w:w="1557"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甲方采购部门</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393" w:type="dxa"/>
            <w:vMerge w:val="continue"/>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p>
        </w:tc>
        <w:tc>
          <w:tcPr>
            <w:tcW w:w="1557"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393" w:type="dxa"/>
            <w:vMerge w:val="continue"/>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p>
        </w:tc>
        <w:tc>
          <w:tcPr>
            <w:tcW w:w="1557"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0719-8110328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393" w:type="dxa"/>
            <w:vMerge w:val="continue"/>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p>
        </w:tc>
        <w:tc>
          <w:tcPr>
            <w:tcW w:w="1557"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FF"/>
                <w:sz w:val="24"/>
                <w:szCs w:val="24"/>
                <w:highlight w:val="none"/>
              </w:rPr>
              <w:t>甲方</w:t>
            </w:r>
            <w:r>
              <w:rPr>
                <w:rFonts w:hint="eastAsia" w:ascii="宋体" w:hAnsi="宋体" w:eastAsia="宋体" w:cs="宋体"/>
                <w:color w:val="0000FF"/>
                <w:sz w:val="24"/>
                <w:szCs w:val="24"/>
                <w:highlight w:val="none"/>
                <w:lang w:eastAsia="zh-CN"/>
              </w:rPr>
              <w:t>需求部门</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393" w:type="dxa"/>
            <w:vMerge w:val="continue"/>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p>
        </w:tc>
        <w:tc>
          <w:tcPr>
            <w:tcW w:w="1557"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赵冠均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393" w:type="dxa"/>
            <w:vMerge w:val="continue"/>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p>
        </w:tc>
        <w:tc>
          <w:tcPr>
            <w:tcW w:w="1557"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0719-8110400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restart"/>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乙方企业性质</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中型企业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小型企业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监狱企业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残疾人福利性单位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乙方地址</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乙方联系人</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vMerge w:val="continue"/>
            <w:tcBorders>
              <w:tl2br w:val="nil"/>
              <w:tr2bl w:val="nil"/>
            </w:tcBorders>
            <w:noWrap w:val="0"/>
            <w:vAlign w:val="center"/>
          </w:tcPr>
          <w:p>
            <w:pPr>
              <w:keepNext w:val="0"/>
              <w:keepLines w:val="0"/>
              <w:pageBreakBefore w:val="0"/>
              <w:widowControl/>
              <w:kinsoku/>
              <w:wordWrap/>
              <w:overflowPunct/>
              <w:bidi w:val="0"/>
              <w:adjustRightInd w:val="0"/>
              <w:snapToGrid w:val="0"/>
              <w:spacing w:line="240" w:lineRule="auto"/>
              <w:rPr>
                <w:rFonts w:hint="eastAsia" w:ascii="宋体" w:hAnsi="宋体" w:eastAsia="宋体" w:cs="宋体"/>
                <w:color w:val="auto"/>
                <w:sz w:val="24"/>
                <w:szCs w:val="24"/>
                <w:highlight w:val="none"/>
              </w:rPr>
            </w:pP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本项目在机关及派出单位5个职工食堂，食堂实行人工打餐制，每天早、中餐就餐人数各 1000人左右。工作日正常提供早、中餐及临时客餐、加班工作餐服务。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合同付款</w:t>
            </w:r>
          </w:p>
        </w:tc>
        <w:tc>
          <w:tcPr>
            <w:tcW w:w="6148" w:type="dxa"/>
            <w:tcBorders>
              <w:tl2br w:val="nil"/>
              <w:tr2bl w:val="nil"/>
            </w:tcBorders>
            <w:noWrap w:val="0"/>
            <w:vAlign w:val="center"/>
          </w:tcPr>
          <w:p>
            <w:pPr>
              <w:keepNext w:val="0"/>
              <w:keepLines w:val="0"/>
              <w:pageBreakBefore w:val="0"/>
              <w:widowControl w:val="0"/>
              <w:numPr>
                <w:ilvl w:val="0"/>
                <w:numId w:val="0"/>
              </w:numPr>
              <w:tabs>
                <w:tab w:val="left" w:pos="840"/>
              </w:tabs>
              <w:kinsoku/>
              <w:wordWrap/>
              <w:overflowPunct/>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（1）付款进度：本项目以人民币付款，验收合格后，凭中标通知书、发票、合同、验收单等办理付款。</w:t>
            </w:r>
          </w:p>
          <w:p>
            <w:pPr>
              <w:keepNext w:val="0"/>
              <w:keepLines w:val="0"/>
              <w:pageBreakBefore w:val="0"/>
              <w:widowControl w:val="0"/>
              <w:numPr>
                <w:ilvl w:val="0"/>
                <w:numId w:val="0"/>
              </w:numPr>
              <w:tabs>
                <w:tab w:val="left" w:pos="840"/>
              </w:tabs>
              <w:kinsoku/>
              <w:wordWrap/>
              <w:overflowPunct/>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（2）付款方式：付款根据考核结果采用按季付款方式</w:t>
            </w:r>
            <w:r>
              <w:rPr>
                <w:rFonts w:hint="eastAsia" w:ascii="宋体" w:hAnsi="宋体" w:eastAsia="宋体" w:cs="宋体"/>
                <w:bCs/>
                <w:kern w:val="2"/>
                <w:sz w:val="24"/>
                <w:szCs w:val="24"/>
                <w:highlight w:val="none"/>
                <w:lang w:val="en-US" w:eastAsia="zh-CN" w:bidi="ar-SA"/>
              </w:rPr>
              <w:t>。</w:t>
            </w:r>
          </w:p>
          <w:p>
            <w:pPr>
              <w:keepNext w:val="0"/>
              <w:keepLines w:val="0"/>
              <w:pageBreakBefore w:val="0"/>
              <w:widowControl w:val="0"/>
              <w:numPr>
                <w:ilvl w:val="0"/>
                <w:numId w:val="0"/>
              </w:numPr>
              <w:tabs>
                <w:tab w:val="left" w:pos="840"/>
              </w:tabs>
              <w:kinsoku/>
              <w:wordWrap/>
              <w:overflowPunct/>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（3）付款时间：根据采购人的财务付款程序，按照各包付款方式支付给中标人。</w:t>
            </w:r>
          </w:p>
          <w:p>
            <w:pPr>
              <w:keepNext w:val="0"/>
              <w:keepLines w:val="0"/>
              <w:pageBreakBefore w:val="0"/>
              <w:widowControl w:val="0"/>
              <w:numPr>
                <w:ilvl w:val="0"/>
                <w:numId w:val="0"/>
              </w:numPr>
              <w:tabs>
                <w:tab w:val="left" w:pos="840"/>
              </w:tabs>
              <w:kinsoku/>
              <w:wordWrap/>
              <w:overflowPunct/>
              <w:bidi w:val="0"/>
              <w:adjustRightInd w:val="0"/>
              <w:snapToGrid w:val="0"/>
              <w:spacing w:line="24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次办理付款时，乙方应提供发票、付款申请（格式另附）、合同或合同关键页复印件、合同约定的其他资料。涉及验收的，应同时提交甲方需求部门出具的验收意见。支付合同款项时（合同初次付款外），如属于信息化监理范围内的项目，应经实施单位、业主单位、监理单位共同签字认可；如属于需要进行中期报告的项目，应附中期报告审议意见为“通过”的文书。</w:t>
            </w:r>
          </w:p>
          <w:p>
            <w:pPr>
              <w:keepNext w:val="0"/>
              <w:keepLines w:val="0"/>
              <w:pageBreakBefore w:val="0"/>
              <w:widowControl w:val="0"/>
              <w:numPr>
                <w:ilvl w:val="0"/>
                <w:numId w:val="0"/>
              </w:numPr>
              <w:tabs>
                <w:tab w:val="left" w:pos="840"/>
              </w:tabs>
              <w:kinsoku/>
              <w:wordWrap/>
              <w:overflowPunct/>
              <w:bidi w:val="0"/>
              <w:adjustRightInd w:val="0"/>
              <w:snapToGrid w:val="0"/>
              <w:spacing w:line="24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甲方在收到发票等合同约定资料后，进行核实。满足合同约定支付条件的，自收到发票后30日内将资金以</w:t>
            </w:r>
            <w:r>
              <w:rPr>
                <w:rFonts w:hint="eastAsia" w:ascii="宋体" w:hAnsi="宋体" w:eastAsia="宋体" w:cs="宋体"/>
                <w:color w:val="auto"/>
                <w:kern w:val="2"/>
                <w:sz w:val="24"/>
                <w:szCs w:val="24"/>
                <w:highlight w:val="none"/>
                <w:u w:val="single"/>
                <w:lang w:val="en-US" w:eastAsia="zh-CN" w:bidi="ar-SA"/>
              </w:rPr>
              <w:t xml:space="preserve">      （如：</w:t>
            </w:r>
            <w:r>
              <w:rPr>
                <w:rFonts w:hint="eastAsia" w:ascii="宋体" w:hAnsi="宋体" w:eastAsia="宋体" w:cs="宋体"/>
                <w:color w:val="auto"/>
                <w:kern w:val="2"/>
                <w:sz w:val="24"/>
                <w:szCs w:val="24"/>
                <w:highlight w:val="none"/>
                <w:lang w:val="en-US" w:eastAsia="zh-CN" w:bidi="ar-SA"/>
              </w:rPr>
              <w:t>电汇）方式支付到乙方账户。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履约保证金及返还</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□本项目要求提供履约保证金。履约保证金为合同</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%，即人民币</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none"/>
                <w:lang w:val="en" w:eastAsia="zh-CN"/>
              </w:rPr>
              <w:t>元</w:t>
            </w:r>
            <w:r>
              <w:rPr>
                <w:rFonts w:hint="eastAsia" w:ascii="宋体" w:hAnsi="宋体" w:eastAsia="宋体" w:cs="宋体"/>
                <w:color w:val="auto"/>
                <w:sz w:val="24"/>
                <w:szCs w:val="24"/>
                <w:highlight w:val="none"/>
              </w:rPr>
              <w:t>整（¥</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办理返还履约保证金时，乙方应提供履约保证金返还申请（格式另附）、</w:t>
            </w:r>
            <w:r>
              <w:rPr>
                <w:rFonts w:hint="eastAsia" w:ascii="宋体" w:hAnsi="宋体" w:eastAsia="宋体" w:cs="宋体"/>
                <w:color w:val="auto"/>
                <w:sz w:val="24"/>
                <w:szCs w:val="24"/>
                <w:highlight w:val="none"/>
                <w:lang w:eastAsia="zh-CN"/>
              </w:rPr>
              <w:t>合同或</w:t>
            </w:r>
            <w:r>
              <w:rPr>
                <w:rFonts w:hint="eastAsia" w:ascii="宋体" w:hAnsi="宋体" w:eastAsia="宋体" w:cs="宋体"/>
                <w:color w:val="auto"/>
                <w:sz w:val="24"/>
                <w:szCs w:val="24"/>
                <w:highlight w:val="none"/>
              </w:rPr>
              <w:t>合同关键页复印件、合同约定的其他资料。涉及验收的，应同时提交甲方</w:t>
            </w:r>
            <w:r>
              <w:rPr>
                <w:rFonts w:hint="eastAsia" w:ascii="宋体" w:hAnsi="宋体" w:eastAsia="宋体" w:cs="宋体"/>
                <w:color w:val="auto"/>
                <w:sz w:val="24"/>
                <w:szCs w:val="24"/>
                <w:highlight w:val="none"/>
                <w:lang w:eastAsia="zh-CN"/>
              </w:rPr>
              <w:t>需求部门</w:t>
            </w:r>
            <w:r>
              <w:rPr>
                <w:rFonts w:hint="eastAsia" w:ascii="宋体" w:hAnsi="宋体" w:eastAsia="宋体" w:cs="宋体"/>
                <w:color w:val="auto"/>
                <w:sz w:val="24"/>
                <w:szCs w:val="24"/>
                <w:highlight w:val="none"/>
              </w:rPr>
              <w:t>出具的项目终验意见或</w:t>
            </w:r>
            <w:r>
              <w:rPr>
                <w:rFonts w:hint="eastAsia" w:ascii="宋体" w:hAnsi="宋体" w:eastAsia="宋体" w:cs="宋体"/>
                <w:color w:val="auto"/>
                <w:sz w:val="24"/>
                <w:szCs w:val="24"/>
                <w:highlight w:val="none"/>
                <w:lang w:eastAsia="zh-CN"/>
              </w:rPr>
              <w:t>质量保证</w:t>
            </w:r>
            <w:r>
              <w:rPr>
                <w:rFonts w:hint="eastAsia" w:ascii="宋体" w:hAnsi="宋体" w:eastAsia="宋体" w:cs="宋体"/>
                <w:color w:val="auto"/>
                <w:sz w:val="24"/>
                <w:szCs w:val="24"/>
                <w:highlight w:val="none"/>
              </w:rPr>
              <w:t>期（服务期）满验收意见。</w:t>
            </w:r>
          </w:p>
          <w:p>
            <w:pPr>
              <w:keepNext w:val="0"/>
              <w:keepLines w:val="0"/>
              <w:pageBreakBefore w:val="0"/>
              <w:tabs>
                <w:tab w:val="left" w:pos="700"/>
              </w:tabs>
              <w:kinsoku/>
              <w:wordWrap/>
              <w:overflowPunct/>
              <w:bidi w:val="0"/>
              <w:adjustRightInd w:val="0"/>
              <w:snapToGri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满足履约保证金返还条件的，甲方在收到返还相关信息等合同约定资料后，进行核实。对核实结果无异议的，自完成核实之日起30日内，以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方式返还履约保证金</w:t>
            </w:r>
            <w:r>
              <w:rPr>
                <w:rFonts w:hint="eastAsia" w:ascii="宋体" w:hAnsi="宋体" w:eastAsia="宋体" w:cs="宋体"/>
                <w:color w:val="auto"/>
                <w:sz w:val="24"/>
                <w:szCs w:val="24"/>
                <w:highlight w:val="none"/>
                <w:lang w:eastAsia="zh-CN"/>
              </w:rPr>
              <w:t>或退回保函</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rPr>
              <w:t>本采购项目服务期为一年</w:t>
            </w:r>
            <w:r>
              <w:rPr>
                <w:rFonts w:hint="eastAsia" w:ascii="宋体" w:hAnsi="宋体" w:eastAsia="宋体" w:cs="宋体"/>
                <w:b w:val="0"/>
                <w:bCs w:val="0"/>
                <w:sz w:val="24"/>
                <w:szCs w:val="24"/>
                <w:highlight w:val="none"/>
                <w:lang w:val="en-US" w:eastAsia="zh-CN"/>
              </w:rPr>
              <w:t>。</w:t>
            </w:r>
          </w:p>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rPr>
              <w:t>服务期限内，若采购需求出现重大调整或因故取消等特殊情形时，服务终止；服务期限内，因国家税务总局十堰市税务局出现不可预见的特殊情况不能继续履行合同的特殊情形时，服务终止。当特殊情况出现导致服务要提前终止的，应提前30天书面通知对方。服务期间，</w:t>
            </w:r>
            <w:r>
              <w:rPr>
                <w:rFonts w:hint="eastAsia" w:ascii="宋体" w:hAnsi="宋体" w:eastAsia="宋体" w:cs="宋体"/>
                <w:b w:val="0"/>
                <w:bCs w:val="0"/>
                <w:iCs/>
                <w:sz w:val="24"/>
                <w:szCs w:val="24"/>
                <w:highlight w:val="none"/>
                <w:lang w:val="en-US" w:eastAsia="zh-CN"/>
              </w:rPr>
              <w:t>采购人</w:t>
            </w:r>
            <w:r>
              <w:rPr>
                <w:rFonts w:hint="eastAsia" w:ascii="宋体" w:hAnsi="宋体" w:eastAsia="宋体" w:cs="宋体"/>
                <w:kern w:val="0"/>
                <w:sz w:val="24"/>
                <w:szCs w:val="24"/>
                <w:highlight w:val="none"/>
                <w:lang w:val="en-US" w:eastAsia="zh-CN"/>
              </w:rPr>
              <w:t>有权根据公司履约情况决定履行或终止合同。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质量保障期</w:t>
            </w:r>
          </w:p>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eastAsia="zh-CN"/>
              </w:rPr>
              <w:t>（服务期）</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自合同签订之日起至</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0"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950" w:type="dxa"/>
            <w:gridSpan w:val="2"/>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合同履约地点</w:t>
            </w:r>
          </w:p>
        </w:tc>
        <w:tc>
          <w:tcPr>
            <w:tcW w:w="6148" w:type="dxa"/>
            <w:tcBorders>
              <w:tl2br w:val="nil"/>
              <w:tr2bl w:val="nil"/>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合同约定地点或甲方指定地点</w:t>
            </w:r>
          </w:p>
        </w:tc>
      </w:tr>
    </w:tbl>
    <w:p>
      <w:pPr>
        <w:rPr>
          <w:rFonts w:cs="宋体"/>
          <w:b/>
          <w:sz w:val="21"/>
          <w:szCs w:val="21"/>
          <w:highlight w:val="none"/>
        </w:rPr>
      </w:pPr>
      <w:r>
        <w:rPr>
          <w:rFonts w:hint="eastAsia" w:cs="宋体"/>
          <w:b/>
          <w:sz w:val="21"/>
          <w:szCs w:val="21"/>
          <w:highlight w:val="none"/>
        </w:rPr>
        <w:br w:type="page"/>
      </w:r>
    </w:p>
    <w:p>
      <w:pPr>
        <w:snapToGrid w:val="0"/>
        <w:spacing w:line="312" w:lineRule="auto"/>
        <w:jc w:val="center"/>
        <w:rPr>
          <w:rFonts w:ascii="宋体" w:hAnsi="宋体" w:eastAsia="宋体" w:cs="宋体"/>
          <w:b/>
          <w:bCs/>
          <w:sz w:val="52"/>
          <w:szCs w:val="52"/>
          <w:highlight w:val="none"/>
        </w:rPr>
      </w:pPr>
      <w:r>
        <w:rPr>
          <w:rFonts w:hint="eastAsia" w:ascii="宋体" w:hAnsi="宋体" w:eastAsia="宋体" w:cs="宋体"/>
          <w:b/>
          <w:bCs/>
          <w:sz w:val="52"/>
          <w:szCs w:val="52"/>
          <w:highlight w:val="none"/>
        </w:rPr>
        <w:t>国家税务总局十堰市税务局</w:t>
      </w:r>
    </w:p>
    <w:p>
      <w:pPr>
        <w:snapToGrid w:val="0"/>
        <w:spacing w:line="312" w:lineRule="auto"/>
        <w:jc w:val="center"/>
        <w:rPr>
          <w:rFonts w:ascii="宋体" w:hAnsi="宋体" w:eastAsia="宋体" w:cs="宋体"/>
          <w:b/>
          <w:bCs/>
          <w:sz w:val="52"/>
          <w:szCs w:val="52"/>
          <w:highlight w:val="none"/>
        </w:rPr>
      </w:pPr>
      <w:r>
        <w:rPr>
          <w:rFonts w:hint="eastAsia" w:ascii="宋体" w:hAnsi="宋体" w:eastAsia="宋体" w:cs="宋体"/>
          <w:b/>
          <w:bCs/>
          <w:sz w:val="52"/>
          <w:szCs w:val="52"/>
          <w:highlight w:val="none"/>
        </w:rPr>
        <w:t>2025年度食堂餐饮服务项目协议</w:t>
      </w:r>
    </w:p>
    <w:p>
      <w:pPr>
        <w:spacing w:line="360" w:lineRule="auto"/>
        <w:jc w:val="left"/>
        <w:rPr>
          <w:rFonts w:ascii="宋体" w:hAnsi="宋体" w:eastAsia="宋体" w:cs="宋体"/>
          <w:b/>
          <w:bCs/>
          <w:sz w:val="28"/>
          <w:szCs w:val="28"/>
          <w:highlight w:val="none"/>
        </w:rPr>
      </w:pPr>
    </w:p>
    <w:p>
      <w:pPr>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360" w:lineRule="auto"/>
        <w:jc w:val="left"/>
        <w:rPr>
          <w:rFonts w:ascii="宋体" w:hAnsi="宋体" w:eastAsia="宋体" w:cs="宋体"/>
          <w:b/>
          <w:bCs/>
          <w:sz w:val="28"/>
          <w:szCs w:val="28"/>
          <w:highlight w:val="none"/>
        </w:rPr>
      </w:pPr>
    </w:p>
    <w:p>
      <w:pPr>
        <w:tabs>
          <w:tab w:val="left" w:pos="840"/>
        </w:tabs>
        <w:spacing w:line="720" w:lineRule="auto"/>
        <w:ind w:firstLine="2160" w:firstLineChars="600"/>
        <w:rPr>
          <w:rFonts w:ascii="宋体" w:hAnsi="宋体" w:eastAsia="宋体" w:cs="宋体"/>
          <w:sz w:val="36"/>
          <w:szCs w:val="36"/>
          <w:highlight w:val="none"/>
        </w:rPr>
      </w:pPr>
      <w:r>
        <w:rPr>
          <w:rFonts w:hint="eastAsia" w:ascii="宋体" w:hAnsi="宋体" w:eastAsia="宋体" w:cs="宋体"/>
          <w:sz w:val="36"/>
          <w:szCs w:val="36"/>
          <w:highlight w:val="none"/>
        </w:rPr>
        <w:t>甲方：</w:t>
      </w:r>
    </w:p>
    <w:p>
      <w:pPr>
        <w:tabs>
          <w:tab w:val="left" w:pos="840"/>
        </w:tabs>
        <w:spacing w:line="720" w:lineRule="auto"/>
        <w:ind w:firstLine="2160" w:firstLineChars="600"/>
        <w:rPr>
          <w:rFonts w:ascii="宋体" w:hAnsi="宋体" w:eastAsia="宋体" w:cs="宋体"/>
          <w:sz w:val="36"/>
          <w:szCs w:val="36"/>
          <w:highlight w:val="none"/>
          <w:u w:val="single"/>
        </w:rPr>
      </w:pPr>
      <w:r>
        <w:rPr>
          <w:rFonts w:hint="eastAsia" w:ascii="宋体" w:hAnsi="宋体" w:eastAsia="宋体" w:cs="宋体"/>
          <w:sz w:val="36"/>
          <w:szCs w:val="36"/>
          <w:highlight w:val="none"/>
        </w:rPr>
        <w:t>乙方：</w:t>
      </w:r>
    </w:p>
    <w:p>
      <w:pPr>
        <w:tabs>
          <w:tab w:val="left" w:pos="840"/>
        </w:tabs>
        <w:spacing w:line="360" w:lineRule="auto"/>
        <w:jc w:val="left"/>
        <w:rPr>
          <w:rFonts w:ascii="宋体" w:hAnsi="宋体" w:eastAsia="宋体" w:cs="宋体"/>
          <w:sz w:val="28"/>
          <w:szCs w:val="28"/>
          <w:highlight w:val="none"/>
        </w:rPr>
      </w:pPr>
    </w:p>
    <w:p>
      <w:pPr>
        <w:tabs>
          <w:tab w:val="left" w:pos="840"/>
        </w:tabs>
        <w:spacing w:line="360" w:lineRule="auto"/>
        <w:jc w:val="center"/>
        <w:rPr>
          <w:rFonts w:ascii="宋体" w:hAnsi="宋体" w:eastAsia="宋体" w:cs="宋体"/>
          <w:sz w:val="36"/>
          <w:szCs w:val="36"/>
          <w:highlight w:val="none"/>
        </w:rPr>
      </w:pPr>
      <w:r>
        <w:rPr>
          <w:rFonts w:hint="eastAsia" w:ascii="宋体" w:hAnsi="宋体" w:eastAsia="宋体" w:cs="宋体"/>
          <w:sz w:val="36"/>
          <w:szCs w:val="36"/>
          <w:highlight w:val="none"/>
        </w:rPr>
        <w:t>年</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月</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日</w:t>
      </w:r>
    </w:p>
    <w:p>
      <w:pPr>
        <w:spacing w:line="360" w:lineRule="auto"/>
        <w:rPr>
          <w:rFonts w:ascii="宋体" w:hAnsi="宋体" w:eastAsia="宋体" w:cs="宋体"/>
          <w:b/>
          <w:bCs/>
          <w:sz w:val="44"/>
          <w:szCs w:val="44"/>
          <w:highlight w:val="none"/>
        </w:rPr>
      </w:pPr>
      <w:r>
        <w:rPr>
          <w:rFonts w:hint="eastAsia" w:ascii="宋体" w:hAnsi="宋体" w:eastAsia="宋体" w:cs="宋体"/>
          <w:b/>
          <w:bCs/>
          <w:sz w:val="44"/>
          <w:szCs w:val="44"/>
          <w:highlight w:val="none"/>
        </w:rPr>
        <w:br w:type="page"/>
      </w:r>
    </w:p>
    <w:p>
      <w:pPr>
        <w:spacing w:line="360" w:lineRule="auto"/>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国家税务总局十堰市税务局</w:t>
      </w:r>
    </w:p>
    <w:p>
      <w:pPr>
        <w:spacing w:line="360" w:lineRule="auto"/>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2025年度食堂餐饮服务项目协议</w:t>
      </w:r>
    </w:p>
    <w:p>
      <w:pPr>
        <w:spacing w:line="500" w:lineRule="exact"/>
        <w:jc w:val="left"/>
        <w:rPr>
          <w:rFonts w:ascii="宋体" w:hAnsi="宋体" w:eastAsia="宋体" w:cs="宋体"/>
          <w:sz w:val="28"/>
          <w:szCs w:val="28"/>
          <w:highlight w:val="none"/>
          <w:u w:val="single"/>
        </w:rPr>
      </w:pPr>
      <w:r>
        <w:rPr>
          <w:rFonts w:hint="eastAsia" w:ascii="宋体" w:hAnsi="宋体" w:eastAsia="宋体" w:cs="宋体"/>
          <w:sz w:val="28"/>
          <w:szCs w:val="28"/>
          <w:highlight w:val="none"/>
        </w:rPr>
        <w:t>甲方：</w:t>
      </w:r>
    </w:p>
    <w:p>
      <w:pPr>
        <w:spacing w:line="500" w:lineRule="exact"/>
        <w:jc w:val="left"/>
        <w:rPr>
          <w:rFonts w:ascii="宋体" w:hAnsi="宋体" w:eastAsia="宋体" w:cs="宋体"/>
          <w:sz w:val="28"/>
          <w:szCs w:val="28"/>
          <w:highlight w:val="none"/>
          <w:u w:val="single"/>
        </w:rPr>
      </w:pPr>
      <w:r>
        <w:rPr>
          <w:rFonts w:hint="eastAsia" w:ascii="宋体" w:hAnsi="宋体" w:eastAsia="宋体" w:cs="宋体"/>
          <w:sz w:val="28"/>
          <w:szCs w:val="28"/>
          <w:highlight w:val="none"/>
        </w:rPr>
        <w:t>乙方：</w:t>
      </w:r>
    </w:p>
    <w:p>
      <w:pPr>
        <w:spacing w:line="500" w:lineRule="exact"/>
        <w:jc w:val="left"/>
        <w:rPr>
          <w:rFonts w:ascii="宋体" w:hAnsi="宋体" w:eastAsia="宋体" w:cs="宋体"/>
          <w:sz w:val="28"/>
          <w:szCs w:val="28"/>
          <w:highlight w:val="none"/>
          <w:u w:val="single"/>
        </w:rPr>
      </w:pPr>
    </w:p>
    <w:p>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甲方将“国家税务局十堰市税务局食堂（朝阳中路15号）”、“国家税务局十堰市税务局第一税务分局食堂（东山路2号）”、“国家税务局十堰市税务局第二税务分局食堂（港晖巷17号）”、“国家税务局十堰市税务局</w:t>
      </w:r>
      <w:r>
        <w:rPr>
          <w:rFonts w:hint="eastAsia" w:cs="宋体"/>
          <w:highlight w:val="none"/>
          <w:lang w:eastAsia="zh-CN"/>
        </w:rPr>
        <w:t>第一稽查局</w:t>
      </w:r>
      <w:r>
        <w:rPr>
          <w:rFonts w:hint="eastAsia" w:ascii="宋体" w:hAnsi="宋体" w:eastAsia="宋体" w:cs="宋体"/>
          <w:highlight w:val="none"/>
        </w:rPr>
        <w:t>食堂（公园路38号）”、“国家税务局十堰市税务局</w:t>
      </w:r>
      <w:r>
        <w:rPr>
          <w:rFonts w:hint="eastAsia" w:cs="宋体"/>
          <w:highlight w:val="none"/>
          <w:lang w:val="en-US" w:eastAsia="zh-CN"/>
        </w:rPr>
        <w:t>第二稽查局</w:t>
      </w:r>
      <w:r>
        <w:rPr>
          <w:rFonts w:hint="eastAsia" w:ascii="宋体" w:hAnsi="宋体" w:eastAsia="宋体" w:cs="宋体"/>
          <w:highlight w:val="none"/>
        </w:rPr>
        <w:t>食堂（富康小区）”五个网点（1000人左右）机关干部职工食堂餐饮服务全权委托乙方负责管理，乙方向甲方提供食堂餐饮服务，为明确责任和义务，经双方协商达成如下协议：</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一、项目内容</w:t>
      </w:r>
    </w:p>
    <w:p>
      <w:pPr>
        <w:numPr>
          <w:ilvl w:val="0"/>
          <w:numId w:val="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乙方为甲方机关干部职工、退休人员的早餐、中餐（半自助餐形式）及少量的客餐提供服务保障服务。服务时间一般为工作日，双休日及节假日需用餐，以甲方通知为准。</w:t>
      </w:r>
    </w:p>
    <w:p>
      <w:pPr>
        <w:numPr>
          <w:ilvl w:val="0"/>
          <w:numId w:val="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乙方应根据季节变化向甲方推荐时令菜品，定期（每季度）推出特色菜和新菜，同时，按甲方经济目标、核算成本、均衡营养等制定周食谱。</w:t>
      </w:r>
    </w:p>
    <w:p>
      <w:pPr>
        <w:numPr>
          <w:ilvl w:val="0"/>
          <w:numId w:val="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早餐不少于8个品种，中餐两荤两素一汤及主食等食品。</w:t>
      </w:r>
    </w:p>
    <w:p>
      <w:pPr>
        <w:numPr>
          <w:ilvl w:val="0"/>
          <w:numId w:val="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由乙方提供食材购买清单，甲方自行采购并送至食堂，乙方验收。</w:t>
      </w:r>
    </w:p>
    <w:p>
      <w:pPr>
        <w:numPr>
          <w:ilvl w:val="0"/>
          <w:numId w:val="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甲方提供厨房、餐厅等用具和用餐场所。由乙方提出厨房用品需求，甲方采购，乙方在服务期内妥善保管使用，如有遗失、损坏，乙方应负责赔偿（自然损耗、非乙方人员损坏的物品应如实向甲方报损更新），负责清洁餐具，做好卫生间、走廊及厨房、餐厅等用餐环境的卫生保洁。</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二、服务人员</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聘用的厨师、服务人员需通过正规培训，且从业时间不低于3年，要求技术水平高、经验丰富、有责任心；所有服务人员必须身体健康，品行端正，无不良嗜好，无违法犯罪记录，均持有饮食行业健康证及医院体检报告等健康证明。服务期间必须统一着装，保持穿戴整齐，保持个人卫生，不得出现影响食品的卫生行为。</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乙方要合理配置人员，做好人员管理、质量监控，配合甲方管理、调度。</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乙方必须按照相关法律规定合法规范用工，并承担所有服务人员涉及劳动关系的所有事宜（如工伤赔偿、劳务赔偿、经济赔偿金、违法赔偿金等）。</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乙方要按照甲方的要求做好服务安排、人员分工、并对服务人员的服务情况进行实时监督、检查和考核管理。</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乙方的服务人员应遵守甲方的规章制度，同时，应建立健全各项内部管理等相关制度及各项台账。</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服务人员在甲方服务期间，由甲方提供工作餐、生活事宜。</w:t>
      </w:r>
    </w:p>
    <w:p>
      <w:pPr>
        <w:numPr>
          <w:ilvl w:val="0"/>
          <w:numId w:val="6"/>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甲方有权了解乙方人员的基本情况，乙方应将人员身份复印件提供甲方备查。</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三、服务要求</w:t>
      </w:r>
    </w:p>
    <w:p>
      <w:pPr>
        <w:numPr>
          <w:ilvl w:val="0"/>
          <w:numId w:val="7"/>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必须保证服务内容，从时间、数量和质量上达到实际要求，满足部分突发情况下的用餐要求，不得无故误饭或推迟开饭。</w:t>
      </w:r>
    </w:p>
    <w:p>
      <w:pPr>
        <w:numPr>
          <w:ilvl w:val="0"/>
          <w:numId w:val="7"/>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必须保证食品安全、严格按照《中华人民共和国食品安全法》验收、清洗、加工制作食品，厨具、餐具严格实行一洗二过三消毒的规程，对食品安全中存在的隐患要及时排除并告知。</w:t>
      </w:r>
    </w:p>
    <w:p>
      <w:pPr>
        <w:numPr>
          <w:ilvl w:val="0"/>
          <w:numId w:val="7"/>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有客餐时，要提前对包厢进行再次保洁，做好用餐准备。</w:t>
      </w:r>
    </w:p>
    <w:p>
      <w:pPr>
        <w:numPr>
          <w:ilvl w:val="0"/>
          <w:numId w:val="7"/>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自觉接受卫生管理部门及甲方管理人员对服务的检查和监督。</w:t>
      </w:r>
    </w:p>
    <w:p>
      <w:pPr>
        <w:numPr>
          <w:ilvl w:val="0"/>
          <w:numId w:val="7"/>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对甲方提出在服务中存在的问题要及时改正，提出的建议要及时采纳，认真做好食堂内部的管理。</w:t>
      </w:r>
    </w:p>
    <w:p>
      <w:pPr>
        <w:numPr>
          <w:ilvl w:val="0"/>
          <w:numId w:val="7"/>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甲方不定期对乙方的服务情况进行问卷调查，满意度须达到80%以上，低于70%时乙方必须按照甲方要求进行整改。</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四、管理要求</w:t>
      </w:r>
    </w:p>
    <w:p>
      <w:pPr>
        <w:numPr>
          <w:ilvl w:val="0"/>
          <w:numId w:val="8"/>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乙方应遵守餐饮行业职业规范，做好食品安全、人员、厨具等方面的管理。</w:t>
      </w:r>
    </w:p>
    <w:p>
      <w:pPr>
        <w:numPr>
          <w:ilvl w:val="0"/>
          <w:numId w:val="8"/>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严禁使用食品添加剂。</w:t>
      </w:r>
    </w:p>
    <w:p>
      <w:pPr>
        <w:numPr>
          <w:ilvl w:val="0"/>
          <w:numId w:val="8"/>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保证餐厅、包厢及厨房整洁、卫生，做好卫生清洁和消毒。</w:t>
      </w:r>
    </w:p>
    <w:p>
      <w:pPr>
        <w:numPr>
          <w:ilvl w:val="0"/>
          <w:numId w:val="8"/>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乙方严格执行甲方制定的节能制度。</w:t>
      </w:r>
    </w:p>
    <w:p>
      <w:pPr>
        <w:numPr>
          <w:ilvl w:val="0"/>
          <w:numId w:val="8"/>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下班后或设备使用完后落实关气、关水、关电、关门制度，预防意外事件发生。</w:t>
      </w:r>
    </w:p>
    <w:p>
      <w:pPr>
        <w:numPr>
          <w:ilvl w:val="0"/>
          <w:numId w:val="8"/>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需要甲方协调的事项，乙方应及时通报甲方。</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五、权利和义务</w:t>
      </w:r>
    </w:p>
    <w:p>
      <w:pPr>
        <w:numPr>
          <w:ilvl w:val="0"/>
          <w:numId w:val="9"/>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甲方的权利和义务</w:t>
      </w:r>
    </w:p>
    <w:p>
      <w:pPr>
        <w:numPr>
          <w:ilvl w:val="0"/>
          <w:numId w:val="10"/>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甲方负责维修供热、供水、供电、排水等公用设施，支付水、电、燃气费用。</w:t>
      </w:r>
    </w:p>
    <w:p>
      <w:pPr>
        <w:numPr>
          <w:ilvl w:val="0"/>
          <w:numId w:val="10"/>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甲方有权检查、监督乙方的经营管理，特别是卫生、安全、环境建设。</w:t>
      </w:r>
    </w:p>
    <w:p>
      <w:pPr>
        <w:numPr>
          <w:ilvl w:val="0"/>
          <w:numId w:val="10"/>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如有关部门要求办理相关证照，甲方协助办理。</w:t>
      </w:r>
    </w:p>
    <w:p>
      <w:pPr>
        <w:numPr>
          <w:ilvl w:val="0"/>
          <w:numId w:val="9"/>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乙方的权利和义务</w:t>
      </w:r>
    </w:p>
    <w:p>
      <w:pPr>
        <w:numPr>
          <w:ilvl w:val="0"/>
          <w:numId w:val="11"/>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乙方保证给所有在甲方食堂服务的服务人员购买社保（不含住房公积金），方可上岗。乙方应当按照法律规定为乙方委派的服务人员购买社保，按时发放工资，不得侵害乙方委派服务人员的正当权益。如出现乙方服务人员因与乙方劳动争议纠纷影响甲方食堂正常服务的，乙方应当立即委派其他符合条件的服务人员以维持乙方食堂正常运行。</w:t>
      </w:r>
    </w:p>
    <w:p>
      <w:pPr>
        <w:numPr>
          <w:ilvl w:val="0"/>
          <w:numId w:val="11"/>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保证就餐时间，满足甲方加班干部的随时用餐。</w:t>
      </w:r>
    </w:p>
    <w:p>
      <w:pPr>
        <w:numPr>
          <w:ilvl w:val="0"/>
          <w:numId w:val="11"/>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合同期内，食堂消防、安全、卫生、环境建设由乙方负责。如因乙方责任发生火灾、食物中毒、环境污染、安全等事故，如有损失由乙方承担，并依照相关法律追究责任。</w:t>
      </w:r>
    </w:p>
    <w:p>
      <w:pPr>
        <w:numPr>
          <w:ilvl w:val="0"/>
          <w:numId w:val="11"/>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乙方不准改变食堂用途，不准转包及分包。</w:t>
      </w:r>
    </w:p>
    <w:p>
      <w:pPr>
        <w:numPr>
          <w:ilvl w:val="0"/>
          <w:numId w:val="11"/>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合同期满乙方应将食堂内的物品完好无损的交付给甲方，如有损坏由乙方负责修复，不能修复的按折旧价赔偿。</w:t>
      </w:r>
    </w:p>
    <w:p>
      <w:pPr>
        <w:numPr>
          <w:ilvl w:val="0"/>
          <w:numId w:val="11"/>
        </w:num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根据甲方要求，结账时提供上月人员的社保依据，且出具正规发票，方可结账。</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六、违约责任</w:t>
      </w:r>
    </w:p>
    <w:p>
      <w:pPr>
        <w:spacing w:line="500" w:lineRule="exact"/>
        <w:jc w:val="left"/>
        <w:rPr>
          <w:rFonts w:ascii="宋体" w:hAnsi="宋体" w:eastAsia="宋体" w:cs="宋体"/>
          <w:highlight w:val="none"/>
        </w:rPr>
      </w:pPr>
      <w:r>
        <w:rPr>
          <w:rFonts w:hint="eastAsia" w:ascii="宋体" w:hAnsi="宋体" w:eastAsia="宋体" w:cs="宋体"/>
          <w:highlight w:val="none"/>
        </w:rPr>
        <w:t xml:space="preserve"> 本合同签订后甲乙双方不得无故单方终止合同，如一方违约，赔偿给对方造成的实际损失。合同履行期间，甲乙双方要做好交流沟通，乙方服务达不到甲方要求，经两次调整仍未达到要求的，视为乙方违约，甲方有权终止合同，造成的损失由乙方承担。</w:t>
      </w:r>
    </w:p>
    <w:p>
      <w:pPr>
        <w:numPr>
          <w:ilvl w:val="0"/>
          <w:numId w:val="12"/>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乙方人员违规操作给甲方造成的经济损失，由乙方承担。</w:t>
      </w:r>
    </w:p>
    <w:p>
      <w:pPr>
        <w:numPr>
          <w:ilvl w:val="0"/>
          <w:numId w:val="12"/>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乙方人员出现违规情形或者达不到甲方要求的，甲方有权要求更换人员。</w:t>
      </w:r>
    </w:p>
    <w:p>
      <w:pPr>
        <w:numPr>
          <w:ilvl w:val="0"/>
          <w:numId w:val="12"/>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因甲方原因给乙方造成的损失，由甲方承担补偿。</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七、项目费用</w:t>
      </w:r>
    </w:p>
    <w:p>
      <w:pPr>
        <w:numPr>
          <w:ilvl w:val="0"/>
          <w:numId w:val="13"/>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本合同签订之后，在运行期间，若个别食堂因就餐服务量增加需增补服务人员，甲乙双方再另行协商,费用根据投标价格据实核算。</w:t>
      </w:r>
    </w:p>
    <w:p>
      <w:pPr>
        <w:numPr>
          <w:ilvl w:val="0"/>
          <w:numId w:val="13"/>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合同履行，合同签订后，乙方按规定的时间进场开始履行义务，甲方开始支付服务费。</w:t>
      </w:r>
    </w:p>
    <w:p>
      <w:pPr>
        <w:numPr>
          <w:ilvl w:val="0"/>
          <w:numId w:val="13"/>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合同约定费用。每年费用为：万元   大写：（含服务人员工资、社保五险、培训、服装、企业利润等费用）。每月为：元大写：，合同期限为：年， ，从年月日至年月日止。</w:t>
      </w:r>
    </w:p>
    <w:p>
      <w:pPr>
        <w:numPr>
          <w:ilvl w:val="0"/>
          <w:numId w:val="13"/>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付款方式。按月支付费用，当月初支付上月费用。</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八、协议续签约定</w:t>
      </w:r>
    </w:p>
    <w:p>
      <w:pPr>
        <w:spacing w:line="500" w:lineRule="exact"/>
        <w:ind w:firstLine="480" w:firstLineChars="200"/>
        <w:jc w:val="left"/>
        <w:rPr>
          <w:rFonts w:ascii="宋体" w:hAnsi="宋体" w:eastAsia="宋体" w:cs="宋体"/>
          <w:highlight w:val="none"/>
        </w:rPr>
      </w:pPr>
      <w:r>
        <w:rPr>
          <w:rFonts w:hint="eastAsia" w:ascii="宋体" w:hAnsi="宋体" w:eastAsia="宋体" w:cs="宋体"/>
          <w:highlight w:val="none"/>
        </w:rPr>
        <w:t>合同到期后，乙方在经营期间无重大责任事故且税务干部职工满意度较高（80%以上）的情况下，经甲方研究决定同意乙方可顺延合同。</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九、协议解除约定</w:t>
      </w:r>
    </w:p>
    <w:p>
      <w:pPr>
        <w:numPr>
          <w:ilvl w:val="0"/>
          <w:numId w:val="14"/>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乙方违规操作，出现重大事故的。</w:t>
      </w:r>
    </w:p>
    <w:p>
      <w:pPr>
        <w:numPr>
          <w:ilvl w:val="0"/>
          <w:numId w:val="14"/>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乙方不及时或者不充足供应职工膳食达到3次以上的。</w:t>
      </w:r>
    </w:p>
    <w:p>
      <w:pPr>
        <w:numPr>
          <w:ilvl w:val="0"/>
          <w:numId w:val="14"/>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不服从甲方管理的。</w:t>
      </w:r>
    </w:p>
    <w:p>
      <w:pPr>
        <w:numPr>
          <w:ilvl w:val="0"/>
          <w:numId w:val="14"/>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乙方自身原因不能继续提供服务的。</w:t>
      </w:r>
    </w:p>
    <w:p>
      <w:pPr>
        <w:spacing w:line="500" w:lineRule="exact"/>
        <w:jc w:val="left"/>
        <w:rPr>
          <w:rFonts w:ascii="宋体" w:hAnsi="宋体" w:eastAsia="宋体" w:cs="宋体"/>
          <w:b/>
          <w:bCs/>
          <w:highlight w:val="none"/>
        </w:rPr>
      </w:pPr>
      <w:r>
        <w:rPr>
          <w:rFonts w:hint="eastAsia" w:ascii="宋体" w:hAnsi="宋体" w:eastAsia="宋体" w:cs="宋体"/>
          <w:b/>
          <w:bCs/>
          <w:highlight w:val="none"/>
        </w:rPr>
        <w:t>十、其他条款</w:t>
      </w:r>
    </w:p>
    <w:p>
      <w:pPr>
        <w:numPr>
          <w:ilvl w:val="0"/>
          <w:numId w:val="1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因本合同发生分歧，双方协商解决，协商不成的，通过诉讼程序解决。</w:t>
      </w:r>
    </w:p>
    <w:p>
      <w:pPr>
        <w:numPr>
          <w:ilvl w:val="0"/>
          <w:numId w:val="1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服务人员与就餐人员发生冲突时，乙方应与甲方管理部门协商解决。</w:t>
      </w:r>
    </w:p>
    <w:p>
      <w:pPr>
        <w:numPr>
          <w:ilvl w:val="0"/>
          <w:numId w:val="1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本合同一式三份，甲方执贰份，乙方执壹份。本合同经甲、乙方双方签字盖章之日起生效。</w:t>
      </w:r>
    </w:p>
    <w:p>
      <w:pPr>
        <w:numPr>
          <w:ilvl w:val="0"/>
          <w:numId w:val="15"/>
        </w:numPr>
        <w:spacing w:line="500" w:lineRule="exact"/>
        <w:ind w:left="0" w:firstLine="420"/>
        <w:jc w:val="left"/>
        <w:rPr>
          <w:rFonts w:ascii="宋体" w:hAnsi="宋体" w:eastAsia="宋体" w:cs="宋体"/>
          <w:highlight w:val="none"/>
        </w:rPr>
      </w:pPr>
      <w:r>
        <w:rPr>
          <w:rFonts w:hint="eastAsia" w:ascii="宋体" w:hAnsi="宋体" w:eastAsia="宋体" w:cs="宋体"/>
          <w:highlight w:val="none"/>
        </w:rPr>
        <w:t>合同未尽事宜，以招投标文件为准，甲、乙双方可协商解决。</w:t>
      </w:r>
    </w:p>
    <w:p>
      <w:pPr>
        <w:spacing w:line="480" w:lineRule="exact"/>
        <w:jc w:val="left"/>
        <w:rPr>
          <w:rFonts w:ascii="宋体" w:hAnsi="宋体" w:eastAsia="宋体" w:cs="宋体"/>
          <w:highlight w:val="none"/>
        </w:rPr>
      </w:pPr>
    </w:p>
    <w:p>
      <w:pPr>
        <w:spacing w:line="600" w:lineRule="auto"/>
        <w:ind w:left="420" w:firstLine="480" w:firstLineChars="200"/>
        <w:jc w:val="left"/>
        <w:rPr>
          <w:rFonts w:ascii="宋体" w:hAnsi="宋体" w:eastAsia="宋体" w:cs="宋体"/>
          <w:highlight w:val="none"/>
        </w:rPr>
      </w:pPr>
      <w:r>
        <w:rPr>
          <w:rFonts w:hint="eastAsia" w:ascii="宋体" w:hAnsi="宋体" w:eastAsia="宋体" w:cs="宋体"/>
          <w:highlight w:val="none"/>
        </w:rPr>
        <w:t>甲方（盖章）：                    乙方（盖章）：</w:t>
      </w:r>
    </w:p>
    <w:p>
      <w:pPr>
        <w:spacing w:line="600" w:lineRule="auto"/>
        <w:ind w:left="420" w:firstLine="480" w:firstLineChars="200"/>
        <w:jc w:val="left"/>
        <w:rPr>
          <w:rFonts w:ascii="宋体" w:hAnsi="宋体" w:eastAsia="宋体" w:cs="宋体"/>
          <w:highlight w:val="none"/>
        </w:rPr>
      </w:pPr>
      <w:r>
        <w:rPr>
          <w:rFonts w:hint="eastAsia" w:ascii="宋体" w:hAnsi="宋体" w:eastAsia="宋体" w:cs="宋体"/>
          <w:highlight w:val="none"/>
        </w:rPr>
        <w:t>甲方代表：                       乙方代表：</w:t>
      </w:r>
    </w:p>
    <w:p>
      <w:pPr>
        <w:spacing w:line="480" w:lineRule="exact"/>
        <w:ind w:firstLine="3600" w:firstLineChars="1500"/>
        <w:rPr>
          <w:rFonts w:ascii="宋体" w:hAnsi="宋体" w:eastAsia="宋体" w:cs="宋体"/>
          <w:highlight w:val="none"/>
        </w:rPr>
      </w:pPr>
      <w:r>
        <w:rPr>
          <w:rFonts w:hint="eastAsia" w:ascii="宋体" w:hAnsi="宋体" w:eastAsia="宋体" w:cs="宋体"/>
          <w:highlight w:val="none"/>
        </w:rPr>
        <w:t>协议签订时间：   年    月    日</w:t>
      </w:r>
    </w:p>
    <w:p>
      <w:pPr>
        <w:tabs>
          <w:tab w:val="left" w:pos="700"/>
        </w:tabs>
        <w:topLinePunct/>
        <w:autoSpaceDE w:val="0"/>
        <w:autoSpaceDN w:val="0"/>
        <w:spacing w:line="360" w:lineRule="auto"/>
        <w:ind w:left="360"/>
        <w:rPr>
          <w:rFonts w:cs="宋体"/>
          <w:sz w:val="21"/>
          <w:szCs w:val="21"/>
          <w:highlight w:val="none"/>
        </w:rPr>
      </w:pPr>
      <w:r>
        <w:rPr>
          <w:rFonts w:hint="eastAsia" w:cs="宋体"/>
          <w:sz w:val="21"/>
          <w:szCs w:val="21"/>
          <w:highlight w:val="none"/>
        </w:rPr>
        <w:br w:type="page"/>
      </w:r>
    </w:p>
    <w:p>
      <w:pPr>
        <w:pStyle w:val="4"/>
        <w:rPr>
          <w:rFonts w:ascii="宋体" w:hAnsi="宋体" w:eastAsia="宋体" w:cs="宋体"/>
          <w:sz w:val="21"/>
          <w:szCs w:val="21"/>
          <w:highlight w:val="none"/>
        </w:rPr>
        <w:sectPr>
          <w:pgSz w:w="11906" w:h="16838"/>
          <w:pgMar w:top="1440" w:right="1800" w:bottom="1440" w:left="1800" w:header="851" w:footer="624" w:gutter="0"/>
          <w:cols w:space="720" w:num="1"/>
          <w:docGrid w:type="lines" w:linePitch="312" w:charSpace="0"/>
        </w:sectPr>
      </w:pPr>
    </w:p>
    <w:p>
      <w:pPr>
        <w:pStyle w:val="3"/>
        <w:autoSpaceDE/>
        <w:autoSpaceDN/>
        <w:spacing w:line="720" w:lineRule="auto"/>
        <w:jc w:val="center"/>
        <w:rPr>
          <w:rFonts w:ascii="宋体" w:hAnsi="宋体" w:eastAsia="宋体" w:cs="宋体"/>
          <w:bCs/>
          <w:snapToGrid/>
          <w:kern w:val="2"/>
          <w:sz w:val="32"/>
          <w:highlight w:val="none"/>
        </w:rPr>
      </w:pPr>
      <w:bookmarkStart w:id="85" w:name="_Toc10531"/>
      <w:bookmarkStart w:id="86" w:name="_Toc28992"/>
      <w:bookmarkStart w:id="87" w:name="_Toc26733"/>
      <w:bookmarkStart w:id="88" w:name="_Toc18894"/>
      <w:r>
        <w:rPr>
          <w:rFonts w:hint="eastAsia" w:ascii="宋体" w:hAnsi="宋体" w:eastAsia="宋体" w:cs="宋体"/>
          <w:bCs/>
          <w:snapToGrid/>
          <w:kern w:val="2"/>
          <w:sz w:val="32"/>
          <w:highlight w:val="none"/>
        </w:rPr>
        <w:t>第五章投标文件格式</w:t>
      </w:r>
      <w:bookmarkEnd w:id="85"/>
      <w:bookmarkEnd w:id="86"/>
      <w:bookmarkEnd w:id="87"/>
      <w:bookmarkEnd w:id="88"/>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5.全部文件应按投标人须知中规定的语言提交。</w:t>
      </w:r>
    </w:p>
    <w:p>
      <w:pPr>
        <w:topLinePunct/>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line="360" w:lineRule="auto"/>
        <w:jc w:val="center"/>
        <w:rPr>
          <w:rFonts w:cs="宋体"/>
          <w:bCs/>
          <w:kern w:val="0"/>
          <w:sz w:val="32"/>
          <w:szCs w:val="32"/>
          <w:highlight w:val="none"/>
        </w:rPr>
      </w:pPr>
      <w:r>
        <w:rPr>
          <w:rFonts w:hint="eastAsia" w:cs="宋体"/>
          <w:b/>
          <w:bCs/>
          <w:highlight w:val="none"/>
        </w:rPr>
        <w:br w:type="page"/>
      </w:r>
    </w:p>
    <w:p>
      <w:pPr>
        <w:spacing w:line="360" w:lineRule="auto"/>
        <w:rPr>
          <w:rFonts w:cs="宋体"/>
          <w:b/>
          <w:bCs/>
          <w:spacing w:val="30"/>
          <w:sz w:val="36"/>
          <w:highlight w:val="none"/>
        </w:rPr>
      </w:pPr>
      <w:r>
        <w:rPr>
          <w:rFonts w:hint="eastAsia" w:cs="宋体"/>
          <w:b/>
          <w:highlight w:val="none"/>
        </w:rPr>
        <w:t>封面格式如下</w:t>
      </w:r>
    </w:p>
    <w:p>
      <w:pPr>
        <w:spacing w:line="360" w:lineRule="auto"/>
        <w:rPr>
          <w:rFonts w:cs="宋体"/>
          <w:b/>
          <w:bCs/>
          <w:spacing w:val="30"/>
          <w:sz w:val="52"/>
          <w:highlight w:val="none"/>
        </w:rPr>
      </w:pPr>
    </w:p>
    <w:p>
      <w:pPr>
        <w:spacing w:line="360" w:lineRule="auto"/>
        <w:rPr>
          <w:rFonts w:cs="宋体"/>
          <w:highlight w:val="none"/>
        </w:rPr>
      </w:pPr>
    </w:p>
    <w:p>
      <w:pPr>
        <w:spacing w:line="360" w:lineRule="auto"/>
        <w:rPr>
          <w:rFonts w:cs="宋体"/>
          <w:highlight w:val="none"/>
        </w:rPr>
      </w:pPr>
    </w:p>
    <w:p>
      <w:pPr>
        <w:spacing w:line="360" w:lineRule="auto"/>
        <w:jc w:val="center"/>
        <w:rPr>
          <w:rFonts w:cs="宋体"/>
          <w:b/>
          <w:bCs/>
          <w:sz w:val="56"/>
          <w:szCs w:val="56"/>
          <w:highlight w:val="none"/>
        </w:rPr>
      </w:pPr>
      <w:bookmarkStart w:id="89" w:name="_Toc13406"/>
      <w:bookmarkStart w:id="90" w:name="_Toc26710"/>
      <w:bookmarkStart w:id="91" w:name="_Toc19520"/>
      <w:bookmarkStart w:id="92" w:name="_Toc20055_WPSOffice_Level1"/>
      <w:bookmarkStart w:id="93" w:name="_Toc23303_WPSOffice_Level1"/>
      <w:bookmarkStart w:id="94" w:name="_Toc16819"/>
      <w:bookmarkStart w:id="95" w:name="_Toc27763_WPSOffice_Level1"/>
      <w:bookmarkStart w:id="96" w:name="_Toc7953_WPSOffice_Level1"/>
      <w:r>
        <w:rPr>
          <w:rFonts w:hint="eastAsia" w:cs="宋体"/>
          <w:b/>
          <w:bCs/>
          <w:sz w:val="56"/>
          <w:szCs w:val="56"/>
          <w:highlight w:val="none"/>
        </w:rPr>
        <w:t>国家税务总局十堰市税务局</w:t>
      </w:r>
    </w:p>
    <w:p>
      <w:pPr>
        <w:spacing w:line="360" w:lineRule="auto"/>
        <w:jc w:val="center"/>
        <w:rPr>
          <w:rFonts w:cs="宋体"/>
          <w:b/>
          <w:bCs/>
          <w:sz w:val="56"/>
          <w:szCs w:val="56"/>
          <w:highlight w:val="none"/>
        </w:rPr>
      </w:pPr>
      <w:r>
        <w:rPr>
          <w:rFonts w:hint="eastAsia" w:cs="宋体"/>
          <w:b/>
          <w:bCs/>
          <w:sz w:val="56"/>
          <w:szCs w:val="56"/>
          <w:highlight w:val="none"/>
        </w:rPr>
        <w:t>2025年度食堂餐饮服务项目</w:t>
      </w:r>
    </w:p>
    <w:p>
      <w:pPr>
        <w:spacing w:line="360" w:lineRule="auto"/>
        <w:rPr>
          <w:rFonts w:cs="宋体"/>
          <w:highlight w:val="none"/>
        </w:rPr>
      </w:pPr>
      <w:bookmarkStart w:id="97" w:name="_Toc2735"/>
    </w:p>
    <w:p>
      <w:pPr>
        <w:spacing w:line="360" w:lineRule="auto"/>
        <w:rPr>
          <w:rFonts w:cs="宋体"/>
          <w:highlight w:val="none"/>
        </w:rPr>
      </w:pPr>
    </w:p>
    <w:p>
      <w:pPr>
        <w:spacing w:line="360" w:lineRule="auto"/>
        <w:rPr>
          <w:rFonts w:cs="宋体"/>
          <w:highlight w:val="none"/>
        </w:rPr>
      </w:pPr>
    </w:p>
    <w:p>
      <w:pPr>
        <w:spacing w:line="360" w:lineRule="auto"/>
        <w:rPr>
          <w:rFonts w:cs="宋体"/>
          <w:highlight w:val="none"/>
        </w:rPr>
      </w:pPr>
    </w:p>
    <w:p>
      <w:pPr>
        <w:spacing w:line="360" w:lineRule="auto"/>
        <w:jc w:val="center"/>
        <w:rPr>
          <w:rFonts w:cs="宋体"/>
          <w:b/>
          <w:sz w:val="48"/>
          <w:szCs w:val="48"/>
          <w:highlight w:val="none"/>
        </w:rPr>
      </w:pPr>
      <w:bookmarkStart w:id="98" w:name="_Toc17095"/>
      <w:bookmarkStart w:id="99" w:name="_Toc19582"/>
      <w:bookmarkStart w:id="100" w:name="_Toc16787"/>
      <w:r>
        <w:rPr>
          <w:rFonts w:hint="eastAsia" w:cs="宋体"/>
          <w:b/>
          <w:sz w:val="48"/>
          <w:szCs w:val="48"/>
          <w:highlight w:val="none"/>
        </w:rPr>
        <w:t>（投标文件）</w:t>
      </w:r>
      <w:bookmarkEnd w:id="89"/>
      <w:bookmarkEnd w:id="90"/>
      <w:bookmarkEnd w:id="91"/>
      <w:bookmarkEnd w:id="92"/>
      <w:bookmarkEnd w:id="93"/>
      <w:bookmarkEnd w:id="94"/>
      <w:bookmarkEnd w:id="95"/>
      <w:bookmarkEnd w:id="96"/>
      <w:bookmarkEnd w:id="97"/>
      <w:bookmarkEnd w:id="98"/>
      <w:bookmarkEnd w:id="99"/>
      <w:bookmarkEnd w:id="100"/>
    </w:p>
    <w:p>
      <w:pPr>
        <w:spacing w:line="360" w:lineRule="auto"/>
        <w:rPr>
          <w:rFonts w:cs="宋体"/>
          <w:highlight w:val="none"/>
        </w:rPr>
      </w:pPr>
    </w:p>
    <w:p>
      <w:pPr>
        <w:spacing w:line="360" w:lineRule="auto"/>
        <w:rPr>
          <w:rFonts w:cs="宋体"/>
          <w:highlight w:val="none"/>
        </w:rPr>
      </w:pPr>
    </w:p>
    <w:p>
      <w:pPr>
        <w:spacing w:line="360" w:lineRule="auto"/>
        <w:rPr>
          <w:rFonts w:cs="宋体"/>
          <w:highlight w:val="none"/>
        </w:rPr>
      </w:pPr>
    </w:p>
    <w:p>
      <w:pPr>
        <w:spacing w:line="360" w:lineRule="auto"/>
        <w:rPr>
          <w:rFonts w:cs="宋体"/>
          <w:highlight w:val="none"/>
        </w:rPr>
      </w:pPr>
    </w:p>
    <w:p>
      <w:pPr>
        <w:spacing w:line="360" w:lineRule="auto"/>
        <w:rPr>
          <w:rFonts w:cs="宋体"/>
          <w:highlight w:val="none"/>
        </w:rPr>
      </w:pPr>
      <w:bookmarkStart w:id="101" w:name="_Toc14915_WPSOffice_Level1"/>
      <w:bookmarkStart w:id="102" w:name="_Toc29247"/>
      <w:bookmarkStart w:id="103" w:name="_Toc22194"/>
      <w:bookmarkStart w:id="104" w:name="_Toc23060"/>
      <w:bookmarkStart w:id="105" w:name="_Toc2680_WPSOffice_Level1"/>
      <w:bookmarkStart w:id="106" w:name="_Toc16197"/>
      <w:bookmarkStart w:id="107" w:name="_Toc17853"/>
      <w:bookmarkStart w:id="108" w:name="_Toc30154_WPSOffice_Level1"/>
      <w:bookmarkStart w:id="109" w:name="_Toc27475_WPSOffice_Level1"/>
    </w:p>
    <w:p>
      <w:pPr>
        <w:spacing w:line="360" w:lineRule="auto"/>
        <w:ind w:firstLine="643" w:firstLineChars="200"/>
        <w:rPr>
          <w:rFonts w:cs="宋体"/>
          <w:b/>
          <w:sz w:val="32"/>
          <w:szCs w:val="32"/>
          <w:highlight w:val="none"/>
        </w:rPr>
      </w:pPr>
      <w:bookmarkStart w:id="110" w:name="_Toc4156"/>
      <w:bookmarkStart w:id="111" w:name="_Toc26249"/>
      <w:bookmarkStart w:id="112" w:name="_Toc30890"/>
      <w:r>
        <w:rPr>
          <w:rFonts w:hint="eastAsia" w:cs="宋体"/>
          <w:b/>
          <w:sz w:val="32"/>
          <w:szCs w:val="32"/>
          <w:highlight w:val="none"/>
        </w:rPr>
        <w:t>采 购 人：</w:t>
      </w:r>
      <w:bookmarkEnd w:id="101"/>
      <w:bookmarkEnd w:id="102"/>
      <w:bookmarkEnd w:id="103"/>
      <w:bookmarkEnd w:id="104"/>
      <w:bookmarkEnd w:id="105"/>
      <w:bookmarkEnd w:id="106"/>
      <w:bookmarkEnd w:id="107"/>
      <w:bookmarkEnd w:id="108"/>
      <w:bookmarkEnd w:id="109"/>
      <w:bookmarkStart w:id="113" w:name="_Toc8279_WPSOffice_Level1"/>
      <w:bookmarkStart w:id="114" w:name="_Toc7259"/>
      <w:bookmarkStart w:id="115" w:name="_Toc12196_WPSOffice_Level1"/>
      <w:bookmarkStart w:id="116" w:name="_Toc8466"/>
      <w:bookmarkStart w:id="117" w:name="_Toc7956"/>
      <w:bookmarkStart w:id="118" w:name="_Toc12733_WPSOffice_Level1"/>
      <w:bookmarkStart w:id="119" w:name="_Toc31243"/>
      <w:bookmarkStart w:id="120" w:name="_Toc24407_WPSOffice_Level1"/>
      <w:r>
        <w:rPr>
          <w:rFonts w:hint="eastAsia" w:cs="宋体"/>
          <w:b/>
          <w:sz w:val="32"/>
          <w:szCs w:val="32"/>
          <w:highlight w:val="none"/>
        </w:rPr>
        <w:t>国家税务总局十堰市税务局</w:t>
      </w:r>
      <w:bookmarkEnd w:id="110"/>
      <w:bookmarkEnd w:id="111"/>
      <w:bookmarkEnd w:id="112"/>
    </w:p>
    <w:p>
      <w:pPr>
        <w:spacing w:line="360" w:lineRule="auto"/>
        <w:rPr>
          <w:rFonts w:cs="宋体"/>
          <w:b/>
          <w:sz w:val="32"/>
          <w:szCs w:val="32"/>
          <w:highlight w:val="none"/>
        </w:rPr>
      </w:pPr>
    </w:p>
    <w:p>
      <w:pPr>
        <w:spacing w:line="360" w:lineRule="auto"/>
        <w:ind w:firstLine="643" w:firstLineChars="200"/>
        <w:rPr>
          <w:rFonts w:cs="宋体"/>
          <w:b/>
          <w:sz w:val="32"/>
          <w:szCs w:val="32"/>
          <w:highlight w:val="none"/>
        </w:rPr>
      </w:pPr>
      <w:bookmarkStart w:id="121" w:name="_Toc26352"/>
      <w:bookmarkStart w:id="122" w:name="_Toc12640"/>
      <w:bookmarkStart w:id="123" w:name="_Toc11498"/>
      <w:bookmarkStart w:id="124" w:name="_Toc11423"/>
      <w:r>
        <w:rPr>
          <w:rFonts w:hint="eastAsia" w:cs="宋体"/>
          <w:b/>
          <w:sz w:val="32"/>
          <w:szCs w:val="32"/>
          <w:highlight w:val="none"/>
        </w:rPr>
        <w:t>投 标 人：（盖章）</w:t>
      </w:r>
      <w:bookmarkEnd w:id="113"/>
      <w:bookmarkEnd w:id="114"/>
      <w:bookmarkEnd w:id="115"/>
      <w:bookmarkEnd w:id="116"/>
      <w:bookmarkEnd w:id="117"/>
      <w:bookmarkEnd w:id="118"/>
      <w:bookmarkEnd w:id="119"/>
      <w:bookmarkEnd w:id="120"/>
      <w:bookmarkEnd w:id="121"/>
      <w:bookmarkEnd w:id="122"/>
      <w:bookmarkEnd w:id="123"/>
      <w:bookmarkEnd w:id="124"/>
      <w:bookmarkStart w:id="125" w:name="_Toc23151_WPSOffice_Level1"/>
      <w:bookmarkStart w:id="126" w:name="_Toc26912_WPSOffice_Level1"/>
      <w:bookmarkStart w:id="127" w:name="_Toc8351"/>
      <w:bookmarkStart w:id="128" w:name="_Toc28698"/>
      <w:bookmarkStart w:id="129" w:name="_Toc27172"/>
      <w:bookmarkStart w:id="130" w:name="_Toc22488_WPSOffice_Level1"/>
      <w:bookmarkStart w:id="131" w:name="_Toc16648_WPSOffice_Level1"/>
      <w:bookmarkStart w:id="132" w:name="_Toc13863"/>
    </w:p>
    <w:p>
      <w:pPr>
        <w:spacing w:line="360" w:lineRule="auto"/>
        <w:rPr>
          <w:rFonts w:cs="宋体"/>
          <w:b/>
          <w:bCs/>
          <w:sz w:val="32"/>
          <w:szCs w:val="32"/>
          <w:highlight w:val="none"/>
        </w:rPr>
      </w:pPr>
    </w:p>
    <w:p>
      <w:pPr>
        <w:ind w:firstLine="643" w:firstLineChars="200"/>
        <w:rPr>
          <w:rFonts w:cs="宋体"/>
          <w:b/>
          <w:highlight w:val="none"/>
        </w:rPr>
        <w:sectPr>
          <w:pgSz w:w="11906" w:h="16838"/>
          <w:pgMar w:top="1440" w:right="1080" w:bottom="1440" w:left="1080" w:header="850" w:footer="567" w:gutter="0"/>
          <w:cols w:space="720" w:num="1"/>
          <w:titlePg/>
          <w:docGrid w:linePitch="312" w:charSpace="0"/>
        </w:sectPr>
      </w:pPr>
      <w:bookmarkStart w:id="133" w:name="_Toc18129"/>
      <w:bookmarkStart w:id="134" w:name="_Toc19666"/>
      <w:bookmarkStart w:id="135" w:name="_Toc6471"/>
      <w:bookmarkStart w:id="136" w:name="_Toc26778"/>
      <w:r>
        <w:rPr>
          <w:rFonts w:hint="eastAsia" w:cs="宋体"/>
          <w:b/>
          <w:bCs/>
          <w:sz w:val="32"/>
          <w:szCs w:val="32"/>
          <w:highlight w:val="none"/>
        </w:rPr>
        <w:t>编制日期</w:t>
      </w:r>
      <w:bookmarkEnd w:id="125"/>
      <w:bookmarkEnd w:id="126"/>
      <w:bookmarkEnd w:id="127"/>
      <w:bookmarkEnd w:id="128"/>
      <w:bookmarkEnd w:id="129"/>
      <w:bookmarkEnd w:id="130"/>
      <w:bookmarkEnd w:id="131"/>
      <w:bookmarkEnd w:id="132"/>
      <w:bookmarkEnd w:id="133"/>
      <w:bookmarkEnd w:id="134"/>
      <w:bookmarkEnd w:id="135"/>
      <w:bookmarkEnd w:id="136"/>
      <w:r>
        <w:rPr>
          <w:rFonts w:hint="eastAsia" w:cs="宋体"/>
          <w:b/>
          <w:bCs/>
          <w:sz w:val="32"/>
          <w:szCs w:val="32"/>
          <w:highlight w:val="none"/>
        </w:rPr>
        <w:t>：</w:t>
      </w:r>
    </w:p>
    <w:p>
      <w:pPr>
        <w:autoSpaceDE w:val="0"/>
        <w:autoSpaceDN w:val="0"/>
        <w:adjustRightInd w:val="0"/>
        <w:snapToGrid w:val="0"/>
        <w:spacing w:line="360" w:lineRule="auto"/>
        <w:jc w:val="center"/>
        <w:rPr>
          <w:rFonts w:cs="宋体"/>
          <w:b/>
          <w:sz w:val="36"/>
          <w:szCs w:val="36"/>
          <w:highlight w:val="none"/>
        </w:rPr>
      </w:pPr>
      <w:bookmarkStart w:id="137" w:name="_Toc29275"/>
      <w:bookmarkStart w:id="138" w:name="_Toc3440"/>
      <w:bookmarkStart w:id="139" w:name="_Toc1817"/>
      <w:bookmarkStart w:id="140" w:name="_Toc30248_WPSOffice_Level1"/>
      <w:r>
        <w:rPr>
          <w:rFonts w:hint="eastAsia" w:cs="宋体"/>
          <w:b/>
          <w:sz w:val="36"/>
          <w:szCs w:val="36"/>
          <w:highlight w:val="none"/>
        </w:rPr>
        <w:t>目  录</w:t>
      </w:r>
      <w:bookmarkEnd w:id="137"/>
      <w:bookmarkEnd w:id="138"/>
      <w:bookmarkEnd w:id="139"/>
      <w:r>
        <w:rPr>
          <w:rFonts w:hint="eastAsia" w:cs="宋体"/>
          <w:b/>
          <w:sz w:val="36"/>
          <w:szCs w:val="36"/>
          <w:highlight w:val="none"/>
        </w:rPr>
        <w:t>（自拟）</w:t>
      </w:r>
    </w:p>
    <w:p>
      <w:pPr>
        <w:snapToGrid w:val="0"/>
        <w:spacing w:line="360" w:lineRule="auto"/>
        <w:ind w:firstLine="480" w:firstLineChars="200"/>
        <w:jc w:val="center"/>
        <w:rPr>
          <w:rFonts w:cs="宋体"/>
          <w:b/>
          <w:sz w:val="28"/>
          <w:szCs w:val="28"/>
          <w:highlight w:val="none"/>
        </w:rPr>
      </w:pPr>
      <w:r>
        <w:rPr>
          <w:rFonts w:hint="eastAsia" w:cs="宋体"/>
          <w:highlight w:val="none"/>
        </w:rPr>
        <w:br w:type="page"/>
      </w:r>
      <w:bookmarkStart w:id="141" w:name="_Toc4152"/>
      <w:bookmarkStart w:id="142" w:name="_Toc9714"/>
      <w:bookmarkStart w:id="143" w:name="_Toc13447"/>
      <w:r>
        <w:rPr>
          <w:rFonts w:hint="eastAsia" w:cs="宋体"/>
          <w:b/>
          <w:sz w:val="28"/>
          <w:szCs w:val="28"/>
          <w:highlight w:val="none"/>
        </w:rPr>
        <w:t>一、投标函</w:t>
      </w:r>
      <w:bookmarkEnd w:id="141"/>
      <w:bookmarkEnd w:id="142"/>
      <w:bookmarkEnd w:id="143"/>
    </w:p>
    <w:p>
      <w:pPr>
        <w:tabs>
          <w:tab w:val="left" w:pos="540"/>
        </w:tabs>
        <w:spacing w:line="360" w:lineRule="auto"/>
        <w:ind w:left="480" w:leftChars="200"/>
        <w:rPr>
          <w:rFonts w:cs="宋体"/>
          <w:b/>
          <w:highlight w:val="none"/>
        </w:rPr>
      </w:pPr>
    </w:p>
    <w:p>
      <w:pPr>
        <w:adjustRightInd w:val="0"/>
        <w:snapToGrid w:val="0"/>
        <w:spacing w:line="396" w:lineRule="auto"/>
        <w:rPr>
          <w:rFonts w:cs="宋体"/>
          <w:highlight w:val="none"/>
        </w:rPr>
      </w:pPr>
      <w:r>
        <w:rPr>
          <w:rFonts w:hint="eastAsia" w:cs="宋体"/>
          <w:highlight w:val="none"/>
        </w:rPr>
        <w:t>致： （采购人名称）：</w:t>
      </w:r>
    </w:p>
    <w:p>
      <w:pPr>
        <w:adjustRightInd w:val="0"/>
        <w:snapToGrid w:val="0"/>
        <w:spacing w:line="396" w:lineRule="auto"/>
        <w:ind w:firstLine="480" w:firstLineChars="200"/>
        <w:rPr>
          <w:rFonts w:cs="宋体"/>
          <w:highlight w:val="none"/>
        </w:rPr>
      </w:pPr>
      <w:r>
        <w:rPr>
          <w:rFonts w:hint="eastAsia" w:cs="宋体"/>
          <w:kern w:val="0"/>
          <w:highlight w:val="none"/>
        </w:rPr>
        <w:t>（一）我</w:t>
      </w:r>
      <w:r>
        <w:rPr>
          <w:rFonts w:hint="eastAsia" w:cs="宋体"/>
          <w:spacing w:val="-2"/>
          <w:kern w:val="0"/>
          <w:highlight w:val="none"/>
        </w:rPr>
        <w:t>方</w:t>
      </w:r>
      <w:r>
        <w:rPr>
          <w:rFonts w:hint="eastAsia" w:cs="宋体"/>
          <w:kern w:val="0"/>
          <w:highlight w:val="none"/>
        </w:rPr>
        <w:t>已</w:t>
      </w:r>
      <w:r>
        <w:rPr>
          <w:rFonts w:hint="eastAsia" w:cs="宋体"/>
          <w:spacing w:val="-2"/>
          <w:kern w:val="0"/>
          <w:highlight w:val="none"/>
        </w:rPr>
        <w:t>仔</w:t>
      </w:r>
      <w:r>
        <w:rPr>
          <w:rFonts w:hint="eastAsia" w:cs="宋体"/>
          <w:kern w:val="0"/>
          <w:highlight w:val="none"/>
        </w:rPr>
        <w:t>细</w:t>
      </w:r>
      <w:r>
        <w:rPr>
          <w:rFonts w:hint="eastAsia" w:cs="宋体"/>
          <w:spacing w:val="-2"/>
          <w:kern w:val="0"/>
          <w:highlight w:val="none"/>
        </w:rPr>
        <w:t>研</w:t>
      </w:r>
      <w:r>
        <w:rPr>
          <w:rFonts w:hint="eastAsia" w:cs="宋体"/>
          <w:kern w:val="0"/>
          <w:highlight w:val="none"/>
        </w:rPr>
        <w:t>究了</w:t>
      </w:r>
      <w:r>
        <w:rPr>
          <w:rFonts w:hint="eastAsia" w:cs="宋体"/>
          <w:highlight w:val="none"/>
        </w:rPr>
        <w:t>（项目名称）招标文件的全部内容，愿意以人民币（大写）</w:t>
      </w:r>
      <w:r>
        <w:rPr>
          <w:rFonts w:hint="eastAsia" w:cs="宋体"/>
          <w:highlight w:val="none"/>
          <w:u w:val="single"/>
        </w:rPr>
        <w:t xml:space="preserve">             /年</w:t>
      </w:r>
      <w:r>
        <w:rPr>
          <w:rFonts w:hint="eastAsia" w:cs="宋体"/>
          <w:highlight w:val="none"/>
        </w:rPr>
        <w:t>（¥：</w:t>
      </w:r>
      <w:r>
        <w:rPr>
          <w:rFonts w:hint="eastAsia" w:cs="宋体"/>
          <w:highlight w:val="none"/>
          <w:u w:val="single"/>
        </w:rPr>
        <w:t xml:space="preserve">         /年</w:t>
      </w:r>
      <w:r>
        <w:rPr>
          <w:rFonts w:hint="eastAsia" w:cs="宋体"/>
          <w:highlight w:val="none"/>
        </w:rPr>
        <w:t>）的投标总报价，服务期限：，项目负责人： ，按合同约定完成服务。</w:t>
      </w:r>
    </w:p>
    <w:p>
      <w:pPr>
        <w:adjustRightInd w:val="0"/>
        <w:snapToGrid w:val="0"/>
        <w:spacing w:line="396" w:lineRule="auto"/>
        <w:ind w:firstLine="480" w:firstLineChars="200"/>
        <w:rPr>
          <w:rFonts w:cs="宋体"/>
          <w:kern w:val="0"/>
          <w:highlight w:val="none"/>
        </w:rPr>
      </w:pPr>
      <w:r>
        <w:rPr>
          <w:rFonts w:hint="eastAsia" w:cs="宋体"/>
          <w:kern w:val="0"/>
          <w:highlight w:val="none"/>
        </w:rPr>
        <w:t>（二）如果我方中标，我方保证严格按照国家相关法规、规范、标准、规程及我方制定的服务方案开展服务，确保服务质量达到，且确保在规定期限内通过你方组织的考核。</w:t>
      </w:r>
    </w:p>
    <w:p>
      <w:pPr>
        <w:adjustRightInd w:val="0"/>
        <w:snapToGrid w:val="0"/>
        <w:spacing w:line="396" w:lineRule="auto"/>
        <w:ind w:firstLine="480" w:firstLineChars="200"/>
        <w:rPr>
          <w:rFonts w:cs="宋体"/>
          <w:kern w:val="0"/>
          <w:highlight w:val="none"/>
        </w:rPr>
      </w:pPr>
      <w:r>
        <w:rPr>
          <w:rFonts w:hint="eastAsia" w:cs="宋体"/>
          <w:kern w:val="0"/>
          <w:highlight w:val="none"/>
        </w:rPr>
        <w:t>我方同意本投标函在招标文件规定的提交投标文件截止时间后，在招标文件规定的投标有效期期满前对我方具有约束力，且随时准备接受你方发出的中标通知书。</w:t>
      </w:r>
    </w:p>
    <w:p>
      <w:pPr>
        <w:adjustRightInd w:val="0"/>
        <w:snapToGrid w:val="0"/>
        <w:spacing w:line="396" w:lineRule="auto"/>
        <w:ind w:firstLine="480" w:firstLineChars="200"/>
        <w:rPr>
          <w:rFonts w:cs="宋体"/>
          <w:kern w:val="0"/>
          <w:highlight w:val="none"/>
        </w:rPr>
      </w:pPr>
      <w:r>
        <w:rPr>
          <w:rFonts w:hint="eastAsia" w:cs="宋体"/>
          <w:kern w:val="0"/>
          <w:highlight w:val="none"/>
        </w:rPr>
        <w:t xml:space="preserve">（三）投标内容（服务内容）为。   </w:t>
      </w:r>
    </w:p>
    <w:p>
      <w:pPr>
        <w:adjustRightInd w:val="0"/>
        <w:snapToGrid w:val="0"/>
        <w:spacing w:line="396" w:lineRule="auto"/>
        <w:ind w:firstLine="480" w:firstLineChars="200"/>
        <w:rPr>
          <w:rFonts w:cs="宋体"/>
          <w:kern w:val="0"/>
          <w:highlight w:val="none"/>
        </w:rPr>
      </w:pPr>
      <w:r>
        <w:rPr>
          <w:rFonts w:hint="eastAsia" w:cs="宋体"/>
          <w:kern w:val="0"/>
          <w:highlight w:val="none"/>
        </w:rPr>
        <w:t xml:space="preserve">（四）投标有效期为 </w:t>
      </w:r>
      <w:r>
        <w:rPr>
          <w:rFonts w:hint="eastAsia" w:cs="宋体"/>
          <w:kern w:val="0"/>
          <w:highlight w:val="none"/>
          <w:u w:val="single"/>
        </w:rPr>
        <w:t xml:space="preserve">  90  </w:t>
      </w:r>
      <w:r>
        <w:rPr>
          <w:rFonts w:hint="eastAsia" w:cs="宋体"/>
          <w:kern w:val="0"/>
          <w:highlight w:val="none"/>
        </w:rPr>
        <w:t>日历天。</w:t>
      </w:r>
    </w:p>
    <w:p>
      <w:pPr>
        <w:adjustRightInd w:val="0"/>
        <w:snapToGrid w:val="0"/>
        <w:spacing w:line="396" w:lineRule="auto"/>
        <w:ind w:firstLine="480" w:firstLineChars="200"/>
        <w:rPr>
          <w:rFonts w:cs="宋体"/>
          <w:kern w:val="0"/>
          <w:highlight w:val="none"/>
        </w:rPr>
      </w:pPr>
      <w:r>
        <w:rPr>
          <w:rFonts w:hint="eastAsia" w:cs="宋体"/>
          <w:kern w:val="0"/>
          <w:highlight w:val="none"/>
        </w:rPr>
        <w:t>在签署委托合同之前，你方的中标通知书连同本投标函，对双方具有约束力。</w:t>
      </w:r>
    </w:p>
    <w:p>
      <w:pPr>
        <w:tabs>
          <w:tab w:val="left" w:pos="540"/>
        </w:tabs>
        <w:adjustRightInd w:val="0"/>
        <w:snapToGrid w:val="0"/>
        <w:spacing w:line="396" w:lineRule="auto"/>
        <w:ind w:left="-2" w:leftChars="-1" w:firstLine="480"/>
        <w:rPr>
          <w:rFonts w:cs="宋体"/>
          <w:b/>
          <w:highlight w:val="none"/>
        </w:rPr>
      </w:pPr>
    </w:p>
    <w:p>
      <w:pPr>
        <w:tabs>
          <w:tab w:val="left" w:pos="540"/>
        </w:tabs>
        <w:adjustRightInd w:val="0"/>
        <w:snapToGrid w:val="0"/>
        <w:spacing w:line="396" w:lineRule="auto"/>
        <w:ind w:left="-2" w:leftChars="-1" w:firstLine="480"/>
        <w:rPr>
          <w:rFonts w:cs="宋体"/>
          <w:b/>
          <w:highlight w:val="none"/>
        </w:rPr>
      </w:pPr>
    </w:p>
    <w:p>
      <w:pPr>
        <w:adjustRightInd w:val="0"/>
        <w:snapToGrid w:val="0"/>
        <w:spacing w:line="396" w:lineRule="auto"/>
        <w:ind w:firstLine="480" w:firstLineChars="200"/>
        <w:rPr>
          <w:rFonts w:cs="宋体"/>
          <w:highlight w:val="none"/>
        </w:rPr>
      </w:pPr>
    </w:p>
    <w:p>
      <w:pPr>
        <w:adjustRightInd w:val="0"/>
        <w:snapToGrid w:val="0"/>
        <w:spacing w:line="396" w:lineRule="auto"/>
        <w:ind w:firstLine="480" w:firstLineChars="200"/>
        <w:rPr>
          <w:rFonts w:cs="宋体"/>
          <w:highlight w:val="none"/>
        </w:rPr>
      </w:pPr>
    </w:p>
    <w:p>
      <w:pPr>
        <w:adjustRightInd w:val="0"/>
        <w:snapToGrid w:val="0"/>
        <w:spacing w:line="396" w:lineRule="auto"/>
        <w:rPr>
          <w:rFonts w:cs="宋体"/>
          <w:kern w:val="0"/>
          <w:highlight w:val="none"/>
        </w:rPr>
      </w:pPr>
      <w:r>
        <w:rPr>
          <w:rFonts w:hint="eastAsia" w:cs="宋体"/>
          <w:kern w:val="0"/>
          <w:highlight w:val="none"/>
        </w:rPr>
        <w:t>供应商名称（公章）：</w:t>
      </w:r>
    </w:p>
    <w:p>
      <w:pPr>
        <w:adjustRightInd w:val="0"/>
        <w:snapToGrid w:val="0"/>
        <w:spacing w:line="396"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napToGrid w:val="0"/>
        <w:spacing w:line="396" w:lineRule="auto"/>
        <w:rPr>
          <w:rFonts w:cs="宋体"/>
          <w:b/>
          <w:bCs/>
          <w:highlight w:val="none"/>
        </w:rPr>
      </w:pPr>
      <w:r>
        <w:rPr>
          <w:rFonts w:hint="eastAsia" w:cs="宋体"/>
          <w:highlight w:val="none"/>
        </w:rPr>
        <w:t>日期：年月</w:t>
      </w:r>
      <w:r>
        <w:rPr>
          <w:rFonts w:hint="eastAsia" w:cs="宋体"/>
          <w:kern w:val="0"/>
          <w:highlight w:val="none"/>
        </w:rPr>
        <w:t>日</w:t>
      </w:r>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br w:type="page"/>
      </w:r>
      <w:bookmarkStart w:id="144" w:name="_Toc28433"/>
      <w:bookmarkStart w:id="145" w:name="_Toc20945"/>
      <w:bookmarkStart w:id="146" w:name="_Toc13953"/>
      <w:r>
        <w:rPr>
          <w:rFonts w:hint="eastAsia" w:cs="宋体"/>
          <w:b/>
          <w:sz w:val="28"/>
          <w:szCs w:val="28"/>
          <w:highlight w:val="none"/>
        </w:rPr>
        <w:t>二、开标一览表</w:t>
      </w:r>
      <w:bookmarkEnd w:id="144"/>
      <w:bookmarkEnd w:id="145"/>
      <w:bookmarkEnd w:id="146"/>
    </w:p>
    <w:p>
      <w:pPr>
        <w:spacing w:line="360" w:lineRule="auto"/>
        <w:rPr>
          <w:rFonts w:cs="宋体"/>
          <w:highlight w:val="none"/>
        </w:rPr>
      </w:pPr>
    </w:p>
    <w:p>
      <w:pPr>
        <w:spacing w:line="360" w:lineRule="auto"/>
        <w:ind w:right="-235" w:rightChars="-98"/>
        <w:rPr>
          <w:rFonts w:cs="宋体"/>
          <w:highlight w:val="none"/>
        </w:rPr>
      </w:pPr>
      <w:r>
        <w:rPr>
          <w:rFonts w:hint="eastAsia" w:cs="宋体"/>
          <w:highlight w:val="none"/>
        </w:rPr>
        <w:t>项目编号：</w:t>
      </w:r>
    </w:p>
    <w:p>
      <w:pPr>
        <w:spacing w:line="360" w:lineRule="auto"/>
        <w:ind w:right="-235" w:rightChars="-98"/>
        <w:rPr>
          <w:rFonts w:cs="宋体"/>
          <w:highlight w:val="none"/>
        </w:rPr>
      </w:pPr>
      <w:r>
        <w:rPr>
          <w:rFonts w:hint="eastAsia" w:cs="宋体"/>
          <w:highlight w:val="none"/>
        </w:rPr>
        <w:t>项目名称：</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26" w:type="pct"/>
            <w:shd w:val="clear" w:color="auto" w:fill="auto"/>
            <w:noWrap/>
            <w:vAlign w:val="center"/>
          </w:tcPr>
          <w:p>
            <w:pPr>
              <w:adjustRightInd w:val="0"/>
              <w:snapToGrid w:val="0"/>
              <w:spacing w:line="360" w:lineRule="auto"/>
              <w:jc w:val="center"/>
              <w:rPr>
                <w:rFonts w:cs="宋体"/>
                <w:highlight w:val="none"/>
              </w:rPr>
            </w:pPr>
            <w:r>
              <w:rPr>
                <w:rFonts w:hint="eastAsia" w:cs="宋体"/>
                <w:highlight w:val="none"/>
              </w:rPr>
              <w:t>供应商名称</w:t>
            </w:r>
          </w:p>
        </w:tc>
        <w:tc>
          <w:tcPr>
            <w:tcW w:w="3373" w:type="pct"/>
            <w:shd w:val="clear" w:color="auto" w:fill="FFFFFF"/>
            <w:noWrap/>
            <w:vAlign w:val="center"/>
          </w:tcPr>
          <w:p>
            <w:pPr>
              <w:adjustRightInd w:val="0"/>
              <w:snapToGrid w:val="0"/>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626" w:type="pct"/>
            <w:noWrap/>
            <w:vAlign w:val="center"/>
          </w:tcPr>
          <w:p>
            <w:pPr>
              <w:adjustRightInd w:val="0"/>
              <w:snapToGrid w:val="0"/>
              <w:spacing w:line="360" w:lineRule="auto"/>
              <w:jc w:val="center"/>
              <w:rPr>
                <w:rFonts w:cs="宋体"/>
                <w:highlight w:val="none"/>
              </w:rPr>
            </w:pPr>
            <w:r>
              <w:rPr>
                <w:rFonts w:hint="eastAsia" w:cs="宋体"/>
                <w:bCs/>
                <w:highlight w:val="none"/>
              </w:rPr>
              <w:t>拟派团队人员数量（人）</w:t>
            </w:r>
          </w:p>
        </w:tc>
        <w:tc>
          <w:tcPr>
            <w:tcW w:w="3373" w:type="pct"/>
            <w:noWrap/>
            <w:vAlign w:val="center"/>
          </w:tcPr>
          <w:p>
            <w:pPr>
              <w:adjustRightInd w:val="0"/>
              <w:snapToGrid w:val="0"/>
              <w:spacing w:line="360" w:lineRule="auto"/>
              <w:jc w:val="left"/>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6" w:type="pct"/>
            <w:noWrap/>
            <w:vAlign w:val="center"/>
          </w:tcPr>
          <w:p>
            <w:pPr>
              <w:adjustRightInd w:val="0"/>
              <w:snapToGrid w:val="0"/>
              <w:spacing w:line="360" w:lineRule="auto"/>
              <w:jc w:val="center"/>
              <w:rPr>
                <w:rFonts w:cs="宋体"/>
                <w:highlight w:val="none"/>
              </w:rPr>
            </w:pPr>
            <w:r>
              <w:rPr>
                <w:rFonts w:hint="eastAsia" w:cs="宋体"/>
                <w:highlight w:val="none"/>
              </w:rPr>
              <w:t>服务质量</w:t>
            </w:r>
          </w:p>
        </w:tc>
        <w:tc>
          <w:tcPr>
            <w:tcW w:w="3373" w:type="pct"/>
            <w:noWrap/>
            <w:vAlign w:val="center"/>
          </w:tcPr>
          <w:p>
            <w:pPr>
              <w:adjustRightInd w:val="0"/>
              <w:snapToGrid w:val="0"/>
              <w:spacing w:line="360" w:lineRule="auto"/>
              <w:jc w:val="left"/>
              <w:rPr>
                <w:rFonts w:cs="宋体"/>
                <w:highlight w:val="none"/>
              </w:rPr>
            </w:pPr>
            <w:r>
              <w:rPr>
                <w:rFonts w:hint="eastAsia" w:cs="宋体"/>
                <w:highlight w:val="none"/>
              </w:rPr>
              <w:t>合格，符合采购人要求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6" w:type="pct"/>
            <w:noWrap/>
            <w:vAlign w:val="center"/>
          </w:tcPr>
          <w:p>
            <w:pPr>
              <w:adjustRightInd w:val="0"/>
              <w:snapToGrid w:val="0"/>
              <w:spacing w:line="360" w:lineRule="auto"/>
              <w:jc w:val="center"/>
              <w:rPr>
                <w:rFonts w:cs="宋体"/>
                <w:highlight w:val="none"/>
              </w:rPr>
            </w:pPr>
            <w:r>
              <w:rPr>
                <w:rFonts w:hint="eastAsia" w:cs="宋体"/>
                <w:highlight w:val="none"/>
              </w:rPr>
              <w:t>服务期限</w:t>
            </w:r>
          </w:p>
        </w:tc>
        <w:tc>
          <w:tcPr>
            <w:tcW w:w="3373" w:type="pct"/>
            <w:noWrap/>
            <w:vAlign w:val="center"/>
          </w:tcPr>
          <w:p>
            <w:pPr>
              <w:adjustRightInd w:val="0"/>
              <w:snapToGrid w:val="0"/>
              <w:spacing w:line="360" w:lineRule="auto"/>
              <w:jc w:val="left"/>
              <w:rPr>
                <w:rFonts w:cs="宋体"/>
                <w:highlight w:val="none"/>
              </w:rPr>
            </w:pPr>
            <w:r>
              <w:rPr>
                <w:rFonts w:hint="eastAsia" w:cs="宋体"/>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6" w:type="pct"/>
            <w:vMerge w:val="restart"/>
            <w:noWrap/>
            <w:vAlign w:val="center"/>
          </w:tcPr>
          <w:p>
            <w:pPr>
              <w:adjustRightInd w:val="0"/>
              <w:snapToGrid w:val="0"/>
              <w:spacing w:line="360" w:lineRule="auto"/>
              <w:jc w:val="center"/>
              <w:rPr>
                <w:rFonts w:cs="宋体"/>
                <w:highlight w:val="none"/>
              </w:rPr>
            </w:pPr>
            <w:r>
              <w:rPr>
                <w:rFonts w:hint="eastAsia" w:cs="宋体"/>
                <w:highlight w:val="none"/>
              </w:rPr>
              <w:t>投标报价</w:t>
            </w:r>
          </w:p>
        </w:tc>
        <w:tc>
          <w:tcPr>
            <w:tcW w:w="3373" w:type="pct"/>
            <w:noWrap/>
            <w:vAlign w:val="center"/>
          </w:tcPr>
          <w:p>
            <w:pPr>
              <w:adjustRightInd w:val="0"/>
              <w:snapToGrid w:val="0"/>
              <w:spacing w:line="360" w:lineRule="auto"/>
              <w:jc w:val="left"/>
              <w:rPr>
                <w:rFonts w:cs="宋体"/>
                <w:highlight w:val="none"/>
              </w:rPr>
            </w:pPr>
            <w:r>
              <w:rPr>
                <w:rFonts w:hint="eastAsia" w:cs="宋体"/>
                <w:highlight w:val="none"/>
              </w:rPr>
              <w:t>小写（元/年）：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626" w:type="pct"/>
            <w:vMerge w:val="continue"/>
            <w:noWrap/>
            <w:vAlign w:val="center"/>
          </w:tcPr>
          <w:p>
            <w:pPr>
              <w:adjustRightInd w:val="0"/>
              <w:snapToGrid w:val="0"/>
              <w:spacing w:line="360" w:lineRule="auto"/>
              <w:jc w:val="center"/>
              <w:rPr>
                <w:rFonts w:cs="宋体"/>
                <w:highlight w:val="none"/>
              </w:rPr>
            </w:pPr>
          </w:p>
        </w:tc>
        <w:tc>
          <w:tcPr>
            <w:tcW w:w="3373" w:type="pct"/>
            <w:noWrap/>
            <w:vAlign w:val="center"/>
          </w:tcPr>
          <w:p>
            <w:pPr>
              <w:adjustRightInd w:val="0"/>
              <w:snapToGrid w:val="0"/>
              <w:spacing w:line="360" w:lineRule="auto"/>
              <w:jc w:val="left"/>
              <w:rPr>
                <w:rFonts w:cs="宋体"/>
                <w:highlight w:val="none"/>
              </w:rPr>
            </w:pPr>
            <w:r>
              <w:rPr>
                <w:rFonts w:hint="eastAsia" w:cs="宋体"/>
                <w:highlight w:val="none"/>
              </w:rPr>
              <w:t>大写（元/年）：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626" w:type="pct"/>
            <w:noWrap/>
            <w:vAlign w:val="center"/>
          </w:tcPr>
          <w:p>
            <w:pPr>
              <w:adjustRightInd w:val="0"/>
              <w:snapToGrid w:val="0"/>
              <w:spacing w:line="360" w:lineRule="auto"/>
              <w:jc w:val="center"/>
              <w:rPr>
                <w:rFonts w:cs="宋体"/>
                <w:highlight w:val="none"/>
              </w:rPr>
            </w:pPr>
            <w:r>
              <w:rPr>
                <w:rFonts w:hint="eastAsia" w:cs="宋体"/>
                <w:highlight w:val="none"/>
              </w:rPr>
              <w:t>项目负责人</w:t>
            </w:r>
          </w:p>
        </w:tc>
        <w:tc>
          <w:tcPr>
            <w:tcW w:w="3373" w:type="pct"/>
            <w:noWrap/>
            <w:vAlign w:val="center"/>
          </w:tcPr>
          <w:p>
            <w:pPr>
              <w:adjustRightInd w:val="0"/>
              <w:snapToGrid w:val="0"/>
              <w:spacing w:line="360" w:lineRule="auto"/>
              <w:jc w:val="left"/>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6" w:type="pct"/>
            <w:noWrap/>
            <w:vAlign w:val="center"/>
          </w:tcPr>
          <w:p>
            <w:pPr>
              <w:autoSpaceDE w:val="0"/>
              <w:autoSpaceDN w:val="0"/>
              <w:adjustRightInd w:val="0"/>
              <w:spacing w:line="360" w:lineRule="auto"/>
              <w:jc w:val="center"/>
              <w:rPr>
                <w:rFonts w:cs="宋体"/>
                <w:szCs w:val="22"/>
                <w:highlight w:val="none"/>
              </w:rPr>
            </w:pPr>
            <w:r>
              <w:rPr>
                <w:rFonts w:hint="eastAsia" w:cs="宋体"/>
                <w:b/>
                <w:bCs/>
                <w:color w:val="0000FF"/>
                <w:highlight w:val="none"/>
              </w:rPr>
              <w:t>小微企业声明</w:t>
            </w:r>
          </w:p>
        </w:tc>
        <w:tc>
          <w:tcPr>
            <w:tcW w:w="3373" w:type="pct"/>
            <w:noWrap/>
            <w:vAlign w:val="center"/>
          </w:tcPr>
          <w:p>
            <w:pPr>
              <w:spacing w:line="360" w:lineRule="auto"/>
              <w:jc w:val="center"/>
              <w:rPr>
                <w:rFonts w:cs="宋体"/>
                <w:szCs w:val="22"/>
                <w:highlight w:val="none"/>
              </w:rPr>
            </w:pPr>
            <w:r>
              <w:rPr>
                <w:rFonts w:hint="eastAsia" w:cs="宋体"/>
                <w:color w:val="0000FF"/>
                <w:highlight w:val="none"/>
              </w:rPr>
              <w:t>本公司为______（请填写：小型、微型）企业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6" w:type="pct"/>
            <w:noWrap/>
            <w:vAlign w:val="center"/>
          </w:tcPr>
          <w:p>
            <w:pPr>
              <w:adjustRightInd w:val="0"/>
              <w:snapToGrid w:val="0"/>
              <w:spacing w:line="360" w:lineRule="auto"/>
              <w:jc w:val="center"/>
              <w:rPr>
                <w:rFonts w:cs="宋体"/>
                <w:highlight w:val="none"/>
              </w:rPr>
            </w:pPr>
            <w:r>
              <w:rPr>
                <w:rFonts w:hint="eastAsia" w:cs="宋体"/>
                <w:highlight w:val="none"/>
              </w:rPr>
              <w:t>备注</w:t>
            </w:r>
          </w:p>
        </w:tc>
        <w:tc>
          <w:tcPr>
            <w:tcW w:w="3373" w:type="pct"/>
            <w:noWrap/>
            <w:vAlign w:val="center"/>
          </w:tcPr>
          <w:p>
            <w:pPr>
              <w:adjustRightInd w:val="0"/>
              <w:snapToGrid w:val="0"/>
              <w:spacing w:line="360" w:lineRule="auto"/>
              <w:jc w:val="left"/>
              <w:rPr>
                <w:rFonts w:cs="宋体"/>
                <w:highlight w:val="none"/>
              </w:rPr>
            </w:pPr>
          </w:p>
        </w:tc>
      </w:tr>
    </w:tbl>
    <w:p>
      <w:pPr>
        <w:adjustRightInd w:val="0"/>
        <w:snapToGrid w:val="0"/>
        <w:spacing w:line="540" w:lineRule="exact"/>
        <w:rPr>
          <w:rFonts w:cs="宋体"/>
          <w:highlight w:val="none"/>
        </w:rPr>
      </w:pPr>
      <w:r>
        <w:rPr>
          <w:rFonts w:hint="eastAsia" w:cs="宋体"/>
          <w:highlight w:val="none"/>
        </w:rPr>
        <w:t>说明：</w:t>
      </w:r>
    </w:p>
    <w:p>
      <w:pPr>
        <w:adjustRightInd w:val="0"/>
        <w:snapToGrid w:val="0"/>
        <w:spacing w:line="360" w:lineRule="auto"/>
        <w:jc w:val="left"/>
        <w:rPr>
          <w:rFonts w:cs="宋体"/>
          <w:highlight w:val="none"/>
        </w:rPr>
      </w:pPr>
      <w:r>
        <w:rPr>
          <w:rFonts w:hint="eastAsia" w:cs="宋体"/>
          <w:highlight w:val="none"/>
        </w:rPr>
        <w:t>（1）此表除保留在投标文件中外，另附</w:t>
      </w:r>
      <w:r>
        <w:rPr>
          <w:rFonts w:hint="eastAsia" w:cs="宋体"/>
          <w:b/>
          <w:highlight w:val="none"/>
        </w:rPr>
        <w:t>两份</w:t>
      </w:r>
      <w:r>
        <w:rPr>
          <w:rFonts w:hint="eastAsia" w:cs="宋体"/>
          <w:highlight w:val="none"/>
        </w:rPr>
        <w:t>与</w:t>
      </w:r>
      <w:r>
        <w:rPr>
          <w:rFonts w:hint="eastAsia" w:cs="宋体"/>
          <w:color w:val="FF0000"/>
          <w:highlight w:val="none"/>
        </w:rPr>
        <w:t>优惠声明（如果有）</w:t>
      </w:r>
      <w:r>
        <w:rPr>
          <w:rFonts w:hint="eastAsia" w:cs="宋体"/>
          <w:highlight w:val="none"/>
        </w:rPr>
        <w:t>一起封装在一个小信封中，作为开标之用。信封上应作如下标记 “（项目名称）开标一览表、采购人名称、供应商名称、在年月日时分前不得开启”。信封骑缝处加盖单位公章，法定代表人或授权委托人印鉴。</w:t>
      </w:r>
    </w:p>
    <w:p>
      <w:pPr>
        <w:adjustRightInd w:val="0"/>
        <w:snapToGrid w:val="0"/>
        <w:spacing w:line="360" w:lineRule="auto"/>
        <w:jc w:val="left"/>
        <w:rPr>
          <w:rFonts w:cs="宋体"/>
          <w:highlight w:val="none"/>
        </w:rPr>
      </w:pPr>
      <w:r>
        <w:rPr>
          <w:rFonts w:hint="eastAsia" w:cs="宋体"/>
          <w:highlight w:val="none"/>
        </w:rPr>
        <w:t>（2）如果以文字表示的数值与以数字表示的数值不一致，以文字为准修正数字。</w:t>
      </w:r>
    </w:p>
    <w:p>
      <w:pPr>
        <w:adjustRightInd w:val="0"/>
        <w:snapToGrid w:val="0"/>
        <w:spacing w:line="360" w:lineRule="auto"/>
        <w:jc w:val="left"/>
        <w:rPr>
          <w:rFonts w:cs="宋体"/>
          <w:highlight w:val="none"/>
        </w:rPr>
      </w:pPr>
      <w:r>
        <w:rPr>
          <w:rFonts w:hint="eastAsia" w:cs="宋体"/>
          <w:highlight w:val="none"/>
        </w:rPr>
        <w:t>（3）投标总报价用</w:t>
      </w:r>
      <w:r>
        <w:rPr>
          <w:rFonts w:hint="eastAsia" w:cs="宋体"/>
          <w:b/>
          <w:bCs/>
          <w:highlight w:val="none"/>
        </w:rPr>
        <w:t>人民币表示</w:t>
      </w:r>
      <w:r>
        <w:rPr>
          <w:rFonts w:hint="eastAsia" w:cs="宋体"/>
          <w:highlight w:val="none"/>
        </w:rPr>
        <w:t>，单位为“元”。</w:t>
      </w:r>
    </w:p>
    <w:p>
      <w:pPr>
        <w:spacing w:line="360" w:lineRule="auto"/>
        <w:rPr>
          <w:rFonts w:cs="宋体"/>
          <w:spacing w:val="-8"/>
          <w:highlight w:val="none"/>
        </w:rPr>
      </w:pPr>
      <w:r>
        <w:rPr>
          <w:rFonts w:hint="eastAsia" w:cs="宋体"/>
          <w:spacing w:val="-8"/>
          <w:highlight w:val="none"/>
        </w:rPr>
        <w:t>（4）如符合政府采购相关政策，请按照投标文件的格式提供相关证明材料；</w:t>
      </w:r>
    </w:p>
    <w:p>
      <w:pPr>
        <w:adjustRightInd w:val="0"/>
        <w:snapToGrid w:val="0"/>
        <w:spacing w:line="360" w:lineRule="auto"/>
        <w:rPr>
          <w:rFonts w:cs="宋体"/>
          <w:kern w:val="0"/>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adjustRightInd w:val="0"/>
        <w:snapToGrid w:val="0"/>
        <w:ind w:firstLine="562" w:firstLineChars="200"/>
        <w:jc w:val="center"/>
        <w:outlineLvl w:val="0"/>
        <w:rPr>
          <w:rFonts w:cs="宋体"/>
          <w:b/>
          <w:sz w:val="28"/>
          <w:szCs w:val="28"/>
          <w:highlight w:val="none"/>
        </w:rPr>
        <w:sectPr>
          <w:headerReference r:id="rId12" w:type="default"/>
          <w:footerReference r:id="rId13" w:type="default"/>
          <w:pgSz w:w="11906" w:h="16838"/>
          <w:pgMar w:top="1247" w:right="1247" w:bottom="1247" w:left="1247" w:header="850" w:footer="850" w:gutter="0"/>
          <w:cols w:space="425" w:num="1"/>
          <w:docGrid w:type="lines" w:linePitch="312" w:charSpace="0"/>
        </w:sectPr>
      </w:pPr>
      <w:bookmarkStart w:id="147" w:name="_Toc6799"/>
      <w:bookmarkStart w:id="148" w:name="_Toc438"/>
      <w:bookmarkStart w:id="149" w:name="_Toc8370"/>
      <w:bookmarkStart w:id="150" w:name="_Toc21828"/>
      <w:bookmarkStart w:id="151" w:name="_Toc25853"/>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t>三、投标分项报价明细表</w:t>
      </w:r>
      <w:bookmarkEnd w:id="147"/>
      <w:bookmarkEnd w:id="148"/>
      <w:bookmarkEnd w:id="149"/>
      <w:bookmarkEnd w:id="150"/>
      <w:bookmarkEnd w:id="151"/>
    </w:p>
    <w:tbl>
      <w:tblPr>
        <w:tblStyle w:val="35"/>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729"/>
        <w:gridCol w:w="1630"/>
        <w:gridCol w:w="1665"/>
        <w:gridCol w:w="1618"/>
        <w:gridCol w:w="1485"/>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highlight w:val="none"/>
              </w:rPr>
            </w:pPr>
            <w:r>
              <w:rPr>
                <w:rFonts w:hint="eastAsia" w:cs="宋体"/>
                <w:b/>
                <w:bCs/>
                <w:highlight w:val="none"/>
              </w:rPr>
              <w:t>序号</w:t>
            </w:r>
          </w:p>
        </w:tc>
        <w:tc>
          <w:tcPr>
            <w:tcW w:w="1729" w:type="dxa"/>
            <w:tcBorders>
              <w:top w:val="single" w:color="auto" w:sz="4" w:space="0"/>
              <w:left w:val="single" w:color="auto" w:sz="4" w:space="0"/>
              <w:right w:val="single" w:color="auto" w:sz="4" w:space="0"/>
            </w:tcBorders>
            <w:vAlign w:val="center"/>
          </w:tcPr>
          <w:p>
            <w:pPr>
              <w:spacing w:line="360" w:lineRule="auto"/>
              <w:jc w:val="center"/>
              <w:rPr>
                <w:rFonts w:cs="宋体"/>
                <w:b/>
                <w:bCs/>
                <w:highlight w:val="none"/>
              </w:rPr>
            </w:pPr>
            <w:r>
              <w:rPr>
                <w:rFonts w:hint="eastAsia" w:cs="宋体"/>
                <w:b/>
                <w:bCs/>
                <w:highlight w:val="none"/>
              </w:rPr>
              <w:t>项目名称</w:t>
            </w:r>
          </w:p>
        </w:tc>
        <w:tc>
          <w:tcPr>
            <w:tcW w:w="1630" w:type="dxa"/>
            <w:tcBorders>
              <w:left w:val="single" w:color="auto" w:sz="4" w:space="0"/>
            </w:tcBorders>
            <w:vAlign w:val="center"/>
          </w:tcPr>
          <w:p>
            <w:pPr>
              <w:spacing w:line="360" w:lineRule="auto"/>
              <w:jc w:val="center"/>
              <w:rPr>
                <w:rFonts w:cs="宋体"/>
                <w:b/>
                <w:bCs/>
                <w:highlight w:val="none"/>
              </w:rPr>
            </w:pPr>
            <w:r>
              <w:rPr>
                <w:rFonts w:hint="eastAsia" w:cs="宋体"/>
                <w:b/>
                <w:bCs/>
                <w:highlight w:val="none"/>
              </w:rPr>
              <w:t>服务内容描述</w:t>
            </w:r>
          </w:p>
        </w:tc>
        <w:tc>
          <w:tcPr>
            <w:tcW w:w="1665" w:type="dxa"/>
            <w:vAlign w:val="center"/>
          </w:tcPr>
          <w:p>
            <w:pPr>
              <w:spacing w:before="76" w:line="295" w:lineRule="auto"/>
              <w:ind w:right="262" w:firstLine="249" w:firstLineChars="100"/>
              <w:jc w:val="center"/>
              <w:rPr>
                <w:rFonts w:cs="宋体"/>
                <w:b/>
                <w:bCs/>
                <w:spacing w:val="4"/>
                <w:highlight w:val="none"/>
              </w:rPr>
            </w:pPr>
            <w:r>
              <w:rPr>
                <w:rFonts w:hint="eastAsia" w:cs="宋体"/>
                <w:b/>
                <w:bCs/>
                <w:spacing w:val="4"/>
                <w:highlight w:val="none"/>
              </w:rPr>
              <w:t>工作量</w:t>
            </w:r>
          </w:p>
          <w:p>
            <w:pPr>
              <w:spacing w:line="360" w:lineRule="auto"/>
              <w:jc w:val="center"/>
              <w:rPr>
                <w:rFonts w:cs="宋体"/>
                <w:b/>
                <w:bCs/>
                <w:highlight w:val="none"/>
              </w:rPr>
            </w:pPr>
            <w:r>
              <w:rPr>
                <w:rFonts w:hint="eastAsia" w:cs="宋体"/>
                <w:b/>
                <w:bCs/>
                <w:highlight w:val="none"/>
              </w:rPr>
              <w:t>（人/月）</w:t>
            </w:r>
          </w:p>
        </w:tc>
        <w:tc>
          <w:tcPr>
            <w:tcW w:w="1618" w:type="dxa"/>
            <w:vAlign w:val="center"/>
          </w:tcPr>
          <w:p>
            <w:pPr>
              <w:spacing w:before="77" w:line="226" w:lineRule="auto"/>
              <w:jc w:val="center"/>
              <w:rPr>
                <w:rFonts w:cs="宋体"/>
                <w:b/>
                <w:bCs/>
                <w:highlight w:val="none"/>
                <w:lang w:eastAsia="en-US"/>
              </w:rPr>
            </w:pPr>
            <w:r>
              <w:rPr>
                <w:rFonts w:hint="eastAsia" w:cs="宋体"/>
                <w:b/>
                <w:bCs/>
                <w:spacing w:val="3"/>
                <w:highlight w:val="none"/>
                <w:lang w:eastAsia="en-US"/>
              </w:rPr>
              <w:t>单价</w:t>
            </w:r>
          </w:p>
          <w:p>
            <w:pPr>
              <w:spacing w:line="360" w:lineRule="auto"/>
              <w:jc w:val="center"/>
              <w:rPr>
                <w:rFonts w:cs="宋体"/>
                <w:b/>
                <w:bCs/>
                <w:highlight w:val="none"/>
              </w:rPr>
            </w:pPr>
            <w:r>
              <w:rPr>
                <w:rFonts w:hint="eastAsia" w:cs="宋体"/>
                <w:b/>
                <w:bCs/>
                <w:spacing w:val="2"/>
                <w:highlight w:val="none"/>
              </w:rPr>
              <w:t>（元/人/月）</w:t>
            </w:r>
          </w:p>
        </w:tc>
        <w:tc>
          <w:tcPr>
            <w:tcW w:w="1485" w:type="dxa"/>
            <w:vAlign w:val="center"/>
          </w:tcPr>
          <w:p>
            <w:pPr>
              <w:spacing w:before="76" w:line="295" w:lineRule="auto"/>
              <w:ind w:left="196" w:right="194" w:firstLine="101"/>
              <w:jc w:val="center"/>
              <w:rPr>
                <w:rFonts w:cs="宋体"/>
                <w:b/>
                <w:bCs/>
                <w:spacing w:val="3"/>
                <w:highlight w:val="none"/>
              </w:rPr>
            </w:pPr>
            <w:r>
              <w:rPr>
                <w:rFonts w:hint="eastAsia" w:cs="宋体"/>
                <w:b/>
                <w:bCs/>
                <w:spacing w:val="3"/>
                <w:highlight w:val="none"/>
              </w:rPr>
              <w:t>小计</w:t>
            </w:r>
          </w:p>
          <w:p>
            <w:pPr>
              <w:spacing w:line="360" w:lineRule="auto"/>
              <w:jc w:val="center"/>
              <w:rPr>
                <w:rFonts w:cs="宋体"/>
                <w:b/>
                <w:bCs/>
                <w:sz w:val="21"/>
                <w:highlight w:val="none"/>
              </w:rPr>
            </w:pPr>
            <w:r>
              <w:rPr>
                <w:rFonts w:hint="eastAsia" w:cs="宋体"/>
                <w:b/>
                <w:bCs/>
                <w:spacing w:val="3"/>
                <w:highlight w:val="none"/>
              </w:rPr>
              <w:t>（元）</w:t>
            </w:r>
          </w:p>
        </w:tc>
        <w:tc>
          <w:tcPr>
            <w:tcW w:w="800" w:type="dxa"/>
            <w:vAlign w:val="center"/>
          </w:tcPr>
          <w:p>
            <w:pPr>
              <w:spacing w:line="360" w:lineRule="auto"/>
              <w:jc w:val="center"/>
              <w:rPr>
                <w:rFonts w:cs="宋体"/>
                <w:b/>
                <w:bCs/>
                <w:sz w:val="21"/>
                <w:highlight w:val="none"/>
              </w:rPr>
            </w:pPr>
            <w:r>
              <w:rPr>
                <w:rFonts w:hint="eastAsia" w:cs="宋体"/>
                <w:b/>
                <w:bCs/>
                <w:spacing w:val="2"/>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highlight w:val="none"/>
              </w:rPr>
            </w:pPr>
            <w:r>
              <w:rPr>
                <w:rFonts w:hint="eastAsia" w:cs="宋体"/>
                <w:highlight w:val="none"/>
              </w:rPr>
              <w:t>1</w:t>
            </w:r>
          </w:p>
        </w:tc>
        <w:tc>
          <w:tcPr>
            <w:tcW w:w="1729" w:type="dxa"/>
            <w:vMerge w:val="restart"/>
            <w:tcBorders>
              <w:top w:val="single" w:color="auto" w:sz="4" w:space="0"/>
              <w:left w:val="single" w:color="auto" w:sz="4" w:space="0"/>
              <w:right w:val="single" w:color="auto" w:sz="4" w:space="0"/>
            </w:tcBorders>
            <w:vAlign w:val="center"/>
          </w:tcPr>
          <w:p>
            <w:pPr>
              <w:spacing w:line="360" w:lineRule="auto"/>
              <w:jc w:val="center"/>
              <w:rPr>
                <w:rFonts w:cs="宋体"/>
                <w:highlight w:val="none"/>
              </w:rPr>
            </w:pPr>
            <w:r>
              <w:rPr>
                <w:rFonts w:hint="eastAsia" w:cs="宋体"/>
                <w:highlight w:val="none"/>
              </w:rPr>
              <w:t>国家税务总局十堰市税务局2025年度食堂餐饮服务项目</w:t>
            </w:r>
          </w:p>
        </w:tc>
        <w:tc>
          <w:tcPr>
            <w:tcW w:w="1630" w:type="dxa"/>
            <w:tcBorders>
              <w:left w:val="single" w:color="auto" w:sz="4" w:space="0"/>
            </w:tcBorders>
            <w:vAlign w:val="center"/>
          </w:tcPr>
          <w:p>
            <w:pPr>
              <w:spacing w:line="360" w:lineRule="auto"/>
              <w:jc w:val="center"/>
              <w:rPr>
                <w:rFonts w:cs="宋体"/>
                <w:highlight w:val="none"/>
              </w:rPr>
            </w:pPr>
            <w:r>
              <w:rPr>
                <w:rFonts w:hint="eastAsia" w:cs="宋体"/>
                <w:highlight w:val="none"/>
              </w:rPr>
              <w:t>红案一级</w:t>
            </w:r>
          </w:p>
        </w:tc>
        <w:tc>
          <w:tcPr>
            <w:tcW w:w="1665" w:type="dxa"/>
            <w:vAlign w:val="center"/>
          </w:tcPr>
          <w:p>
            <w:pPr>
              <w:spacing w:line="360" w:lineRule="auto"/>
              <w:jc w:val="center"/>
              <w:rPr>
                <w:rFonts w:cs="宋体"/>
                <w:highlight w:val="none"/>
              </w:rPr>
            </w:pPr>
            <w:r>
              <w:rPr>
                <w:rFonts w:hint="eastAsia" w:cs="宋体"/>
                <w:highlight w:val="none"/>
              </w:rPr>
              <w:t>6</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highlight w:val="none"/>
              </w:rPr>
            </w:pPr>
            <w:r>
              <w:rPr>
                <w:rFonts w:hint="eastAsia" w:cs="宋体"/>
                <w:highlight w:val="none"/>
              </w:rPr>
              <w:t>2</w:t>
            </w:r>
          </w:p>
        </w:tc>
        <w:tc>
          <w:tcPr>
            <w:tcW w:w="1729" w:type="dxa"/>
            <w:vMerge w:val="continue"/>
            <w:tcBorders>
              <w:left w:val="single" w:color="auto" w:sz="4" w:space="0"/>
              <w:right w:val="single" w:color="auto" w:sz="4" w:space="0"/>
            </w:tcBorders>
            <w:vAlign w:val="center"/>
          </w:tcPr>
          <w:p>
            <w:pPr>
              <w:spacing w:line="360" w:lineRule="auto"/>
              <w:jc w:val="center"/>
              <w:rPr>
                <w:rFonts w:cs="宋体"/>
                <w:highlight w:val="none"/>
              </w:rPr>
            </w:pPr>
          </w:p>
        </w:tc>
        <w:tc>
          <w:tcPr>
            <w:tcW w:w="1630" w:type="dxa"/>
            <w:tcBorders>
              <w:left w:val="single" w:color="auto" w:sz="4" w:space="0"/>
            </w:tcBorders>
            <w:vAlign w:val="center"/>
          </w:tcPr>
          <w:p>
            <w:pPr>
              <w:spacing w:line="360" w:lineRule="auto"/>
              <w:jc w:val="center"/>
              <w:rPr>
                <w:rFonts w:cs="宋体"/>
                <w:highlight w:val="none"/>
              </w:rPr>
            </w:pPr>
            <w:r>
              <w:rPr>
                <w:rFonts w:hint="eastAsia" w:cs="宋体"/>
                <w:highlight w:val="none"/>
              </w:rPr>
              <w:t>红案二级</w:t>
            </w:r>
          </w:p>
        </w:tc>
        <w:tc>
          <w:tcPr>
            <w:tcW w:w="1665" w:type="dxa"/>
            <w:vAlign w:val="center"/>
          </w:tcPr>
          <w:p>
            <w:pPr>
              <w:spacing w:line="360" w:lineRule="auto"/>
              <w:jc w:val="center"/>
              <w:rPr>
                <w:rFonts w:cs="宋体"/>
                <w:highlight w:val="none"/>
              </w:rPr>
            </w:pPr>
            <w:r>
              <w:rPr>
                <w:rFonts w:hint="eastAsia" w:cs="宋体"/>
                <w:highlight w:val="none"/>
              </w:rPr>
              <w:t>2</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highlight w:val="none"/>
              </w:rPr>
            </w:pPr>
            <w:r>
              <w:rPr>
                <w:rFonts w:hint="eastAsia" w:cs="宋体"/>
                <w:highlight w:val="none"/>
              </w:rPr>
              <w:t>3</w:t>
            </w:r>
          </w:p>
        </w:tc>
        <w:tc>
          <w:tcPr>
            <w:tcW w:w="1729" w:type="dxa"/>
            <w:vMerge w:val="continue"/>
            <w:tcBorders>
              <w:left w:val="single" w:color="auto" w:sz="4" w:space="0"/>
              <w:right w:val="single" w:color="auto" w:sz="4" w:space="0"/>
            </w:tcBorders>
            <w:vAlign w:val="center"/>
          </w:tcPr>
          <w:p>
            <w:pPr>
              <w:spacing w:line="360" w:lineRule="auto"/>
              <w:jc w:val="center"/>
              <w:rPr>
                <w:rFonts w:cs="宋体"/>
                <w:highlight w:val="none"/>
              </w:rPr>
            </w:pPr>
          </w:p>
        </w:tc>
        <w:tc>
          <w:tcPr>
            <w:tcW w:w="1630" w:type="dxa"/>
            <w:tcBorders>
              <w:left w:val="single" w:color="auto" w:sz="4" w:space="0"/>
            </w:tcBorders>
            <w:vAlign w:val="center"/>
          </w:tcPr>
          <w:p>
            <w:pPr>
              <w:spacing w:line="360" w:lineRule="auto"/>
              <w:jc w:val="center"/>
              <w:rPr>
                <w:rFonts w:cs="宋体"/>
                <w:highlight w:val="none"/>
              </w:rPr>
            </w:pPr>
            <w:r>
              <w:rPr>
                <w:rFonts w:hint="eastAsia" w:cs="宋体"/>
                <w:highlight w:val="none"/>
              </w:rPr>
              <w:t>白案一级</w:t>
            </w:r>
          </w:p>
        </w:tc>
        <w:tc>
          <w:tcPr>
            <w:tcW w:w="1665" w:type="dxa"/>
            <w:vAlign w:val="center"/>
          </w:tcPr>
          <w:p>
            <w:pPr>
              <w:spacing w:line="360" w:lineRule="auto"/>
              <w:jc w:val="center"/>
              <w:rPr>
                <w:rFonts w:cs="宋体"/>
                <w:highlight w:val="none"/>
              </w:rPr>
            </w:pPr>
            <w:r>
              <w:rPr>
                <w:rFonts w:hint="eastAsia" w:cs="宋体"/>
                <w:highlight w:val="none"/>
              </w:rPr>
              <w:t>6</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49" w:type="dxa"/>
            <w:tcBorders>
              <w:top w:val="single" w:color="auto" w:sz="4" w:space="0"/>
            </w:tcBorders>
            <w:vAlign w:val="center"/>
          </w:tcPr>
          <w:p>
            <w:pPr>
              <w:spacing w:line="360" w:lineRule="auto"/>
              <w:jc w:val="center"/>
              <w:rPr>
                <w:rFonts w:cs="宋体"/>
                <w:highlight w:val="none"/>
              </w:rPr>
            </w:pPr>
            <w:r>
              <w:rPr>
                <w:rFonts w:hint="eastAsia" w:cs="宋体"/>
                <w:highlight w:val="none"/>
              </w:rPr>
              <w:t>4</w:t>
            </w:r>
          </w:p>
        </w:tc>
        <w:tc>
          <w:tcPr>
            <w:tcW w:w="1729" w:type="dxa"/>
            <w:vMerge w:val="continue"/>
            <w:tcBorders>
              <w:left w:val="single" w:color="auto" w:sz="4" w:space="0"/>
              <w:right w:val="single" w:color="auto" w:sz="4" w:space="0"/>
            </w:tcBorders>
            <w:vAlign w:val="center"/>
          </w:tcPr>
          <w:p>
            <w:pPr>
              <w:spacing w:line="360" w:lineRule="auto"/>
              <w:jc w:val="center"/>
              <w:rPr>
                <w:rFonts w:cs="宋体"/>
                <w:highlight w:val="none"/>
              </w:rPr>
            </w:pPr>
          </w:p>
        </w:tc>
        <w:tc>
          <w:tcPr>
            <w:tcW w:w="1630" w:type="dxa"/>
            <w:vAlign w:val="center"/>
          </w:tcPr>
          <w:p>
            <w:pPr>
              <w:spacing w:line="360" w:lineRule="auto"/>
              <w:jc w:val="center"/>
              <w:rPr>
                <w:rFonts w:cs="宋体"/>
                <w:highlight w:val="none"/>
              </w:rPr>
            </w:pPr>
            <w:r>
              <w:rPr>
                <w:rFonts w:hint="eastAsia" w:cs="宋体"/>
                <w:highlight w:val="none"/>
              </w:rPr>
              <w:t>白案二级</w:t>
            </w:r>
          </w:p>
        </w:tc>
        <w:tc>
          <w:tcPr>
            <w:tcW w:w="1665" w:type="dxa"/>
            <w:vAlign w:val="center"/>
          </w:tcPr>
          <w:p>
            <w:pPr>
              <w:spacing w:line="360" w:lineRule="auto"/>
              <w:jc w:val="center"/>
              <w:rPr>
                <w:rFonts w:cs="宋体"/>
                <w:highlight w:val="none"/>
              </w:rPr>
            </w:pPr>
            <w:r>
              <w:rPr>
                <w:rFonts w:hint="eastAsia" w:cs="宋体"/>
                <w:highlight w:val="none"/>
              </w:rPr>
              <w:t>2</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49" w:type="dxa"/>
            <w:vAlign w:val="center"/>
          </w:tcPr>
          <w:p>
            <w:pPr>
              <w:spacing w:line="360" w:lineRule="auto"/>
              <w:jc w:val="center"/>
              <w:rPr>
                <w:rFonts w:cs="宋体"/>
                <w:highlight w:val="none"/>
              </w:rPr>
            </w:pPr>
            <w:r>
              <w:rPr>
                <w:rFonts w:hint="eastAsia" w:cs="宋体"/>
                <w:highlight w:val="none"/>
              </w:rPr>
              <w:t>5</w:t>
            </w:r>
          </w:p>
        </w:tc>
        <w:tc>
          <w:tcPr>
            <w:tcW w:w="1729" w:type="dxa"/>
            <w:vMerge w:val="continue"/>
            <w:tcBorders>
              <w:left w:val="single" w:color="auto" w:sz="4" w:space="0"/>
              <w:right w:val="single" w:color="auto" w:sz="4" w:space="0"/>
            </w:tcBorders>
            <w:vAlign w:val="center"/>
          </w:tcPr>
          <w:p>
            <w:pPr>
              <w:spacing w:line="360" w:lineRule="auto"/>
              <w:jc w:val="center"/>
              <w:rPr>
                <w:rFonts w:cs="宋体"/>
                <w:highlight w:val="none"/>
              </w:rPr>
            </w:pPr>
          </w:p>
        </w:tc>
        <w:tc>
          <w:tcPr>
            <w:tcW w:w="1630" w:type="dxa"/>
            <w:vAlign w:val="center"/>
          </w:tcPr>
          <w:p>
            <w:pPr>
              <w:spacing w:line="360" w:lineRule="auto"/>
              <w:jc w:val="center"/>
              <w:rPr>
                <w:rFonts w:cs="宋体"/>
                <w:highlight w:val="none"/>
              </w:rPr>
            </w:pPr>
            <w:r>
              <w:rPr>
                <w:rFonts w:hint="eastAsia" w:cs="宋体"/>
                <w:highlight w:val="none"/>
              </w:rPr>
              <w:t>服务员</w:t>
            </w:r>
          </w:p>
        </w:tc>
        <w:tc>
          <w:tcPr>
            <w:tcW w:w="1665" w:type="dxa"/>
            <w:vAlign w:val="center"/>
          </w:tcPr>
          <w:p>
            <w:pPr>
              <w:spacing w:line="360" w:lineRule="auto"/>
              <w:jc w:val="center"/>
              <w:rPr>
                <w:rFonts w:cs="宋体"/>
                <w:highlight w:val="none"/>
              </w:rPr>
            </w:pPr>
            <w:r>
              <w:rPr>
                <w:rFonts w:hint="eastAsia" w:cs="宋体"/>
                <w:highlight w:val="none"/>
              </w:rPr>
              <w:t>10</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49" w:type="dxa"/>
            <w:vAlign w:val="center"/>
          </w:tcPr>
          <w:p>
            <w:pPr>
              <w:spacing w:line="360" w:lineRule="auto"/>
              <w:jc w:val="center"/>
              <w:rPr>
                <w:rFonts w:cs="宋体"/>
                <w:highlight w:val="none"/>
              </w:rPr>
            </w:pPr>
            <w:r>
              <w:rPr>
                <w:rFonts w:hint="eastAsia" w:cs="宋体"/>
                <w:highlight w:val="none"/>
              </w:rPr>
              <w:t>6</w:t>
            </w:r>
          </w:p>
        </w:tc>
        <w:tc>
          <w:tcPr>
            <w:tcW w:w="1729" w:type="dxa"/>
            <w:vMerge w:val="continue"/>
            <w:tcBorders>
              <w:left w:val="single" w:color="auto" w:sz="4" w:space="0"/>
              <w:right w:val="single" w:color="auto" w:sz="4" w:space="0"/>
            </w:tcBorders>
            <w:vAlign w:val="center"/>
          </w:tcPr>
          <w:p>
            <w:pPr>
              <w:spacing w:line="360" w:lineRule="auto"/>
              <w:jc w:val="center"/>
              <w:rPr>
                <w:rFonts w:cs="宋体"/>
                <w:highlight w:val="none"/>
              </w:rPr>
            </w:pPr>
          </w:p>
        </w:tc>
        <w:tc>
          <w:tcPr>
            <w:tcW w:w="1630" w:type="dxa"/>
            <w:vAlign w:val="center"/>
          </w:tcPr>
          <w:p>
            <w:pPr>
              <w:spacing w:line="360" w:lineRule="auto"/>
              <w:jc w:val="center"/>
              <w:rPr>
                <w:rFonts w:cs="宋体"/>
                <w:highlight w:val="none"/>
              </w:rPr>
            </w:pPr>
            <w:r>
              <w:rPr>
                <w:rFonts w:hint="eastAsia" w:cs="宋体"/>
                <w:highlight w:val="none"/>
              </w:rPr>
              <w:t>择洗</w:t>
            </w:r>
          </w:p>
        </w:tc>
        <w:tc>
          <w:tcPr>
            <w:tcW w:w="1665" w:type="dxa"/>
            <w:vAlign w:val="center"/>
          </w:tcPr>
          <w:p>
            <w:pPr>
              <w:spacing w:line="360" w:lineRule="auto"/>
              <w:jc w:val="center"/>
              <w:rPr>
                <w:rFonts w:cs="宋体"/>
                <w:highlight w:val="none"/>
              </w:rPr>
            </w:pPr>
            <w:r>
              <w:rPr>
                <w:rFonts w:hint="eastAsia" w:cs="宋体"/>
                <w:highlight w:val="none"/>
              </w:rPr>
              <w:t>8</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008" w:type="dxa"/>
            <w:gridSpan w:val="3"/>
            <w:vAlign w:val="center"/>
          </w:tcPr>
          <w:p>
            <w:pPr>
              <w:spacing w:line="360" w:lineRule="auto"/>
              <w:jc w:val="center"/>
              <w:rPr>
                <w:rFonts w:cs="宋体"/>
                <w:highlight w:val="none"/>
              </w:rPr>
            </w:pPr>
            <w:r>
              <w:rPr>
                <w:rFonts w:hint="eastAsia" w:cs="宋体"/>
                <w:spacing w:val="4"/>
                <w:highlight w:val="none"/>
              </w:rPr>
              <w:t>合计</w:t>
            </w:r>
          </w:p>
        </w:tc>
        <w:tc>
          <w:tcPr>
            <w:tcW w:w="1665" w:type="dxa"/>
            <w:vAlign w:val="center"/>
          </w:tcPr>
          <w:p>
            <w:pPr>
              <w:spacing w:line="360" w:lineRule="auto"/>
              <w:jc w:val="center"/>
              <w:rPr>
                <w:rFonts w:cs="宋体"/>
                <w:highlight w:val="none"/>
              </w:rPr>
            </w:pPr>
            <w:r>
              <w:rPr>
                <w:rFonts w:hint="eastAsia" w:cs="宋体"/>
                <w:highlight w:val="none"/>
              </w:rPr>
              <w:t>34</w:t>
            </w:r>
          </w:p>
        </w:tc>
        <w:tc>
          <w:tcPr>
            <w:tcW w:w="1618" w:type="dxa"/>
            <w:vAlign w:val="center"/>
          </w:tcPr>
          <w:p>
            <w:pPr>
              <w:spacing w:line="360" w:lineRule="auto"/>
              <w:jc w:val="center"/>
              <w:rPr>
                <w:rFonts w:cs="宋体"/>
                <w:highlight w:val="none"/>
              </w:rPr>
            </w:pPr>
          </w:p>
        </w:tc>
        <w:tc>
          <w:tcPr>
            <w:tcW w:w="1485" w:type="dxa"/>
            <w:vAlign w:val="center"/>
          </w:tcPr>
          <w:p>
            <w:pPr>
              <w:spacing w:line="360" w:lineRule="auto"/>
              <w:jc w:val="center"/>
              <w:rPr>
                <w:rFonts w:cs="宋体"/>
                <w:sz w:val="21"/>
                <w:highlight w:val="none"/>
              </w:rPr>
            </w:pPr>
          </w:p>
        </w:tc>
        <w:tc>
          <w:tcPr>
            <w:tcW w:w="800" w:type="dxa"/>
            <w:vAlign w:val="center"/>
          </w:tcPr>
          <w:p>
            <w:pPr>
              <w:spacing w:line="360" w:lineRule="auto"/>
              <w:jc w:val="center"/>
              <w:rPr>
                <w:rFonts w:cs="宋体"/>
                <w:sz w:val="21"/>
                <w:highlight w:val="none"/>
              </w:rPr>
            </w:pPr>
          </w:p>
        </w:tc>
      </w:tr>
    </w:tbl>
    <w:p>
      <w:pPr>
        <w:spacing w:line="360" w:lineRule="auto"/>
        <w:rPr>
          <w:rFonts w:cs="宋体"/>
          <w:highlight w:val="none"/>
        </w:rPr>
      </w:pPr>
    </w:p>
    <w:p>
      <w:pPr>
        <w:adjustRightInd w:val="0"/>
        <w:snapToGrid w:val="0"/>
        <w:spacing w:line="440" w:lineRule="exact"/>
        <w:rPr>
          <w:rFonts w:cs="宋体"/>
          <w:highlight w:val="none"/>
        </w:rPr>
      </w:pPr>
      <w:r>
        <w:rPr>
          <w:rFonts w:hint="eastAsia" w:cs="宋体"/>
          <w:highlight w:val="none"/>
        </w:rPr>
        <w:t>说明：</w:t>
      </w:r>
    </w:p>
    <w:p>
      <w:pPr>
        <w:spacing w:line="360" w:lineRule="auto"/>
        <w:ind w:left="1049" w:hanging="1048" w:hangingChars="437"/>
        <w:jc w:val="left"/>
        <w:rPr>
          <w:rFonts w:cs="宋体"/>
          <w:highlight w:val="none"/>
        </w:rPr>
      </w:pPr>
      <w:r>
        <w:rPr>
          <w:rFonts w:hint="eastAsia" w:cs="宋体"/>
          <w:highlight w:val="none"/>
        </w:rPr>
        <w:t>1．此表中内容可由各供应商根据岗位设置、投标方案情况自行填写、调整或扩充。</w:t>
      </w:r>
    </w:p>
    <w:p>
      <w:pPr>
        <w:spacing w:line="360" w:lineRule="auto"/>
        <w:jc w:val="left"/>
        <w:rPr>
          <w:rFonts w:cs="宋体"/>
          <w:highlight w:val="none"/>
        </w:rPr>
      </w:pPr>
      <w:r>
        <w:rPr>
          <w:rFonts w:hint="eastAsia" w:cs="宋体"/>
          <w:highlight w:val="none"/>
        </w:rPr>
        <w:t>2.所有价格均用人民币表示，单位为元。</w:t>
      </w:r>
    </w:p>
    <w:p>
      <w:pPr>
        <w:spacing w:line="360" w:lineRule="auto"/>
        <w:jc w:val="left"/>
        <w:rPr>
          <w:rFonts w:cs="宋体"/>
          <w:highlight w:val="none"/>
        </w:rPr>
      </w:pPr>
      <w:r>
        <w:rPr>
          <w:rFonts w:hint="eastAsia" w:cs="宋体"/>
          <w:highlight w:val="none"/>
        </w:rPr>
        <w:t>3.全年费用合计应与“开标一览表”中的“年度报价”一致。</w:t>
      </w:r>
    </w:p>
    <w:p>
      <w:pPr>
        <w:spacing w:line="360" w:lineRule="auto"/>
        <w:jc w:val="left"/>
        <w:rPr>
          <w:rFonts w:cs="宋体"/>
          <w:highlight w:val="none"/>
        </w:rPr>
      </w:pPr>
      <w:r>
        <w:rPr>
          <w:rFonts w:hint="eastAsia" w:cs="宋体"/>
          <w:spacing w:val="7"/>
          <w:sz w:val="20"/>
          <w:szCs w:val="20"/>
          <w:highlight w:val="none"/>
        </w:rPr>
        <w:t>★</w:t>
      </w:r>
      <w:r>
        <w:rPr>
          <w:rFonts w:hint="eastAsia" w:cs="宋体"/>
          <w:highlight w:val="none"/>
        </w:rPr>
        <w:t>4.分项报价包括：人工费（含员工工资、社保、工会基金、住房公积金等费用及各项补助、节日福利、管理佣金、税费等）。</w:t>
      </w:r>
    </w:p>
    <w:p>
      <w:pPr>
        <w:pBdr>
          <w:top w:val="none" w:color="auto" w:sz="0" w:space="1"/>
          <w:left w:val="none" w:color="auto" w:sz="0" w:space="4"/>
          <w:bottom w:val="none" w:color="auto" w:sz="0" w:space="1"/>
          <w:right w:val="none" w:color="auto" w:sz="0" w:space="4"/>
        </w:pBdr>
        <w:adjustRightInd w:val="0"/>
        <w:snapToGrid w:val="0"/>
        <w:spacing w:line="440" w:lineRule="exact"/>
        <w:rPr>
          <w:rFonts w:cs="宋体"/>
          <w:highlight w:val="none"/>
        </w:rPr>
      </w:pPr>
    </w:p>
    <w:p>
      <w:pPr>
        <w:pBdr>
          <w:top w:val="none" w:color="auto" w:sz="0" w:space="1"/>
          <w:left w:val="none" w:color="auto" w:sz="0" w:space="4"/>
          <w:bottom w:val="none" w:color="auto" w:sz="0" w:space="1"/>
          <w:right w:val="none" w:color="auto" w:sz="0" w:space="4"/>
        </w:pBdr>
        <w:spacing w:line="360" w:lineRule="auto"/>
        <w:rPr>
          <w:rFonts w:cs="宋体"/>
          <w:szCs w:val="22"/>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spacing w:line="360" w:lineRule="auto"/>
        <w:rPr>
          <w:rFonts w:cs="宋体"/>
          <w:highlight w:val="none"/>
        </w:rPr>
      </w:pPr>
    </w:p>
    <w:p>
      <w:pPr>
        <w:jc w:val="center"/>
        <w:outlineLvl w:val="0"/>
        <w:rPr>
          <w:rFonts w:cs="宋体"/>
          <w:b/>
          <w:highlight w:val="none"/>
        </w:rPr>
        <w:sectPr>
          <w:pgSz w:w="11906" w:h="16838"/>
          <w:pgMar w:top="1247" w:right="1247" w:bottom="1247" w:left="1247" w:header="850" w:footer="850" w:gutter="0"/>
          <w:cols w:space="425" w:num="1"/>
          <w:docGrid w:type="lines" w:linePitch="312" w:charSpace="0"/>
        </w:sectPr>
      </w:pPr>
      <w:r>
        <w:rPr>
          <w:rFonts w:hint="eastAsia" w:cs="宋体"/>
          <w:b/>
          <w:highlight w:val="none"/>
        </w:rPr>
        <w:br w:type="page"/>
      </w:r>
      <w:bookmarkStart w:id="152" w:name="_Toc18561"/>
      <w:bookmarkStart w:id="153" w:name="_Toc20829"/>
      <w:bookmarkStart w:id="154" w:name="_Toc8663"/>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t>四、投标承诺书</w:t>
      </w:r>
      <w:bookmarkEnd w:id="152"/>
      <w:bookmarkEnd w:id="153"/>
      <w:bookmarkEnd w:id="154"/>
    </w:p>
    <w:p>
      <w:pPr>
        <w:snapToGrid w:val="0"/>
        <w:spacing w:line="360" w:lineRule="auto"/>
        <w:ind w:firstLine="480" w:firstLineChars="200"/>
        <w:jc w:val="left"/>
        <w:rPr>
          <w:rFonts w:cs="宋体"/>
          <w:kern w:val="0"/>
          <w:highlight w:val="none"/>
        </w:rPr>
      </w:pPr>
    </w:p>
    <w:p>
      <w:pPr>
        <w:snapToGrid w:val="0"/>
        <w:spacing w:line="360" w:lineRule="auto"/>
        <w:jc w:val="left"/>
        <w:rPr>
          <w:rFonts w:cs="宋体"/>
          <w:kern w:val="0"/>
          <w:highlight w:val="none"/>
        </w:rPr>
      </w:pPr>
      <w:r>
        <w:rPr>
          <w:rFonts w:hint="eastAsia" w:cs="宋体"/>
          <w:kern w:val="0"/>
          <w:highlight w:val="none"/>
          <w:u w:val="single"/>
        </w:rPr>
        <w:t xml:space="preserve">（采购人）       </w:t>
      </w:r>
      <w:r>
        <w:rPr>
          <w:rFonts w:hint="eastAsia" w:cs="宋体"/>
          <w:kern w:val="0"/>
          <w:highlight w:val="none"/>
        </w:rPr>
        <w:t>、湖北普华工程咨询有限公司：</w:t>
      </w:r>
    </w:p>
    <w:p>
      <w:pPr>
        <w:snapToGrid w:val="0"/>
        <w:spacing w:line="360" w:lineRule="auto"/>
        <w:ind w:firstLine="480" w:firstLineChars="200"/>
        <w:jc w:val="left"/>
        <w:rPr>
          <w:rFonts w:cs="宋体"/>
          <w:kern w:val="0"/>
          <w:highlight w:val="none"/>
        </w:rPr>
      </w:pPr>
      <w:r>
        <w:rPr>
          <w:rFonts w:hint="eastAsia" w:cs="宋体"/>
          <w:kern w:val="0"/>
          <w:highlight w:val="none"/>
        </w:rPr>
        <w:t>为了充分体现公开、公平、公正、诚信原则，共同维护招投标市场秩序，本单位在参与</w:t>
      </w:r>
      <w:r>
        <w:rPr>
          <w:rFonts w:hint="eastAsia" w:cs="宋体"/>
          <w:kern w:val="0"/>
          <w:highlight w:val="none"/>
          <w:u w:val="single"/>
        </w:rPr>
        <w:t xml:space="preserve"> 项目</w:t>
      </w:r>
      <w:r>
        <w:rPr>
          <w:rFonts w:hint="eastAsia" w:cs="宋体"/>
          <w:kern w:val="0"/>
          <w:highlight w:val="none"/>
        </w:rPr>
        <w:t>过程中特作以下承诺：</w:t>
      </w:r>
    </w:p>
    <w:p>
      <w:pPr>
        <w:snapToGrid w:val="0"/>
        <w:spacing w:line="360" w:lineRule="auto"/>
        <w:ind w:firstLine="480" w:firstLineChars="200"/>
        <w:jc w:val="left"/>
        <w:rPr>
          <w:rFonts w:cs="宋体"/>
          <w:kern w:val="0"/>
          <w:highlight w:val="none"/>
        </w:rPr>
      </w:pPr>
      <w:r>
        <w:rPr>
          <w:rFonts w:hint="eastAsia" w:cs="宋体"/>
          <w:kern w:val="0"/>
          <w:highlight w:val="none"/>
        </w:rPr>
        <w:t>（一）承诺履行(招标文件或资格预审文件)要求的责任和义务，承诺遵守法律法规，承诺真实投标，承诺不围标串标，承诺不弄虚作假、造假用假。</w:t>
      </w:r>
    </w:p>
    <w:p>
      <w:pPr>
        <w:snapToGrid w:val="0"/>
        <w:spacing w:line="360" w:lineRule="auto"/>
        <w:ind w:firstLine="480" w:firstLineChars="200"/>
        <w:jc w:val="left"/>
        <w:rPr>
          <w:rFonts w:cs="宋体"/>
          <w:kern w:val="0"/>
          <w:highlight w:val="none"/>
        </w:rPr>
      </w:pPr>
      <w:r>
        <w:rPr>
          <w:rFonts w:hint="eastAsia" w:cs="宋体"/>
          <w:kern w:val="0"/>
          <w:highlight w:val="none"/>
        </w:rPr>
        <w:t>（二）我公司提交的</w:t>
      </w:r>
      <w:r>
        <w:rPr>
          <w:rFonts w:hint="eastAsia" w:cs="宋体"/>
          <w:kern w:val="0"/>
          <w:highlight w:val="none"/>
          <w:u w:val="single"/>
        </w:rPr>
        <w:t>(企业营业执照、企业资质证书、许可证等资格证明文件)</w:t>
      </w:r>
      <w:r>
        <w:rPr>
          <w:rFonts w:hint="eastAsia" w:cs="宋体"/>
          <w:kern w:val="0"/>
          <w:highlight w:val="none"/>
        </w:rPr>
        <w:t>承诺真实、有效。</w:t>
      </w:r>
    </w:p>
    <w:p>
      <w:pPr>
        <w:snapToGrid w:val="0"/>
        <w:spacing w:line="360" w:lineRule="auto"/>
        <w:ind w:firstLine="480" w:firstLineChars="200"/>
        <w:jc w:val="left"/>
        <w:rPr>
          <w:rFonts w:cs="宋体"/>
          <w:kern w:val="0"/>
          <w:highlight w:val="none"/>
        </w:rPr>
      </w:pPr>
      <w:r>
        <w:rPr>
          <w:rFonts w:hint="eastAsia" w:cs="宋体"/>
          <w:kern w:val="0"/>
          <w:highlight w:val="none"/>
        </w:rPr>
        <w:t>（三）我公司拟派团队人员的</w:t>
      </w:r>
      <w:r>
        <w:rPr>
          <w:rFonts w:hint="eastAsia" w:cs="宋体"/>
          <w:kern w:val="0"/>
          <w:highlight w:val="none"/>
          <w:u w:val="single"/>
        </w:rPr>
        <w:t>(居民身份证)</w:t>
      </w:r>
      <w:r>
        <w:rPr>
          <w:rFonts w:hint="eastAsia" w:cs="宋体"/>
          <w:kern w:val="0"/>
          <w:highlight w:val="none"/>
        </w:rPr>
        <w:t>、</w:t>
      </w:r>
      <w:r>
        <w:rPr>
          <w:rFonts w:hint="eastAsia" w:cs="宋体"/>
          <w:kern w:val="0"/>
          <w:highlight w:val="none"/>
          <w:u w:val="single"/>
        </w:rPr>
        <w:t>(执业资格证等)</w:t>
      </w:r>
      <w:r>
        <w:rPr>
          <w:rFonts w:hint="eastAsia" w:cs="宋体"/>
          <w:kern w:val="0"/>
          <w:highlight w:val="none"/>
        </w:rPr>
        <w:t>承诺真实、有效。承诺上述人员参加社会保险真实、有效。</w:t>
      </w:r>
    </w:p>
    <w:p>
      <w:pPr>
        <w:snapToGrid w:val="0"/>
        <w:spacing w:line="360" w:lineRule="auto"/>
        <w:ind w:firstLine="480" w:firstLineChars="200"/>
        <w:jc w:val="left"/>
        <w:rPr>
          <w:rFonts w:cs="宋体"/>
          <w:kern w:val="0"/>
          <w:highlight w:val="none"/>
        </w:rPr>
      </w:pPr>
      <w:r>
        <w:rPr>
          <w:rFonts w:hint="eastAsia" w:cs="宋体"/>
          <w:kern w:val="0"/>
          <w:highlight w:val="none"/>
        </w:rPr>
        <w:t>（四）不相互串通陪标、投标，不排挤其他竞争对手，损害采购人或其他供应商的利益。</w:t>
      </w:r>
    </w:p>
    <w:p>
      <w:pPr>
        <w:snapToGrid w:val="0"/>
        <w:spacing w:line="360" w:lineRule="auto"/>
        <w:ind w:firstLine="480" w:firstLineChars="200"/>
        <w:jc w:val="left"/>
        <w:rPr>
          <w:rFonts w:cs="宋体"/>
          <w:kern w:val="0"/>
          <w:highlight w:val="none"/>
        </w:rPr>
      </w:pPr>
      <w:r>
        <w:rPr>
          <w:rFonts w:hint="eastAsia" w:cs="宋体"/>
          <w:kern w:val="0"/>
          <w:highlight w:val="none"/>
        </w:rPr>
        <w:t>（五）不以任何形式和手段打听搜集评标情况，干扰评标工作、干扰采购人做出正确判断。</w:t>
      </w:r>
    </w:p>
    <w:p>
      <w:pPr>
        <w:snapToGrid w:val="0"/>
        <w:spacing w:line="360" w:lineRule="auto"/>
        <w:ind w:firstLine="480" w:firstLineChars="200"/>
        <w:jc w:val="left"/>
        <w:rPr>
          <w:rFonts w:cs="宋体"/>
          <w:kern w:val="0"/>
          <w:highlight w:val="none"/>
        </w:rPr>
      </w:pPr>
      <w:r>
        <w:rPr>
          <w:rFonts w:hint="eastAsia" w:cs="宋体"/>
          <w:kern w:val="0"/>
          <w:highlight w:val="none"/>
        </w:rPr>
        <w:t>（六）不以低于成本价报价竞标，不以弄虚作假等其他方式骗取中标，不以向采购人或者评标人员请客、送礼、行贿等不正当手段谋取中标。</w:t>
      </w:r>
    </w:p>
    <w:p>
      <w:pPr>
        <w:snapToGrid w:val="0"/>
        <w:spacing w:line="360" w:lineRule="auto"/>
        <w:ind w:firstLine="480" w:firstLineChars="200"/>
        <w:jc w:val="left"/>
        <w:rPr>
          <w:rFonts w:cs="宋体"/>
          <w:kern w:val="0"/>
          <w:highlight w:val="none"/>
        </w:rPr>
      </w:pPr>
      <w:r>
        <w:rPr>
          <w:rFonts w:hint="eastAsia" w:cs="宋体"/>
          <w:kern w:val="0"/>
          <w:highlight w:val="none"/>
        </w:rPr>
        <w:t>（七）我公司中标后，承诺履行(合同)的要求，承诺(拟派团队人员)在(该项目)完成前不参加其他项目投标活动。</w:t>
      </w:r>
    </w:p>
    <w:p>
      <w:pPr>
        <w:snapToGrid w:val="0"/>
        <w:spacing w:line="360" w:lineRule="auto"/>
        <w:ind w:firstLine="480" w:firstLineChars="200"/>
        <w:jc w:val="left"/>
        <w:rPr>
          <w:rFonts w:cs="宋体"/>
          <w:kern w:val="0"/>
          <w:highlight w:val="none"/>
        </w:rPr>
      </w:pPr>
      <w:r>
        <w:rPr>
          <w:rFonts w:hint="eastAsia" w:cs="宋体"/>
          <w:kern w:val="0"/>
          <w:highlight w:val="none"/>
        </w:rPr>
        <w:t>（八）如违反上述有关规定，采购人有权取消我司参与投标的资格，并将行为予以记录。对给采购人或其他人造成损失的，依法承担赔偿责任。对触犯刑律者，移交司法部门依法追究刑事责任。</w:t>
      </w:r>
    </w:p>
    <w:p>
      <w:pPr>
        <w:snapToGrid w:val="0"/>
        <w:spacing w:line="360" w:lineRule="auto"/>
        <w:ind w:firstLine="480" w:firstLineChars="200"/>
        <w:jc w:val="left"/>
        <w:rPr>
          <w:rFonts w:cs="宋体"/>
          <w:kern w:val="0"/>
          <w:highlight w:val="none"/>
        </w:rPr>
      </w:pPr>
      <w:r>
        <w:rPr>
          <w:rFonts w:hint="eastAsia" w:cs="宋体"/>
          <w:kern w:val="0"/>
          <w:highlight w:val="none"/>
        </w:rPr>
        <w:t>承诺期限至</w:t>
      </w:r>
      <w:r>
        <w:rPr>
          <w:rFonts w:hint="eastAsia" w:cs="宋体"/>
          <w:kern w:val="0"/>
          <w:highlight w:val="none"/>
          <w:u w:val="single"/>
        </w:rPr>
        <w:t xml:space="preserve">  (该项目)   </w:t>
      </w:r>
      <w:r>
        <w:rPr>
          <w:rFonts w:hint="eastAsia" w:cs="宋体"/>
          <w:kern w:val="0"/>
          <w:highlight w:val="none"/>
        </w:rPr>
        <w:t>服务期结束。</w:t>
      </w:r>
    </w:p>
    <w:p>
      <w:pPr>
        <w:snapToGrid w:val="0"/>
        <w:spacing w:line="360" w:lineRule="auto"/>
        <w:ind w:firstLine="480" w:firstLineChars="200"/>
        <w:jc w:val="left"/>
        <w:rPr>
          <w:rFonts w:cs="宋体"/>
          <w:kern w:val="0"/>
          <w:highlight w:val="none"/>
        </w:rPr>
      </w:pPr>
    </w:p>
    <w:p>
      <w:pPr>
        <w:adjustRightInd w:val="0"/>
        <w:snapToGrid w:val="0"/>
        <w:spacing w:line="360" w:lineRule="auto"/>
        <w:rPr>
          <w:rFonts w:cs="宋体"/>
          <w:kern w:val="0"/>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napToGrid w:val="0"/>
        <w:spacing w:line="360" w:lineRule="auto"/>
        <w:rPr>
          <w:rFonts w:cs="宋体"/>
          <w:b/>
          <w:bCs/>
          <w:highlight w:val="none"/>
        </w:rPr>
      </w:pPr>
      <w:r>
        <w:rPr>
          <w:rFonts w:hint="eastAsia" w:cs="宋体"/>
          <w:highlight w:val="none"/>
        </w:rPr>
        <w:t>日期：年月</w:t>
      </w:r>
      <w:r>
        <w:rPr>
          <w:rFonts w:hint="eastAsia" w:cs="宋体"/>
          <w:kern w:val="0"/>
          <w:highlight w:val="none"/>
        </w:rPr>
        <w:t>日</w:t>
      </w:r>
    </w:p>
    <w:p>
      <w:pPr>
        <w:spacing w:line="360" w:lineRule="auto"/>
        <w:rPr>
          <w:rFonts w:cs="宋体"/>
          <w:sz w:val="21"/>
          <w:szCs w:val="21"/>
          <w:highlight w:val="none"/>
        </w:rPr>
      </w:pPr>
    </w:p>
    <w:bookmarkEnd w:id="140"/>
    <w:p>
      <w:pPr>
        <w:adjustRightInd w:val="0"/>
        <w:snapToGrid w:val="0"/>
        <w:spacing w:line="480" w:lineRule="auto"/>
        <w:jc w:val="center"/>
        <w:outlineLvl w:val="0"/>
        <w:rPr>
          <w:rFonts w:cs="宋体"/>
          <w:b/>
          <w:sz w:val="28"/>
          <w:szCs w:val="28"/>
          <w:highlight w:val="none"/>
        </w:rPr>
        <w:sectPr>
          <w:pgSz w:w="11906" w:h="16838"/>
          <w:pgMar w:top="1247" w:right="1247" w:bottom="1247" w:left="1247" w:header="850" w:footer="850" w:gutter="0"/>
          <w:cols w:space="425" w:num="1"/>
          <w:docGrid w:type="lines" w:linePitch="312" w:charSpace="0"/>
        </w:sectPr>
      </w:pPr>
      <w:bookmarkStart w:id="155" w:name="_Toc17678"/>
      <w:bookmarkStart w:id="156" w:name="_Toc25617"/>
      <w:bookmarkStart w:id="157" w:name="_Toc13316"/>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t>五、法定代表人身份证明</w:t>
      </w:r>
      <w:bookmarkEnd w:id="155"/>
      <w:bookmarkEnd w:id="156"/>
      <w:bookmarkEnd w:id="157"/>
    </w:p>
    <w:p>
      <w:pPr>
        <w:adjustRightInd w:val="0"/>
        <w:snapToGrid w:val="0"/>
        <w:spacing w:line="480" w:lineRule="auto"/>
        <w:rPr>
          <w:rFonts w:cs="宋体"/>
          <w:highlight w:val="none"/>
        </w:rPr>
      </w:pPr>
      <w:r>
        <w:rPr>
          <w:rFonts w:hint="eastAsia" w:cs="宋体"/>
          <w:highlight w:val="none"/>
        </w:rPr>
        <w:t>投 标 人：</w:t>
      </w:r>
    </w:p>
    <w:p>
      <w:pPr>
        <w:adjustRightInd w:val="0"/>
        <w:snapToGrid w:val="0"/>
        <w:spacing w:line="480" w:lineRule="auto"/>
        <w:rPr>
          <w:rFonts w:cs="宋体"/>
          <w:highlight w:val="none"/>
        </w:rPr>
      </w:pPr>
      <w:r>
        <w:rPr>
          <w:rFonts w:hint="eastAsia" w:cs="宋体"/>
          <w:highlight w:val="none"/>
        </w:rPr>
        <w:t>单位性质：</w:t>
      </w:r>
    </w:p>
    <w:p>
      <w:pPr>
        <w:adjustRightInd w:val="0"/>
        <w:snapToGrid w:val="0"/>
        <w:spacing w:line="480" w:lineRule="auto"/>
        <w:rPr>
          <w:rFonts w:cs="宋体"/>
          <w:highlight w:val="none"/>
        </w:rPr>
      </w:pPr>
      <w:r>
        <w:rPr>
          <w:rFonts w:hint="eastAsia" w:cs="宋体"/>
          <w:highlight w:val="none"/>
        </w:rPr>
        <w:t>地    址：</w:t>
      </w:r>
    </w:p>
    <w:p>
      <w:pPr>
        <w:adjustRightInd w:val="0"/>
        <w:snapToGrid w:val="0"/>
        <w:spacing w:line="480" w:lineRule="auto"/>
        <w:rPr>
          <w:rFonts w:cs="宋体"/>
          <w:highlight w:val="none"/>
        </w:rPr>
      </w:pPr>
      <w:r>
        <w:rPr>
          <w:rFonts w:hint="eastAsia" w:cs="宋体"/>
          <w:highlight w:val="none"/>
        </w:rPr>
        <w:t>成立时间：年月日</w:t>
      </w:r>
    </w:p>
    <w:p>
      <w:pPr>
        <w:adjustRightInd w:val="0"/>
        <w:snapToGrid w:val="0"/>
        <w:spacing w:line="480" w:lineRule="auto"/>
        <w:rPr>
          <w:rFonts w:cs="宋体"/>
          <w:highlight w:val="none"/>
        </w:rPr>
      </w:pPr>
      <w:r>
        <w:rPr>
          <w:rFonts w:hint="eastAsia" w:cs="宋体"/>
          <w:highlight w:val="none"/>
        </w:rPr>
        <w:t>经营期限：</w:t>
      </w:r>
    </w:p>
    <w:p>
      <w:pPr>
        <w:adjustRightInd w:val="0"/>
        <w:snapToGrid w:val="0"/>
        <w:spacing w:line="480" w:lineRule="auto"/>
        <w:rPr>
          <w:rFonts w:cs="宋体"/>
          <w:highlight w:val="none"/>
        </w:rPr>
      </w:pPr>
      <w:r>
        <w:rPr>
          <w:rFonts w:hint="eastAsia" w:cs="宋体"/>
          <w:highlight w:val="none"/>
        </w:rPr>
        <w:t>姓名：性别：</w:t>
      </w:r>
    </w:p>
    <w:p>
      <w:pPr>
        <w:adjustRightInd w:val="0"/>
        <w:snapToGrid w:val="0"/>
        <w:spacing w:line="480" w:lineRule="auto"/>
        <w:rPr>
          <w:rFonts w:cs="宋体"/>
          <w:highlight w:val="none"/>
        </w:rPr>
      </w:pPr>
      <w:r>
        <w:rPr>
          <w:rFonts w:hint="eastAsia" w:cs="宋体"/>
          <w:highlight w:val="none"/>
        </w:rPr>
        <w:t>年龄：职务：</w:t>
      </w:r>
    </w:p>
    <w:p>
      <w:pPr>
        <w:adjustRightInd w:val="0"/>
        <w:snapToGrid w:val="0"/>
        <w:spacing w:line="480" w:lineRule="auto"/>
        <w:rPr>
          <w:rFonts w:cs="宋体"/>
          <w:highlight w:val="none"/>
        </w:rPr>
      </w:pPr>
      <w:r>
        <w:rPr>
          <w:rFonts w:hint="eastAsia" w:cs="宋体"/>
          <w:highlight w:val="none"/>
        </w:rPr>
        <w:t>系（供应商名称）的法定代表人。</w:t>
      </w:r>
    </w:p>
    <w:p>
      <w:pPr>
        <w:adjustRightInd w:val="0"/>
        <w:snapToGrid w:val="0"/>
        <w:spacing w:line="480" w:lineRule="auto"/>
        <w:rPr>
          <w:rFonts w:cs="宋体"/>
          <w:highlight w:val="none"/>
        </w:rPr>
      </w:pPr>
      <w:r>
        <w:rPr>
          <w:rFonts w:hint="eastAsia" w:cs="宋体"/>
          <w:highlight w:val="none"/>
        </w:rPr>
        <w:t>特此证明。</w:t>
      </w:r>
    </w:p>
    <w:p>
      <w:pPr>
        <w:adjustRightInd w:val="0"/>
        <w:snapToGrid w:val="0"/>
        <w:spacing w:line="480" w:lineRule="auto"/>
        <w:rPr>
          <w:rFonts w:cs="宋体"/>
          <w:highlight w:val="none"/>
        </w:rPr>
      </w:pPr>
      <w:r>
        <w:rPr>
          <w:rFonts w:hint="eastAsia" w:cs="宋体"/>
          <w:b/>
          <w:highlight w:val="none"/>
        </w:rPr>
        <w:t>备注</w:t>
      </w:r>
      <w:r>
        <w:rPr>
          <w:rFonts w:hint="eastAsia" w:cs="宋体"/>
          <w:highlight w:val="none"/>
        </w:rPr>
        <w:t>：须附法人营业执照副本复印件。</w:t>
      </w:r>
    </w:p>
    <w:p>
      <w:pPr>
        <w:spacing w:line="360" w:lineRule="auto"/>
        <w:rPr>
          <w:rFonts w:cs="宋体"/>
          <w:szCs w:val="21"/>
          <w:highlight w:val="none"/>
        </w:rPr>
      </w:pPr>
    </w:p>
    <w:p>
      <w:pPr>
        <w:spacing w:line="360" w:lineRule="auto"/>
        <w:rPr>
          <w:rFonts w:cs="宋体"/>
          <w:szCs w:val="21"/>
          <w:highlight w:val="none"/>
        </w:rPr>
      </w:pPr>
      <w:r>
        <w:rPr>
          <w:rFonts w:cs="宋体"/>
          <w:szCs w:val="21"/>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20320</wp:posOffset>
                </wp:positionV>
                <wp:extent cx="3667125" cy="1648460"/>
                <wp:effectExtent l="4445" t="4445" r="5080" b="23495"/>
                <wp:wrapNone/>
                <wp:docPr id="6" name="矩形 6"/>
                <wp:cNvGraphicFramePr/>
                <a:graphic xmlns:a="http://schemas.openxmlformats.org/drawingml/2006/main">
                  <a:graphicData uri="http://schemas.microsoft.com/office/word/2010/wordprocessingShape">
                    <wps:wsp>
                      <wps:cNvSpPr/>
                      <wps:spPr>
                        <a:xfrm>
                          <a:off x="0" y="0"/>
                          <a:ext cx="3667125" cy="1648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rPr>
                            </w:pPr>
                            <w:r>
                              <w:rPr>
                                <w:rFonts w:hint="eastAsia" w:ascii="Times New Roman" w:hAnsi="Times New Roman"/>
                              </w:rPr>
                              <w:t>法定代表人身份证复印件</w:t>
                            </w:r>
                          </w:p>
                          <w:p>
                            <w:pPr>
                              <w:spacing w:line="360" w:lineRule="auto"/>
                              <w:jc w:val="center"/>
                              <w:rPr>
                                <w:rFonts w:ascii="Times New Roman" w:hAnsi="Times New Roman"/>
                              </w:rPr>
                            </w:pPr>
                            <w:r>
                              <w:rPr>
                                <w:rFonts w:hint="eastAsia" w:ascii="Times New Roman" w:hAnsi="Times New Roman"/>
                              </w:rPr>
                              <w:t>（二代证  正反面）</w:t>
                            </w:r>
                          </w:p>
                        </w:txbxContent>
                      </wps:txbx>
                      <wps:bodyPr upright="1"/>
                    </wps:wsp>
                  </a:graphicData>
                </a:graphic>
              </wp:anchor>
            </w:drawing>
          </mc:Choice>
          <mc:Fallback>
            <w:pict>
              <v:rect id="_x0000_s1026" o:spid="_x0000_s1026" o:spt="1" style="position:absolute;left:0pt;margin-left:78.75pt;margin-top:1.6pt;height:129.8pt;width:288.75pt;z-index:251661312;mso-width-relative:page;mso-height-relative:page;" fillcolor="#FFFFFF" filled="t" stroked="t" coordsize="21600,21600" o:gfxdata="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WE8F9cAAAAJAQAADwAAAAAAAAABACAAAAAiAAAA&#10;ZHJzL2Rvd25yZXYueG1sUEsBAhQAFAAAAAgAh07iQKmCzvEIAgAAOAQAAA4AAAAAAAAAAQAgAAAA&#10;JgEAAGRycy9lMm9Eb2MueG1sUEsFBgAAAAAGAAYAWQEAAKAFAAAAAA==&#10;">
                <v:fill on="t" focussize="0,0"/>
                <v:stroke color="#000000" joinstyle="miter"/>
                <v:imagedata o:title=""/>
                <o:lock v:ext="edit" aspectratio="f"/>
                <v:textbox>
                  <w:txbxContent>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rPr>
                      </w:pPr>
                      <w:r>
                        <w:rPr>
                          <w:rFonts w:hint="eastAsia" w:ascii="Times New Roman" w:hAnsi="Times New Roman"/>
                        </w:rPr>
                        <w:t>法定代表人身份证复印件</w:t>
                      </w:r>
                    </w:p>
                    <w:p>
                      <w:pPr>
                        <w:spacing w:line="360" w:lineRule="auto"/>
                        <w:jc w:val="center"/>
                        <w:rPr>
                          <w:rFonts w:ascii="Times New Roman" w:hAnsi="Times New Roman"/>
                        </w:rPr>
                      </w:pPr>
                      <w:r>
                        <w:rPr>
                          <w:rFonts w:hint="eastAsia" w:ascii="Times New Roman" w:hAnsi="Times New Roman"/>
                        </w:rPr>
                        <w:t>（二代证  正反面）</w:t>
                      </w:r>
                    </w:p>
                  </w:txbxContent>
                </v:textbox>
              </v:rect>
            </w:pict>
          </mc:Fallback>
        </mc:AlternateContent>
      </w:r>
    </w:p>
    <w:p>
      <w:pPr>
        <w:spacing w:line="360" w:lineRule="auto"/>
        <w:rPr>
          <w:rFonts w:cs="宋体"/>
          <w:szCs w:val="21"/>
          <w:highlight w:val="none"/>
        </w:rPr>
      </w:pPr>
    </w:p>
    <w:p>
      <w:pPr>
        <w:spacing w:line="360" w:lineRule="auto"/>
        <w:rPr>
          <w:rFonts w:cs="宋体"/>
          <w:szCs w:val="21"/>
          <w:highlight w:val="none"/>
        </w:rPr>
      </w:pPr>
    </w:p>
    <w:p>
      <w:pPr>
        <w:spacing w:line="360" w:lineRule="auto"/>
        <w:jc w:val="right"/>
        <w:rPr>
          <w:rFonts w:cs="宋体"/>
          <w:szCs w:val="21"/>
          <w:highlight w:val="none"/>
        </w:rPr>
      </w:pPr>
    </w:p>
    <w:p>
      <w:pPr>
        <w:spacing w:line="360" w:lineRule="auto"/>
        <w:jc w:val="right"/>
        <w:rPr>
          <w:rFonts w:cs="宋体"/>
          <w:szCs w:val="21"/>
          <w:highlight w:val="none"/>
        </w:rPr>
      </w:pPr>
    </w:p>
    <w:p>
      <w:pPr>
        <w:spacing w:line="360" w:lineRule="auto"/>
        <w:jc w:val="right"/>
        <w:rPr>
          <w:rFonts w:cs="宋体"/>
          <w:szCs w:val="21"/>
          <w:highlight w:val="none"/>
        </w:rPr>
      </w:pPr>
    </w:p>
    <w:p>
      <w:pPr>
        <w:spacing w:line="360" w:lineRule="auto"/>
        <w:jc w:val="right"/>
        <w:rPr>
          <w:rFonts w:cs="宋体"/>
          <w:szCs w:val="21"/>
          <w:highlight w:val="none"/>
        </w:rPr>
      </w:pPr>
    </w:p>
    <w:p>
      <w:pPr>
        <w:spacing w:line="360" w:lineRule="auto"/>
        <w:jc w:val="right"/>
        <w:rPr>
          <w:rFonts w:cs="宋体"/>
          <w:szCs w:val="21"/>
          <w:highlight w:val="none"/>
        </w:rPr>
      </w:pPr>
    </w:p>
    <w:p>
      <w:pPr>
        <w:spacing w:line="500" w:lineRule="exact"/>
        <w:rPr>
          <w:rFonts w:cs="宋体"/>
          <w:szCs w:val="21"/>
          <w:highlight w:val="none"/>
        </w:rPr>
      </w:pPr>
    </w:p>
    <w:p>
      <w:pPr>
        <w:adjustRightInd w:val="0"/>
        <w:snapToGrid w:val="0"/>
        <w:spacing w:line="360" w:lineRule="auto"/>
        <w:ind w:firstLine="480" w:firstLineChars="200"/>
        <w:rPr>
          <w:rFonts w:cs="宋体"/>
          <w:highlight w:val="none"/>
          <w:u w:val="single"/>
        </w:rPr>
      </w:pPr>
      <w:r>
        <w:rPr>
          <w:rFonts w:hint="eastAsia" w:cs="宋体"/>
          <w:highlight w:val="none"/>
        </w:rPr>
        <w:t>供应商（盖章）：</w:t>
      </w:r>
    </w:p>
    <w:p>
      <w:pPr>
        <w:adjustRightInd w:val="0"/>
        <w:snapToGrid w:val="0"/>
        <w:spacing w:line="360" w:lineRule="auto"/>
        <w:ind w:firstLine="480" w:firstLineChars="200"/>
        <w:rPr>
          <w:rFonts w:cs="宋体"/>
          <w:highlight w:val="none"/>
        </w:rPr>
      </w:pPr>
    </w:p>
    <w:p>
      <w:pPr>
        <w:adjustRightInd w:val="0"/>
        <w:snapToGrid w:val="0"/>
        <w:spacing w:line="360" w:lineRule="auto"/>
        <w:ind w:firstLine="480" w:firstLineChars="200"/>
        <w:rPr>
          <w:rFonts w:cs="宋体"/>
          <w:highlight w:val="none"/>
        </w:rPr>
      </w:pPr>
      <w:r>
        <w:rPr>
          <w:rFonts w:hint="eastAsia" w:cs="宋体"/>
          <w:highlight w:val="none"/>
        </w:rPr>
        <w:t>日期：年月日</w:t>
      </w:r>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br w:type="page"/>
      </w:r>
      <w:bookmarkStart w:id="158" w:name="_Toc5294"/>
      <w:bookmarkStart w:id="159" w:name="_Toc9124"/>
      <w:bookmarkStart w:id="160" w:name="_Toc9415"/>
      <w:r>
        <w:rPr>
          <w:rFonts w:hint="eastAsia" w:cs="宋体"/>
          <w:b/>
          <w:sz w:val="28"/>
          <w:szCs w:val="28"/>
          <w:highlight w:val="none"/>
        </w:rPr>
        <w:t>六、法定代表人授权委托书</w:t>
      </w:r>
      <w:bookmarkEnd w:id="158"/>
      <w:bookmarkEnd w:id="159"/>
      <w:bookmarkEnd w:id="160"/>
    </w:p>
    <w:p>
      <w:pPr>
        <w:spacing w:line="500" w:lineRule="exact"/>
        <w:ind w:firstLine="480" w:firstLineChars="200"/>
        <w:rPr>
          <w:rFonts w:cs="宋体"/>
          <w:highlight w:val="none"/>
        </w:rPr>
      </w:pPr>
      <w:r>
        <w:rPr>
          <w:rFonts w:hint="eastAsia" w:cs="宋体"/>
          <w:highlight w:val="none"/>
        </w:rPr>
        <w:t>本人（姓名）系（供应商名称）的法定代表人，现委托（姓名）为我方授权代表。代理人根据授权，以我方名义签署、澄清、说明、补正、递交、撤回、修改（项目名称）投标文件、签订合同和处理有关事宜，其法律后果由我方承担。</w:t>
      </w:r>
    </w:p>
    <w:p>
      <w:pPr>
        <w:spacing w:beforeLines="50" w:line="500" w:lineRule="exact"/>
        <w:ind w:firstLine="480" w:firstLineChars="200"/>
        <w:rPr>
          <w:rFonts w:cs="宋体"/>
          <w:highlight w:val="none"/>
        </w:rPr>
      </w:pPr>
      <w:r>
        <w:rPr>
          <w:rFonts w:hint="eastAsia" w:cs="宋体"/>
          <w:highlight w:val="none"/>
        </w:rPr>
        <w:t>委托期限：。</w:t>
      </w:r>
    </w:p>
    <w:p>
      <w:pPr>
        <w:spacing w:beforeLines="100" w:afterLines="100" w:line="500" w:lineRule="exact"/>
        <w:ind w:firstLine="480" w:firstLineChars="200"/>
        <w:rPr>
          <w:rFonts w:cs="宋体"/>
          <w:highlight w:val="none"/>
        </w:rPr>
      </w:pPr>
      <w:r>
        <w:rPr>
          <w:rFonts w:hint="eastAsia" w:cs="宋体"/>
          <w:highlight w:val="none"/>
        </w:rPr>
        <w:t>代理人无转委托权。</w:t>
      </w:r>
    </w:p>
    <w:p>
      <w:pPr>
        <w:spacing w:line="360" w:lineRule="auto"/>
        <w:ind w:firstLine="482" w:firstLineChars="200"/>
        <w:rPr>
          <w:rFonts w:cs="宋体"/>
          <w:highlight w:val="none"/>
        </w:rPr>
      </w:pPr>
      <w:r>
        <w:rPr>
          <w:rFonts w:hint="eastAsia" w:cs="宋体"/>
          <w:b/>
          <w:highlight w:val="none"/>
        </w:rPr>
        <w:t>备注</w:t>
      </w:r>
      <w:r>
        <w:rPr>
          <w:rFonts w:hint="eastAsia" w:cs="宋体"/>
          <w:highlight w:val="none"/>
        </w:rPr>
        <w:t>：须附法定代表人身份证明。</w:t>
      </w:r>
    </w:p>
    <w:p>
      <w:pPr>
        <w:spacing w:line="360" w:lineRule="auto"/>
        <w:ind w:firstLine="480" w:firstLineChars="200"/>
        <w:rPr>
          <w:rFonts w:cs="宋体"/>
          <w:szCs w:val="21"/>
          <w:highlight w:val="none"/>
        </w:rPr>
      </w:pPr>
    </w:p>
    <w:p>
      <w:pPr>
        <w:spacing w:line="360" w:lineRule="auto"/>
        <w:ind w:firstLine="480" w:firstLineChars="200"/>
        <w:rPr>
          <w:rFonts w:cs="宋体"/>
          <w:szCs w:val="21"/>
          <w:highlight w:val="none"/>
        </w:rPr>
      </w:pPr>
      <w:r>
        <w:rPr>
          <w:rFonts w:cs="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153035</wp:posOffset>
                </wp:positionH>
                <wp:positionV relativeFrom="paragraph">
                  <wp:posOffset>120015</wp:posOffset>
                </wp:positionV>
                <wp:extent cx="2703830" cy="1848485"/>
                <wp:effectExtent l="4445" t="4445" r="15875" b="13970"/>
                <wp:wrapNone/>
                <wp:docPr id="4" name="矩形 4"/>
                <wp:cNvGraphicFramePr/>
                <a:graphic xmlns:a="http://schemas.openxmlformats.org/drawingml/2006/main">
                  <a:graphicData uri="http://schemas.microsoft.com/office/word/2010/wordprocessingShape">
                    <wps:wsp>
                      <wps:cNvSpPr/>
                      <wps:spPr>
                        <a:xfrm>
                          <a:off x="0" y="0"/>
                          <a:ext cx="2703830" cy="1848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rPr>
                            </w:pPr>
                            <w:r>
                              <w:rPr>
                                <w:rFonts w:hint="eastAsia" w:ascii="Times New Roman" w:hAnsi="Times New Roman"/>
                              </w:rPr>
                              <w:t>法定代表人身份证复印件</w:t>
                            </w:r>
                          </w:p>
                          <w:p>
                            <w:pPr>
                              <w:spacing w:line="360" w:lineRule="auto"/>
                              <w:ind w:firstLine="720" w:firstLineChars="300"/>
                              <w:rPr>
                                <w:rFonts w:ascii="Times New Roman" w:hAnsi="Times New Roman"/>
                              </w:rPr>
                            </w:pPr>
                            <w:r>
                              <w:rPr>
                                <w:rFonts w:hint="eastAsia" w:ascii="Times New Roman" w:hAnsi="Times New Roman"/>
                              </w:rPr>
                              <w:t>（二代证）（正反面）</w:t>
                            </w:r>
                          </w:p>
                          <w:p>
                            <w:pPr>
                              <w:spacing w:line="360" w:lineRule="auto"/>
                              <w:rPr>
                                <w:rFonts w:ascii="Times New Roman" w:hAnsi="Times New Roman"/>
                              </w:rPr>
                            </w:pPr>
                          </w:p>
                        </w:txbxContent>
                      </wps:txbx>
                      <wps:bodyPr upright="1"/>
                    </wps:wsp>
                  </a:graphicData>
                </a:graphic>
              </wp:anchor>
            </w:drawing>
          </mc:Choice>
          <mc:Fallback>
            <w:pict>
              <v:rect id="_x0000_s1026" o:spid="_x0000_s1026" o:spt="1" style="position:absolute;left:0pt;margin-left:12.05pt;margin-top:9.45pt;height:145.55pt;width:212.9pt;z-index:251662336;mso-width-relative:page;mso-height-relative:page;" fillcolor="#FFFFFF" filled="t" stroked="t" coordsize="21600,21600" o:gfxdata="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eyP/tcAAAAJAQAADwAAAAAAAAABACAAAAAiAAAAZHJz&#10;L2Rvd25yZXYueG1sUEsBAhQAFAAAAAgAh07iQAvaWxMFAgAAOAQAAA4AAAAAAAAAAQAgAAAAJgEA&#10;AGRycy9lMm9Eb2MueG1sUEsFBgAAAAAGAAYAWQEAAJ0FAAAAAA==&#10;">
                <v:fill on="t" focussize="0,0"/>
                <v:stroke color="#000000" joinstyle="miter"/>
                <v:imagedata o:title=""/>
                <o:lock v:ext="edit" aspectratio="f"/>
                <v:textbox>
                  <w:txbxContent>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rPr>
                      </w:pPr>
                      <w:r>
                        <w:rPr>
                          <w:rFonts w:hint="eastAsia" w:ascii="Times New Roman" w:hAnsi="Times New Roman"/>
                        </w:rPr>
                        <w:t>法定代表人身份证复印件</w:t>
                      </w:r>
                    </w:p>
                    <w:p>
                      <w:pPr>
                        <w:spacing w:line="360" w:lineRule="auto"/>
                        <w:ind w:firstLine="720" w:firstLineChars="300"/>
                        <w:rPr>
                          <w:rFonts w:ascii="Times New Roman" w:hAnsi="Times New Roman"/>
                        </w:rPr>
                      </w:pPr>
                      <w:r>
                        <w:rPr>
                          <w:rFonts w:hint="eastAsia" w:ascii="Times New Roman" w:hAnsi="Times New Roman"/>
                        </w:rPr>
                        <w:t>（二代证）（正反面）</w:t>
                      </w:r>
                    </w:p>
                    <w:p>
                      <w:pPr>
                        <w:spacing w:line="360" w:lineRule="auto"/>
                        <w:rPr>
                          <w:rFonts w:ascii="Times New Roman" w:hAnsi="Times New Roman"/>
                        </w:rPr>
                      </w:pPr>
                    </w:p>
                  </w:txbxContent>
                </v:textbox>
              </v:rect>
            </w:pict>
          </mc:Fallback>
        </mc:AlternateContent>
      </w:r>
      <w:r>
        <w:rPr>
          <w:rFonts w:cs="宋体"/>
          <w:szCs w:val="21"/>
          <w:highlight w:val="none"/>
        </w:rPr>
        <mc:AlternateContent>
          <mc:Choice Requires="wps">
            <w:drawing>
              <wp:anchor distT="0" distB="0" distL="114300" distR="114300" simplePos="0" relativeHeight="251663360" behindDoc="0" locked="0" layoutInCell="1" allowOverlap="1">
                <wp:simplePos x="0" y="0"/>
                <wp:positionH relativeFrom="column">
                  <wp:posOffset>3305810</wp:posOffset>
                </wp:positionH>
                <wp:positionV relativeFrom="paragraph">
                  <wp:posOffset>101600</wp:posOffset>
                </wp:positionV>
                <wp:extent cx="2780030" cy="1866265"/>
                <wp:effectExtent l="4445" t="4445" r="15875" b="15240"/>
                <wp:wrapNone/>
                <wp:docPr id="5" name="矩形 5"/>
                <wp:cNvGraphicFramePr/>
                <a:graphic xmlns:a="http://schemas.openxmlformats.org/drawingml/2006/main">
                  <a:graphicData uri="http://schemas.microsoft.com/office/word/2010/wordprocessingShape">
                    <wps:wsp>
                      <wps:cNvSpPr/>
                      <wps:spPr>
                        <a:xfrm>
                          <a:off x="0" y="0"/>
                          <a:ext cx="2780030" cy="1866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rPr>
                            </w:pPr>
                            <w:r>
                              <w:rPr>
                                <w:rFonts w:hint="eastAsia" w:cs="宋体"/>
                              </w:rPr>
                              <w:t>授权委托人</w:t>
                            </w:r>
                            <w:r>
                              <w:rPr>
                                <w:rFonts w:hint="eastAsia" w:ascii="Times New Roman" w:hAnsi="Times New Roman"/>
                              </w:rPr>
                              <w:t>身份证复印件</w:t>
                            </w:r>
                          </w:p>
                          <w:p>
                            <w:pPr>
                              <w:spacing w:line="360" w:lineRule="auto"/>
                              <w:ind w:firstLine="960" w:firstLineChars="400"/>
                              <w:rPr>
                                <w:rFonts w:ascii="Times New Roman" w:hAnsi="Times New Roman"/>
                              </w:rPr>
                            </w:pPr>
                            <w:r>
                              <w:rPr>
                                <w:rFonts w:hint="eastAsia" w:ascii="Times New Roman" w:hAnsi="Times New Roman"/>
                              </w:rPr>
                              <w:t>（二代证）（正反面）</w:t>
                            </w:r>
                          </w:p>
                          <w:p>
                            <w:pPr>
                              <w:spacing w:line="360" w:lineRule="auto"/>
                              <w:rPr>
                                <w:rFonts w:ascii="Times New Roman" w:hAnsi="Times New Roman"/>
                              </w:rPr>
                            </w:pPr>
                          </w:p>
                        </w:txbxContent>
                      </wps:txbx>
                      <wps:bodyPr upright="1"/>
                    </wps:wsp>
                  </a:graphicData>
                </a:graphic>
              </wp:anchor>
            </w:drawing>
          </mc:Choice>
          <mc:Fallback>
            <w:pict>
              <v:rect id="_x0000_s1026" o:spid="_x0000_s1026" o:spt="1" style="position:absolute;left:0pt;margin-left:260.3pt;margin-top:8pt;height:146.95pt;width:218.9pt;z-index:251663360;mso-width-relative:page;mso-height-relative:page;" fillcolor="#FFFFFF" filled="t" stroked="t" coordsize="21600,21600" o:gfxdata="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JkDzDYAAAACgEAAA8AAAAAAAAAAQAgAAAAIgAA&#10;AGRycy9kb3ducmV2LnhtbFBLAQIUABQAAAAIAIdO4kCjTtxWCAIAADgEAAAOAAAAAAAAAAEAIAAA&#10;ACcBAABkcnMvZTJvRG9jLnhtbFBLBQYAAAAABgAGAFkBAAChBQAAAAA=&#10;">
                <v:fill on="t" focussize="0,0"/>
                <v:stroke color="#000000" joinstyle="miter"/>
                <v:imagedata o:title=""/>
                <o:lock v:ext="edit" aspectratio="f"/>
                <v:textbox>
                  <w:txbxContent>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rPr>
                      </w:pPr>
                      <w:r>
                        <w:rPr>
                          <w:rFonts w:hint="eastAsia" w:cs="宋体"/>
                        </w:rPr>
                        <w:t>授权委托人</w:t>
                      </w:r>
                      <w:r>
                        <w:rPr>
                          <w:rFonts w:hint="eastAsia" w:ascii="Times New Roman" w:hAnsi="Times New Roman"/>
                        </w:rPr>
                        <w:t>身份证复印件</w:t>
                      </w:r>
                    </w:p>
                    <w:p>
                      <w:pPr>
                        <w:spacing w:line="360" w:lineRule="auto"/>
                        <w:ind w:firstLine="960" w:firstLineChars="400"/>
                        <w:rPr>
                          <w:rFonts w:ascii="Times New Roman" w:hAnsi="Times New Roman"/>
                        </w:rPr>
                      </w:pPr>
                      <w:r>
                        <w:rPr>
                          <w:rFonts w:hint="eastAsia" w:ascii="Times New Roman" w:hAnsi="Times New Roman"/>
                        </w:rPr>
                        <w:t>（二代证）（正反面）</w:t>
                      </w:r>
                    </w:p>
                    <w:p>
                      <w:pPr>
                        <w:spacing w:line="360" w:lineRule="auto"/>
                        <w:rPr>
                          <w:rFonts w:ascii="Times New Roman" w:hAnsi="Times New Roman"/>
                        </w:rPr>
                      </w:pPr>
                    </w:p>
                  </w:txbxContent>
                </v:textbox>
              </v:rect>
            </w:pict>
          </mc:Fallback>
        </mc:AlternateContent>
      </w:r>
    </w:p>
    <w:p>
      <w:pPr>
        <w:spacing w:line="360" w:lineRule="auto"/>
        <w:ind w:firstLine="480" w:firstLineChars="200"/>
        <w:rPr>
          <w:rFonts w:cs="宋体"/>
          <w:szCs w:val="21"/>
          <w:highlight w:val="none"/>
        </w:rPr>
      </w:pPr>
    </w:p>
    <w:p>
      <w:pPr>
        <w:spacing w:line="360" w:lineRule="auto"/>
        <w:ind w:firstLine="480" w:firstLineChars="200"/>
        <w:rPr>
          <w:rFonts w:cs="宋体"/>
          <w:szCs w:val="21"/>
          <w:highlight w:val="none"/>
        </w:rPr>
      </w:pPr>
    </w:p>
    <w:p>
      <w:pPr>
        <w:tabs>
          <w:tab w:val="left" w:pos="6100"/>
        </w:tabs>
        <w:spacing w:line="360" w:lineRule="auto"/>
        <w:ind w:firstLine="480" w:firstLineChars="200"/>
        <w:rPr>
          <w:rFonts w:cs="宋体"/>
          <w:szCs w:val="21"/>
          <w:highlight w:val="none"/>
        </w:rPr>
      </w:pPr>
      <w:r>
        <w:rPr>
          <w:rFonts w:hint="eastAsia" w:cs="宋体"/>
          <w:szCs w:val="21"/>
          <w:highlight w:val="none"/>
        </w:rPr>
        <w:tab/>
      </w:r>
    </w:p>
    <w:p>
      <w:pPr>
        <w:spacing w:line="360" w:lineRule="auto"/>
        <w:ind w:firstLine="480" w:firstLineChars="200"/>
        <w:rPr>
          <w:rFonts w:cs="宋体"/>
          <w:szCs w:val="21"/>
          <w:highlight w:val="none"/>
        </w:rPr>
      </w:pPr>
    </w:p>
    <w:p>
      <w:pPr>
        <w:spacing w:line="360" w:lineRule="auto"/>
        <w:ind w:firstLine="480" w:firstLineChars="200"/>
        <w:rPr>
          <w:rFonts w:cs="宋体"/>
          <w:szCs w:val="21"/>
          <w:highlight w:val="none"/>
        </w:rPr>
      </w:pPr>
    </w:p>
    <w:p>
      <w:pPr>
        <w:spacing w:line="360" w:lineRule="auto"/>
        <w:ind w:firstLine="480" w:firstLineChars="200"/>
        <w:rPr>
          <w:rFonts w:cs="宋体"/>
          <w:szCs w:val="21"/>
          <w:highlight w:val="none"/>
        </w:rPr>
      </w:pPr>
    </w:p>
    <w:p>
      <w:pPr>
        <w:spacing w:line="360" w:lineRule="auto"/>
        <w:ind w:firstLine="480" w:firstLineChars="200"/>
        <w:rPr>
          <w:rFonts w:cs="宋体"/>
          <w:szCs w:val="21"/>
          <w:highlight w:val="none"/>
        </w:rPr>
      </w:pPr>
    </w:p>
    <w:p>
      <w:pPr>
        <w:adjustRightInd w:val="0"/>
        <w:snapToGrid w:val="0"/>
        <w:spacing w:line="360" w:lineRule="auto"/>
        <w:ind w:firstLine="480" w:firstLineChars="200"/>
        <w:rPr>
          <w:rFonts w:cs="宋体"/>
          <w:highlight w:val="none"/>
        </w:rPr>
      </w:pPr>
    </w:p>
    <w:p>
      <w:pPr>
        <w:adjustRightInd w:val="0"/>
        <w:snapToGrid w:val="0"/>
        <w:spacing w:line="360" w:lineRule="auto"/>
        <w:ind w:firstLine="480" w:firstLineChars="200"/>
        <w:rPr>
          <w:rFonts w:cs="宋体"/>
          <w:highlight w:val="none"/>
        </w:rPr>
      </w:pPr>
    </w:p>
    <w:p>
      <w:pPr>
        <w:adjustRightInd w:val="0"/>
        <w:snapToGrid w:val="0"/>
        <w:spacing w:line="480" w:lineRule="auto"/>
        <w:ind w:firstLine="480" w:firstLineChars="200"/>
        <w:rPr>
          <w:rFonts w:cs="宋体"/>
          <w:highlight w:val="none"/>
          <w:u w:val="single"/>
        </w:rPr>
      </w:pPr>
      <w:r>
        <w:rPr>
          <w:rFonts w:hint="eastAsia" w:cs="宋体"/>
          <w:highlight w:val="none"/>
        </w:rPr>
        <w:t>供应商（盖章）：</w:t>
      </w:r>
    </w:p>
    <w:p>
      <w:pPr>
        <w:adjustRightInd w:val="0"/>
        <w:snapToGrid w:val="0"/>
        <w:spacing w:line="480" w:lineRule="auto"/>
        <w:ind w:firstLine="480" w:firstLineChars="200"/>
        <w:rPr>
          <w:rFonts w:cs="宋体"/>
          <w:highlight w:val="none"/>
          <w:u w:val="single"/>
        </w:rPr>
      </w:pPr>
      <w:r>
        <w:rPr>
          <w:rFonts w:hint="eastAsia" w:cs="宋体"/>
          <w:highlight w:val="none"/>
        </w:rPr>
        <w:t>法定代表人（签字）：</w:t>
      </w:r>
    </w:p>
    <w:p>
      <w:pPr>
        <w:adjustRightInd w:val="0"/>
        <w:snapToGrid w:val="0"/>
        <w:spacing w:line="480" w:lineRule="auto"/>
        <w:ind w:firstLine="480" w:firstLineChars="200"/>
        <w:rPr>
          <w:rFonts w:cs="宋体"/>
          <w:highlight w:val="none"/>
          <w:u w:val="single"/>
        </w:rPr>
      </w:pPr>
      <w:r>
        <w:rPr>
          <w:rFonts w:hint="eastAsia" w:cs="宋体"/>
          <w:highlight w:val="none"/>
        </w:rPr>
        <w:t>身份证号码：</w:t>
      </w:r>
    </w:p>
    <w:p>
      <w:pPr>
        <w:adjustRightInd w:val="0"/>
        <w:snapToGrid w:val="0"/>
        <w:spacing w:line="480" w:lineRule="auto"/>
        <w:ind w:firstLine="480" w:firstLineChars="200"/>
        <w:rPr>
          <w:rFonts w:cs="宋体"/>
          <w:highlight w:val="none"/>
          <w:u w:val="single"/>
        </w:rPr>
      </w:pPr>
      <w:r>
        <w:rPr>
          <w:rFonts w:hint="eastAsia" w:cs="宋体"/>
          <w:highlight w:val="none"/>
        </w:rPr>
        <w:t>授权委托人（签字）：</w:t>
      </w:r>
    </w:p>
    <w:p>
      <w:pPr>
        <w:adjustRightInd w:val="0"/>
        <w:snapToGrid w:val="0"/>
        <w:spacing w:line="480" w:lineRule="auto"/>
        <w:ind w:firstLine="480" w:firstLineChars="200"/>
        <w:rPr>
          <w:rFonts w:cs="宋体"/>
          <w:highlight w:val="none"/>
          <w:u w:val="single"/>
        </w:rPr>
      </w:pPr>
      <w:r>
        <w:rPr>
          <w:rFonts w:hint="eastAsia" w:cs="宋体"/>
          <w:highlight w:val="none"/>
        </w:rPr>
        <w:t>身份证号码：</w:t>
      </w:r>
    </w:p>
    <w:p>
      <w:pPr>
        <w:adjustRightInd w:val="0"/>
        <w:snapToGrid w:val="0"/>
        <w:spacing w:line="480" w:lineRule="auto"/>
        <w:ind w:firstLine="480" w:firstLineChars="200"/>
        <w:rPr>
          <w:rFonts w:cs="宋体"/>
          <w:highlight w:val="none"/>
        </w:rPr>
      </w:pPr>
      <w:r>
        <w:rPr>
          <w:rFonts w:hint="eastAsia" w:cs="宋体"/>
          <w:highlight w:val="none"/>
        </w:rPr>
        <w:t>日期：年月日</w:t>
      </w:r>
    </w:p>
    <w:p>
      <w:pPr>
        <w:snapToGrid w:val="0"/>
        <w:spacing w:line="360" w:lineRule="auto"/>
        <w:ind w:firstLine="562" w:firstLineChars="200"/>
        <w:jc w:val="center"/>
        <w:rPr>
          <w:rFonts w:cs="宋体"/>
          <w:b/>
          <w:sz w:val="28"/>
          <w:szCs w:val="28"/>
          <w:highlight w:val="none"/>
        </w:rPr>
      </w:pPr>
      <w:bookmarkStart w:id="161" w:name="_Toc5380_WPSOffice_Level1"/>
      <w:r>
        <w:rPr>
          <w:rFonts w:hint="eastAsia" w:cs="宋体"/>
          <w:b/>
          <w:sz w:val="28"/>
          <w:szCs w:val="28"/>
          <w:highlight w:val="none"/>
        </w:rPr>
        <w:br w:type="page"/>
      </w:r>
      <w:bookmarkStart w:id="162" w:name="_Toc28121"/>
      <w:bookmarkStart w:id="163" w:name="_Toc31519"/>
      <w:bookmarkStart w:id="164" w:name="_Toc857"/>
      <w:r>
        <w:rPr>
          <w:rFonts w:hint="eastAsia" w:cs="宋体"/>
          <w:b/>
          <w:sz w:val="28"/>
          <w:szCs w:val="28"/>
          <w:highlight w:val="none"/>
        </w:rPr>
        <w:t>七、资格证明文件</w:t>
      </w:r>
      <w:bookmarkEnd w:id="161"/>
      <w:bookmarkEnd w:id="162"/>
      <w:bookmarkEnd w:id="163"/>
      <w:bookmarkEnd w:id="164"/>
    </w:p>
    <w:p>
      <w:pPr>
        <w:spacing w:beforeLines="50" w:afterLines="100" w:line="440" w:lineRule="exact"/>
        <w:rPr>
          <w:rFonts w:cs="宋体"/>
          <w:b/>
          <w:highlight w:val="none"/>
        </w:rPr>
      </w:pPr>
      <w:r>
        <w:rPr>
          <w:rFonts w:hint="eastAsia" w:cs="宋体"/>
          <w:b/>
          <w:highlight w:val="none"/>
        </w:rPr>
        <w:t>1、供应商基本情况表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926"/>
        <w:gridCol w:w="1909"/>
        <w:gridCol w:w="91"/>
        <w:gridCol w:w="566"/>
        <w:gridCol w:w="755"/>
        <w:gridCol w:w="29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供应商名称</w:t>
            </w:r>
          </w:p>
        </w:tc>
        <w:tc>
          <w:tcPr>
            <w:tcW w:w="4127" w:type="pct"/>
            <w:gridSpan w:val="7"/>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注册地址</w:t>
            </w:r>
          </w:p>
        </w:tc>
        <w:tc>
          <w:tcPr>
            <w:tcW w:w="1991" w:type="pct"/>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33" w:type="pct"/>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邮政编码</w:t>
            </w:r>
          </w:p>
        </w:tc>
        <w:tc>
          <w:tcPr>
            <w:tcW w:w="1402" w:type="pct"/>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联系方式</w:t>
            </w:r>
          </w:p>
        </w:tc>
        <w:tc>
          <w:tcPr>
            <w:tcW w:w="100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联系人</w:t>
            </w:r>
          </w:p>
        </w:tc>
        <w:tc>
          <w:tcPr>
            <w:tcW w:w="99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33" w:type="pct"/>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电  话</w:t>
            </w:r>
          </w:p>
        </w:tc>
        <w:tc>
          <w:tcPr>
            <w:tcW w:w="1402" w:type="pct"/>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cs="宋体"/>
                <w:highlight w:val="none"/>
              </w:rPr>
            </w:pPr>
          </w:p>
        </w:tc>
        <w:tc>
          <w:tcPr>
            <w:tcW w:w="100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传  真</w:t>
            </w:r>
          </w:p>
        </w:tc>
        <w:tc>
          <w:tcPr>
            <w:tcW w:w="99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33" w:type="pct"/>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网  址</w:t>
            </w:r>
          </w:p>
        </w:tc>
        <w:tc>
          <w:tcPr>
            <w:tcW w:w="1402" w:type="pct"/>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组织结构</w:t>
            </w:r>
          </w:p>
        </w:tc>
        <w:tc>
          <w:tcPr>
            <w:tcW w:w="4127" w:type="pct"/>
            <w:gridSpan w:val="7"/>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法定代表人</w:t>
            </w:r>
          </w:p>
        </w:tc>
        <w:tc>
          <w:tcPr>
            <w:tcW w:w="100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姓名</w:t>
            </w:r>
          </w:p>
        </w:tc>
        <w:tc>
          <w:tcPr>
            <w:tcW w:w="1038" w:type="pct"/>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837" w:type="pct"/>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电话</w:t>
            </w:r>
          </w:p>
        </w:tc>
        <w:tc>
          <w:tcPr>
            <w:tcW w:w="125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成立时间</w:t>
            </w:r>
          </w:p>
        </w:tc>
        <w:tc>
          <w:tcPr>
            <w:tcW w:w="100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3126" w:type="pct"/>
            <w:gridSpan w:val="6"/>
            <w:tcBorders>
              <w:top w:val="single" w:color="auto" w:sz="4" w:space="0"/>
              <w:left w:val="nil"/>
              <w:bottom w:val="single" w:color="auto" w:sz="4" w:space="0"/>
              <w:right w:val="single" w:color="auto" w:sz="4" w:space="0"/>
            </w:tcBorders>
            <w:noWrap/>
            <w:vAlign w:val="center"/>
          </w:tcPr>
          <w:p>
            <w:pPr>
              <w:spacing w:line="360" w:lineRule="auto"/>
              <w:rPr>
                <w:rFonts w:cs="宋体"/>
                <w:highlight w:val="none"/>
              </w:rPr>
            </w:pPr>
            <w:r>
              <w:rPr>
                <w:rFonts w:hint="eastAsia" w:cs="宋体"/>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开户银行</w:t>
            </w:r>
          </w:p>
        </w:tc>
        <w:tc>
          <w:tcPr>
            <w:tcW w:w="1000" w:type="pct"/>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332" w:type="pct"/>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账号</w:t>
            </w:r>
          </w:p>
        </w:tc>
        <w:tc>
          <w:tcPr>
            <w:tcW w:w="1794" w:type="pct"/>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经营范围</w:t>
            </w:r>
          </w:p>
        </w:tc>
        <w:tc>
          <w:tcPr>
            <w:tcW w:w="4127" w:type="pct"/>
            <w:gridSpan w:val="7"/>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szCs w:val="21"/>
                <w:highlight w:val="none"/>
              </w:rPr>
            </w:pPr>
            <w:r>
              <w:rPr>
                <w:rFonts w:hint="eastAsia" w:cs="宋体"/>
                <w:highlight w:val="none"/>
              </w:rPr>
              <w:t>备注</w:t>
            </w:r>
          </w:p>
        </w:tc>
        <w:tc>
          <w:tcPr>
            <w:tcW w:w="4127" w:type="pct"/>
            <w:gridSpan w:val="7"/>
            <w:tcBorders>
              <w:top w:val="single" w:color="auto" w:sz="4" w:space="0"/>
              <w:left w:val="nil"/>
              <w:bottom w:val="single" w:color="auto" w:sz="4" w:space="0"/>
              <w:right w:val="single" w:color="auto" w:sz="4" w:space="0"/>
            </w:tcBorders>
            <w:noWrap/>
            <w:vAlign w:val="center"/>
          </w:tcPr>
          <w:p>
            <w:pPr>
              <w:spacing w:line="360" w:lineRule="auto"/>
              <w:jc w:val="center"/>
              <w:rPr>
                <w:rFonts w:cs="宋体"/>
                <w:szCs w:val="21"/>
                <w:highlight w:val="none"/>
              </w:rPr>
            </w:pPr>
          </w:p>
        </w:tc>
      </w:tr>
    </w:tbl>
    <w:p>
      <w:pPr>
        <w:spacing w:line="360" w:lineRule="auto"/>
        <w:rPr>
          <w:rFonts w:cs="宋体"/>
          <w:highlight w:val="none"/>
        </w:rPr>
      </w:pPr>
    </w:p>
    <w:p>
      <w:pPr>
        <w:spacing w:line="360" w:lineRule="auto"/>
        <w:ind w:firstLine="241" w:firstLineChars="100"/>
        <w:rPr>
          <w:rFonts w:cs="宋体"/>
          <w:b/>
          <w:bCs/>
          <w:highlight w:val="none"/>
        </w:rPr>
      </w:pPr>
      <w:r>
        <w:rPr>
          <w:rFonts w:hint="eastAsia" w:cs="宋体"/>
          <w:b/>
          <w:bCs/>
          <w:highlight w:val="none"/>
        </w:rPr>
        <w:t>备注：本表后须附法人营业执照副本、食品经营许可证或餐饮服务许可证等材料的复印件。</w:t>
      </w:r>
    </w:p>
    <w:p>
      <w:pPr>
        <w:autoSpaceDE w:val="0"/>
        <w:autoSpaceDN w:val="0"/>
        <w:adjustRightInd w:val="0"/>
        <w:snapToGrid w:val="0"/>
        <w:spacing w:line="360" w:lineRule="auto"/>
        <w:rPr>
          <w:rFonts w:cs="宋体"/>
          <w:b/>
          <w:bCs/>
          <w:szCs w:val="22"/>
          <w:highlight w:val="none"/>
        </w:rPr>
      </w:pPr>
      <w:r>
        <w:rPr>
          <w:rFonts w:hint="eastAsia" w:cs="宋体"/>
          <w:b/>
          <w:bCs/>
          <w:szCs w:val="22"/>
          <w:highlight w:val="none"/>
        </w:rPr>
        <w:br w:type="page"/>
      </w:r>
    </w:p>
    <w:p>
      <w:pPr>
        <w:spacing w:beforeLines="50" w:afterLines="100" w:line="440" w:lineRule="exact"/>
        <w:jc w:val="center"/>
        <w:rPr>
          <w:rFonts w:cs="宋体"/>
          <w:b/>
          <w:highlight w:val="none"/>
        </w:rPr>
      </w:pPr>
      <w:r>
        <w:rPr>
          <w:rFonts w:hint="eastAsia" w:cs="宋体"/>
          <w:b/>
          <w:highlight w:val="none"/>
        </w:rPr>
        <w:t>2、资格证明材料</w:t>
      </w:r>
    </w:p>
    <w:p>
      <w:pPr>
        <w:autoSpaceDE w:val="0"/>
        <w:autoSpaceDN w:val="0"/>
        <w:adjustRightInd w:val="0"/>
        <w:snapToGrid w:val="0"/>
        <w:spacing w:line="480" w:lineRule="auto"/>
        <w:ind w:firstLine="480" w:firstLineChars="200"/>
        <w:rPr>
          <w:rFonts w:cs="宋体"/>
          <w:highlight w:val="none"/>
        </w:rPr>
      </w:pPr>
      <w:r>
        <w:rPr>
          <w:rFonts w:hint="eastAsia" w:cs="宋体"/>
          <w:highlight w:val="none"/>
        </w:rPr>
        <w:t>（1）法人或者其他组织的营业执照等证明文件（复印件），自然人的身份证明（复印件）；</w:t>
      </w:r>
    </w:p>
    <w:p>
      <w:pPr>
        <w:snapToGrid w:val="0"/>
        <w:spacing w:line="480" w:lineRule="auto"/>
        <w:ind w:firstLine="480" w:firstLineChars="200"/>
        <w:jc w:val="left"/>
        <w:rPr>
          <w:rFonts w:cs="宋体"/>
          <w:highlight w:val="none"/>
        </w:rPr>
      </w:pPr>
      <w:r>
        <w:rPr>
          <w:rFonts w:hint="eastAsia" w:cs="宋体"/>
          <w:highlight w:val="none"/>
        </w:rPr>
        <w:t>（2）2024年度度财务状况报告（复印件）均可，开业不满一年的应提供公司成立之日后的财务状况报表（复印件）或出具当年的验资报告（复印件）；</w:t>
      </w:r>
      <w:r>
        <w:rPr>
          <w:rFonts w:hint="eastAsia" w:cs="宋体"/>
          <w:b/>
          <w:bCs/>
          <w:highlight w:val="none"/>
        </w:rPr>
        <w:t>由供应商对以上内容提供书面承诺或提供相应证明材料。</w:t>
      </w:r>
    </w:p>
    <w:p>
      <w:pPr>
        <w:snapToGrid w:val="0"/>
        <w:spacing w:line="480" w:lineRule="auto"/>
        <w:ind w:firstLine="480" w:firstLineChars="200"/>
        <w:jc w:val="left"/>
        <w:rPr>
          <w:rFonts w:cs="宋体"/>
          <w:highlight w:val="none"/>
        </w:rPr>
      </w:pPr>
      <w:r>
        <w:rPr>
          <w:rFonts w:hint="eastAsia" w:cs="宋体"/>
          <w:highlight w:val="none"/>
        </w:rPr>
        <w:t>（3）供应商履行合同所必需的设备和专业技术能力的证明材料；</w:t>
      </w:r>
      <w:r>
        <w:rPr>
          <w:rFonts w:hint="eastAsia" w:cs="宋体"/>
          <w:b/>
          <w:bCs/>
          <w:highlight w:val="none"/>
        </w:rPr>
        <w:t>由供应商对以上内容提供书面承诺或提供相应证明材料。</w:t>
      </w:r>
    </w:p>
    <w:p>
      <w:pPr>
        <w:snapToGrid w:val="0"/>
        <w:spacing w:line="480" w:lineRule="auto"/>
        <w:ind w:firstLine="480" w:firstLineChars="200"/>
        <w:jc w:val="left"/>
        <w:rPr>
          <w:rFonts w:cs="宋体"/>
          <w:highlight w:val="none"/>
        </w:rPr>
      </w:pPr>
      <w:r>
        <w:rPr>
          <w:rFonts w:hint="eastAsia" w:cs="宋体"/>
          <w:highlight w:val="none"/>
        </w:rPr>
        <w:t>（4）本项目公告发布时间前半年内任一月缴纳增值税、企业所得税的凭据（完税证、缴款书、银行代扣（代缴）转账凭证等均可）（复印件）。依法免税的供应商，应提供相应证明材料；</w:t>
      </w:r>
      <w:r>
        <w:rPr>
          <w:rFonts w:hint="eastAsia" w:cs="宋体"/>
          <w:b/>
          <w:bCs/>
          <w:highlight w:val="none"/>
        </w:rPr>
        <w:t>由供应商对以上内容提供书面承诺或提供相应证明材料。</w:t>
      </w:r>
    </w:p>
    <w:p>
      <w:pPr>
        <w:snapToGrid w:val="0"/>
        <w:spacing w:line="480" w:lineRule="auto"/>
        <w:ind w:firstLine="480" w:firstLineChars="200"/>
        <w:jc w:val="left"/>
        <w:rPr>
          <w:rFonts w:cs="宋体"/>
          <w:highlight w:val="none"/>
        </w:rPr>
      </w:pPr>
      <w:r>
        <w:rPr>
          <w:rFonts w:hint="eastAsia" w:cs="宋体"/>
          <w:highlight w:val="none"/>
        </w:rPr>
        <w:t>（5）本项目公告发布时间前半年内任一月缴纳社会保险的凭据（专用收据或社会保险缴纳清单）；依法不需要缴纳社会保障资金的供应商，应提供相应证明材料。供应商为其他组织或自然人的，也需要按此项规定提供缴纳社会保险的凭据；不需要缴纳社会保障资金的供应商，应提供相应文件证明其不需要缴纳社 会保障资金；</w:t>
      </w:r>
      <w:r>
        <w:rPr>
          <w:rFonts w:hint="eastAsia" w:cs="宋体"/>
          <w:b/>
          <w:bCs/>
          <w:highlight w:val="none"/>
        </w:rPr>
        <w:t>由供应商对以上内容提供书面承诺或提供相应证明材料。</w:t>
      </w:r>
    </w:p>
    <w:p>
      <w:pPr>
        <w:snapToGrid w:val="0"/>
        <w:spacing w:line="480" w:lineRule="auto"/>
        <w:ind w:firstLine="480" w:firstLineChars="200"/>
        <w:jc w:val="left"/>
        <w:rPr>
          <w:rFonts w:cs="宋体"/>
          <w:highlight w:val="none"/>
        </w:rPr>
      </w:pPr>
      <w:r>
        <w:rPr>
          <w:rFonts w:hint="eastAsia" w:cs="宋体"/>
          <w:highlight w:val="none"/>
        </w:rPr>
        <w:t>（6）提交参加政府采购活动前三年内在经营活动中没有重大违法记录的书面声明；</w:t>
      </w:r>
    </w:p>
    <w:p>
      <w:pPr>
        <w:snapToGrid w:val="0"/>
        <w:spacing w:line="480" w:lineRule="auto"/>
        <w:ind w:firstLine="480" w:firstLineChars="200"/>
        <w:jc w:val="left"/>
        <w:rPr>
          <w:rFonts w:cs="宋体"/>
          <w:highlight w:val="none"/>
        </w:rPr>
      </w:pPr>
      <w:r>
        <w:rPr>
          <w:rFonts w:hint="eastAsia" w:cs="宋体"/>
          <w:highlight w:val="none"/>
        </w:rPr>
        <w:t>（7）不存在失信记录查询（信用中国网站、中国政府采购网）</w:t>
      </w:r>
    </w:p>
    <w:p>
      <w:pPr>
        <w:snapToGrid w:val="0"/>
        <w:spacing w:line="480" w:lineRule="auto"/>
        <w:ind w:firstLine="480" w:firstLineChars="200"/>
        <w:jc w:val="left"/>
        <w:rPr>
          <w:rFonts w:cs="宋体"/>
          <w:highlight w:val="none"/>
        </w:rPr>
      </w:pPr>
      <w:r>
        <w:rPr>
          <w:rFonts w:hint="eastAsia" w:cs="宋体"/>
          <w:highlight w:val="none"/>
        </w:rPr>
        <w:t>（8）有效的餐饮服务许可证或食品经营许可证；</w:t>
      </w:r>
    </w:p>
    <w:p>
      <w:pPr>
        <w:snapToGrid w:val="0"/>
        <w:spacing w:line="480" w:lineRule="auto"/>
        <w:ind w:firstLine="480" w:firstLineChars="200"/>
        <w:jc w:val="left"/>
        <w:rPr>
          <w:rFonts w:cs="宋体"/>
          <w:sz w:val="21"/>
          <w:szCs w:val="21"/>
          <w:highlight w:val="none"/>
        </w:rPr>
        <w:sectPr>
          <w:pgSz w:w="11906" w:h="16838"/>
          <w:pgMar w:top="1247" w:right="1247" w:bottom="1247" w:left="1247" w:header="850" w:footer="850" w:gutter="0"/>
          <w:cols w:space="425" w:num="1"/>
          <w:docGrid w:type="lines" w:linePitch="312" w:charSpace="0"/>
        </w:sectPr>
      </w:pPr>
      <w:r>
        <w:rPr>
          <w:rFonts w:hint="eastAsia" w:cs="宋体"/>
          <w:highlight w:val="none"/>
        </w:rPr>
        <w:t>（9）提供符合要求《中小企业声明函》，</w:t>
      </w:r>
      <w:r>
        <w:rPr>
          <w:rFonts w:hint="eastAsia" w:cs="宋体"/>
          <w:color w:val="0000FF"/>
          <w:highlight w:val="none"/>
        </w:rPr>
        <w:t>且声明函中声明为小型企业或微型企业。</w:t>
      </w:r>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t>八、商务文件</w:t>
      </w:r>
    </w:p>
    <w:p>
      <w:pPr>
        <w:spacing w:beforeLines="50" w:afterLines="100" w:line="440" w:lineRule="exact"/>
        <w:jc w:val="center"/>
        <w:rPr>
          <w:rFonts w:cs="宋体"/>
          <w:b/>
          <w:highlight w:val="none"/>
        </w:rPr>
      </w:pPr>
      <w:r>
        <w:rPr>
          <w:rFonts w:hint="eastAsia" w:cs="宋体"/>
          <w:b/>
          <w:highlight w:val="none"/>
        </w:rPr>
        <w:t>1、近三年（2022年7月至今）完成的类似项目情况表</w:t>
      </w:r>
    </w:p>
    <w:p>
      <w:pPr>
        <w:spacing w:line="360" w:lineRule="auto"/>
        <w:rPr>
          <w:rFonts w:cs="宋体"/>
          <w:highlight w:val="none"/>
          <w:u w:val="single"/>
          <w:lang w:val="zh-CN"/>
        </w:rPr>
      </w:pPr>
      <w:r>
        <w:rPr>
          <w:rFonts w:hint="eastAsia" w:cs="宋体"/>
          <w:highlight w:val="none"/>
          <w:lang w:val="zh-CN"/>
        </w:rPr>
        <w:t>项目编号：</w:t>
      </w:r>
    </w:p>
    <w:p>
      <w:pPr>
        <w:spacing w:line="360" w:lineRule="auto"/>
        <w:rPr>
          <w:rFonts w:cs="宋体"/>
          <w:b/>
          <w:highlight w:val="none"/>
        </w:rPr>
      </w:pPr>
      <w:r>
        <w:rPr>
          <w:rFonts w:hint="eastAsia" w:cs="宋体"/>
          <w:bCs/>
          <w:highlight w:val="none"/>
          <w:lang w:val="zh-CN"/>
        </w:rPr>
        <w:t>项目名称：</w:t>
      </w:r>
    </w:p>
    <w:tbl>
      <w:tblPr>
        <w:tblStyle w:val="20"/>
        <w:tblpPr w:leftFromText="180" w:rightFromText="180" w:vertAnchor="text" w:tblpXSpec="center" w:tblpY="1"/>
        <w:tblOverlap w:val="never"/>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6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项目名称</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项目所在地</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委托人名称</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委托人地址</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委托人电话</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合同金额</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6" w:type="pct"/>
            <w:noWrap/>
            <w:vAlign w:val="center"/>
          </w:tcPr>
          <w:p>
            <w:pPr>
              <w:spacing w:line="360" w:lineRule="auto"/>
              <w:jc w:val="center"/>
              <w:rPr>
                <w:rFonts w:cs="宋体"/>
                <w:highlight w:val="none"/>
              </w:rPr>
            </w:pPr>
            <w:r>
              <w:rPr>
                <w:rFonts w:hint="eastAsia" w:cs="宋体"/>
                <w:highlight w:val="none"/>
              </w:rPr>
              <w:t>服务内容</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446" w:type="pct"/>
            <w:noWrap/>
            <w:vAlign w:val="center"/>
          </w:tcPr>
          <w:p>
            <w:pPr>
              <w:spacing w:line="360" w:lineRule="auto"/>
              <w:jc w:val="center"/>
              <w:rPr>
                <w:rFonts w:cs="宋体"/>
                <w:highlight w:val="none"/>
              </w:rPr>
            </w:pPr>
            <w:r>
              <w:rPr>
                <w:rFonts w:hint="eastAsia" w:cs="宋体"/>
                <w:highlight w:val="none"/>
              </w:rPr>
              <w:t>项目描述</w:t>
            </w:r>
          </w:p>
        </w:tc>
        <w:tc>
          <w:tcPr>
            <w:tcW w:w="3553" w:type="pct"/>
            <w:noWrap/>
            <w:vAlign w:val="center"/>
          </w:tcPr>
          <w:p>
            <w:pPr>
              <w:spacing w:line="360" w:lineRule="auto"/>
              <w:jc w:val="center"/>
              <w:rPr>
                <w:rFonts w:cs="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46" w:type="pct"/>
            <w:noWrap/>
            <w:vAlign w:val="center"/>
          </w:tcPr>
          <w:p>
            <w:pPr>
              <w:spacing w:line="360" w:lineRule="auto"/>
              <w:jc w:val="center"/>
              <w:rPr>
                <w:rFonts w:cs="宋体"/>
                <w:highlight w:val="none"/>
              </w:rPr>
            </w:pPr>
            <w:r>
              <w:rPr>
                <w:rFonts w:hint="eastAsia" w:cs="宋体"/>
                <w:highlight w:val="none"/>
              </w:rPr>
              <w:t>备  注</w:t>
            </w:r>
          </w:p>
        </w:tc>
        <w:tc>
          <w:tcPr>
            <w:tcW w:w="3553" w:type="pct"/>
            <w:noWrap/>
            <w:vAlign w:val="center"/>
          </w:tcPr>
          <w:p>
            <w:pPr>
              <w:spacing w:line="360" w:lineRule="auto"/>
              <w:jc w:val="center"/>
              <w:rPr>
                <w:rFonts w:cs="宋体"/>
                <w:szCs w:val="21"/>
                <w:highlight w:val="none"/>
              </w:rPr>
            </w:pPr>
          </w:p>
        </w:tc>
      </w:tr>
    </w:tbl>
    <w:p>
      <w:pPr>
        <w:spacing w:line="580" w:lineRule="exact"/>
        <w:ind w:firstLine="482" w:firstLineChars="200"/>
        <w:rPr>
          <w:rFonts w:cs="宋体"/>
          <w:highlight w:val="none"/>
        </w:rPr>
      </w:pPr>
      <w:r>
        <w:rPr>
          <w:rFonts w:hint="eastAsia" w:cs="宋体"/>
          <w:b/>
          <w:highlight w:val="none"/>
        </w:rPr>
        <w:t>备注</w:t>
      </w:r>
      <w:r>
        <w:rPr>
          <w:rFonts w:hint="eastAsia" w:cs="宋体"/>
          <w:highlight w:val="none"/>
        </w:rPr>
        <w:t>：</w:t>
      </w:r>
      <w:r>
        <w:rPr>
          <w:rFonts w:hint="eastAsia" w:cs="宋体"/>
          <w:b/>
          <w:bCs/>
          <w:highlight w:val="none"/>
        </w:rPr>
        <w:t>本表后须附</w:t>
      </w:r>
      <w:r>
        <w:rPr>
          <w:rFonts w:hint="eastAsia" w:cs="宋体"/>
          <w:b/>
          <w:bCs/>
          <w:highlight w:val="none"/>
          <w:shd w:val="clear" w:color="auto" w:fill="FFFFFF"/>
        </w:rPr>
        <w:t>业绩合同和中标通知书或业绩合同和所对应的增值税发票的复印件</w:t>
      </w:r>
      <w:r>
        <w:rPr>
          <w:rFonts w:hint="eastAsia" w:cs="宋体"/>
          <w:b/>
          <w:bCs/>
          <w:highlight w:val="none"/>
        </w:rPr>
        <w:t>。每张表格只填写一个项目，并标明序号。</w:t>
      </w:r>
    </w:p>
    <w:p>
      <w:pPr>
        <w:spacing w:line="580" w:lineRule="exact"/>
        <w:rPr>
          <w:rFonts w:cs="宋体"/>
          <w:highlight w:val="none"/>
        </w:rPr>
      </w:pPr>
    </w:p>
    <w:p>
      <w:pPr>
        <w:adjustRightInd w:val="0"/>
        <w:snapToGrid w:val="0"/>
        <w:spacing w:line="360" w:lineRule="auto"/>
        <w:rPr>
          <w:rFonts w:cs="宋体"/>
          <w:kern w:val="0"/>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adjustRightInd w:val="0"/>
        <w:snapToGrid w:val="0"/>
        <w:spacing w:line="480" w:lineRule="auto"/>
        <w:rPr>
          <w:rFonts w:cs="宋体"/>
          <w:highlight w:val="none"/>
        </w:rPr>
      </w:pPr>
    </w:p>
    <w:p>
      <w:pPr>
        <w:adjustRightInd w:val="0"/>
        <w:snapToGrid w:val="0"/>
        <w:spacing w:line="480" w:lineRule="auto"/>
        <w:rPr>
          <w:rFonts w:cs="宋体"/>
          <w:b/>
          <w:highlight w:val="none"/>
        </w:rPr>
        <w:sectPr>
          <w:pgSz w:w="11906" w:h="16838"/>
          <w:pgMar w:top="1247" w:right="1247" w:bottom="1247" w:left="1247" w:header="850" w:footer="850" w:gutter="0"/>
          <w:cols w:space="425" w:num="1"/>
          <w:docGrid w:type="lines" w:linePitch="312" w:charSpace="0"/>
        </w:sectPr>
      </w:pPr>
    </w:p>
    <w:p>
      <w:pPr>
        <w:spacing w:beforeLines="50" w:afterLines="100" w:line="440" w:lineRule="exact"/>
        <w:jc w:val="center"/>
        <w:rPr>
          <w:rFonts w:cs="宋体"/>
          <w:b/>
          <w:highlight w:val="none"/>
        </w:rPr>
      </w:pPr>
      <w:r>
        <w:rPr>
          <w:rFonts w:hint="eastAsia" w:cs="宋体"/>
          <w:b/>
          <w:highlight w:val="none"/>
        </w:rPr>
        <w:t>2、项目团队人员组成表</w:t>
      </w:r>
    </w:p>
    <w:p>
      <w:pPr>
        <w:spacing w:line="360" w:lineRule="auto"/>
        <w:rPr>
          <w:rFonts w:cs="宋体"/>
          <w:highlight w:val="none"/>
        </w:rPr>
      </w:pPr>
      <w:r>
        <w:rPr>
          <w:rFonts w:hint="eastAsia" w:cs="宋体"/>
          <w:highlight w:val="none"/>
        </w:rPr>
        <w:t>项目编号：</w:t>
      </w:r>
    </w:p>
    <w:p>
      <w:pPr>
        <w:spacing w:line="360" w:lineRule="auto"/>
        <w:rPr>
          <w:rFonts w:cs="宋体"/>
          <w:highlight w:val="none"/>
        </w:rPr>
      </w:pPr>
      <w:r>
        <w:rPr>
          <w:rFonts w:hint="eastAsia" w:cs="宋体"/>
          <w:highlight w:val="none"/>
        </w:rPr>
        <w:t>项目名称：</w:t>
      </w:r>
    </w:p>
    <w:tbl>
      <w:tblPr>
        <w:tblStyle w:val="20"/>
        <w:tblW w:w="5218" w:type="pct"/>
        <w:tblInd w:w="0" w:type="dxa"/>
        <w:tblLayout w:type="fixed"/>
        <w:tblCellMar>
          <w:top w:w="0" w:type="dxa"/>
          <w:left w:w="0" w:type="dxa"/>
          <w:bottom w:w="0" w:type="dxa"/>
          <w:right w:w="0" w:type="dxa"/>
        </w:tblCellMar>
      </w:tblPr>
      <w:tblGrid>
        <w:gridCol w:w="795"/>
        <w:gridCol w:w="1051"/>
        <w:gridCol w:w="1082"/>
        <w:gridCol w:w="1007"/>
        <w:gridCol w:w="2564"/>
        <w:gridCol w:w="1709"/>
        <w:gridCol w:w="1646"/>
      </w:tblGrid>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highlight w:val="none"/>
              </w:rPr>
            </w:pPr>
            <w:r>
              <w:rPr>
                <w:rFonts w:hint="eastAsia" w:cs="宋体"/>
                <w:b/>
                <w:color w:val="000000"/>
                <w:kern w:val="0"/>
                <w:highlight w:val="none"/>
              </w:rPr>
              <w:t>序号</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highlight w:val="none"/>
              </w:rPr>
            </w:pPr>
            <w:r>
              <w:rPr>
                <w:rFonts w:hint="eastAsia" w:cs="宋体"/>
                <w:b/>
                <w:color w:val="000000"/>
                <w:kern w:val="0"/>
                <w:highlight w:val="none"/>
              </w:rPr>
              <w:t>姓名</w:t>
            </w: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highlight w:val="none"/>
              </w:rPr>
            </w:pPr>
            <w:r>
              <w:rPr>
                <w:rFonts w:hint="eastAsia" w:cs="宋体"/>
                <w:b/>
                <w:color w:val="000000"/>
                <w:kern w:val="0"/>
                <w:highlight w:val="none"/>
              </w:rPr>
              <w:t>年龄</w:t>
            </w: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highlight w:val="none"/>
              </w:rPr>
            </w:pPr>
            <w:r>
              <w:rPr>
                <w:rFonts w:hint="eastAsia" w:cs="宋体"/>
                <w:b/>
                <w:color w:val="000000"/>
                <w:kern w:val="0"/>
                <w:highlight w:val="none"/>
              </w:rPr>
              <w:t>性别</w:t>
            </w: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kern w:val="0"/>
                <w:highlight w:val="none"/>
              </w:rPr>
            </w:pPr>
            <w:r>
              <w:rPr>
                <w:rFonts w:hint="eastAsia" w:cs="宋体"/>
                <w:b/>
                <w:color w:val="000000"/>
                <w:kern w:val="0"/>
                <w:highlight w:val="none"/>
              </w:rPr>
              <w:t>在本项目中担任的职务</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kern w:val="0"/>
                <w:highlight w:val="none"/>
              </w:rPr>
            </w:pPr>
            <w:r>
              <w:rPr>
                <w:rFonts w:hint="eastAsia" w:cs="宋体"/>
                <w:b/>
                <w:color w:val="000000"/>
                <w:kern w:val="0"/>
                <w:highlight w:val="none"/>
              </w:rPr>
              <w:t>岗位资格证</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宋体"/>
                <w:b/>
                <w:color w:val="000000"/>
                <w:highlight w:val="none"/>
              </w:rPr>
            </w:pPr>
            <w:r>
              <w:rPr>
                <w:rFonts w:hint="eastAsia" w:cs="宋体"/>
                <w:b/>
                <w:color w:val="000000"/>
                <w:highlight w:val="none"/>
              </w:rPr>
              <w:t>健康证</w:t>
            </w: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69"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r>
        <w:tblPrEx>
          <w:tblCellMar>
            <w:top w:w="0" w:type="dxa"/>
            <w:left w:w="0" w:type="dxa"/>
            <w:bottom w:w="0" w:type="dxa"/>
            <w:right w:w="0" w:type="dxa"/>
          </w:tblCellMar>
        </w:tblPrEx>
        <w:trPr>
          <w:trHeight w:val="580" w:hRule="atLeast"/>
        </w:trPr>
        <w:tc>
          <w:tcPr>
            <w:tcW w:w="4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5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1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cs="宋体"/>
                <w:color w:val="000000"/>
                <w:highlight w:val="none"/>
              </w:rPr>
            </w:pPr>
          </w:p>
        </w:tc>
      </w:tr>
    </w:tbl>
    <w:p>
      <w:pPr>
        <w:adjustRightInd w:val="0"/>
        <w:snapToGrid w:val="0"/>
        <w:spacing w:line="480" w:lineRule="auto"/>
        <w:rPr>
          <w:rFonts w:cs="宋体"/>
          <w:highlight w:val="none"/>
        </w:rPr>
      </w:pPr>
    </w:p>
    <w:p>
      <w:pPr>
        <w:adjustRightInd w:val="0"/>
        <w:snapToGrid w:val="0"/>
        <w:spacing w:line="480" w:lineRule="auto"/>
        <w:rPr>
          <w:rFonts w:cs="宋体"/>
          <w:highlight w:val="none"/>
        </w:rPr>
      </w:pPr>
      <w:r>
        <w:rPr>
          <w:rFonts w:hint="eastAsia" w:cs="宋体"/>
          <w:highlight w:val="none"/>
        </w:rPr>
        <w:t xml:space="preserve">说明：1、供应商可根据岗位设置情况自行填写、调整此表内容； </w:t>
      </w:r>
    </w:p>
    <w:p>
      <w:pPr>
        <w:adjustRightInd w:val="0"/>
        <w:snapToGrid w:val="0"/>
        <w:spacing w:line="480" w:lineRule="auto"/>
        <w:ind w:firstLine="720" w:firstLineChars="300"/>
        <w:rPr>
          <w:rFonts w:cs="宋体"/>
          <w:highlight w:val="none"/>
        </w:rPr>
      </w:pPr>
      <w:r>
        <w:rPr>
          <w:rFonts w:hint="eastAsia" w:cs="宋体"/>
          <w:highlight w:val="none"/>
        </w:rPr>
        <w:t>2、投标文件正本应附完整的相关证明材料清晰影印件（身份证、岗位资格证、健康证等），未按照要求详细完整填写此表，导致的后果由供应商自行承担。</w:t>
      </w:r>
    </w:p>
    <w:p>
      <w:pPr>
        <w:adjustRightInd w:val="0"/>
        <w:snapToGrid w:val="0"/>
        <w:spacing w:line="480" w:lineRule="auto"/>
        <w:ind w:firstLine="480" w:firstLineChars="200"/>
        <w:rPr>
          <w:rFonts w:cs="宋体"/>
          <w:highlight w:val="none"/>
        </w:rPr>
      </w:pPr>
    </w:p>
    <w:p>
      <w:pPr>
        <w:adjustRightInd w:val="0"/>
        <w:snapToGrid w:val="0"/>
        <w:spacing w:line="480" w:lineRule="auto"/>
        <w:rPr>
          <w:rFonts w:cs="宋体"/>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jc w:val="center"/>
        <w:rPr>
          <w:rFonts w:cs="宋体"/>
          <w:b/>
          <w:sz w:val="28"/>
          <w:szCs w:val="28"/>
          <w:highlight w:val="none"/>
        </w:rPr>
        <w:sectPr>
          <w:pgSz w:w="11906" w:h="16838"/>
          <w:pgMar w:top="1247" w:right="1247" w:bottom="1247" w:left="1247" w:header="850" w:footer="850" w:gutter="0"/>
          <w:cols w:space="425" w:num="1"/>
          <w:docGrid w:type="lines" w:linePitch="312" w:charSpace="0"/>
        </w:sectPr>
      </w:pPr>
    </w:p>
    <w:p>
      <w:pPr>
        <w:spacing w:beforeLines="50" w:afterLines="100" w:line="440" w:lineRule="exact"/>
        <w:jc w:val="center"/>
        <w:rPr>
          <w:rFonts w:cs="宋体"/>
          <w:b/>
          <w:highlight w:val="none"/>
        </w:rPr>
      </w:pPr>
      <w:r>
        <w:rPr>
          <w:rFonts w:hint="eastAsia" w:cs="宋体"/>
          <w:b/>
          <w:highlight w:val="none"/>
        </w:rPr>
        <w:t>3、项目负责人</w:t>
      </w:r>
    </w:p>
    <w:p>
      <w:pPr>
        <w:snapToGrid w:val="0"/>
        <w:spacing w:line="480" w:lineRule="auto"/>
        <w:ind w:firstLine="480" w:firstLineChars="200"/>
        <w:rPr>
          <w:rFonts w:cs="宋体"/>
          <w:highlight w:val="none"/>
        </w:rPr>
      </w:pPr>
      <w:r>
        <w:rPr>
          <w:rFonts w:hint="eastAsia" w:cs="宋体"/>
          <w:highlight w:val="none"/>
        </w:rPr>
        <w:t>拟派本项目负责人同时配备有国家餐饮行业“高级职业经理人”、“高级食品安全管理师”、“公共营养师”、“中式烹调师（三级以上）”、“厨政管理”、“营养配餐”证书的。</w:t>
      </w:r>
    </w:p>
    <w:p>
      <w:pPr>
        <w:snapToGrid w:val="0"/>
        <w:spacing w:line="480" w:lineRule="auto"/>
        <w:rPr>
          <w:rFonts w:cs="宋体"/>
          <w:highlight w:val="none"/>
        </w:rPr>
        <w:sectPr>
          <w:pgSz w:w="11906" w:h="16838"/>
          <w:pgMar w:top="1247" w:right="1247" w:bottom="1247" w:left="1247" w:header="850" w:footer="850" w:gutter="0"/>
          <w:cols w:space="425" w:num="1"/>
          <w:docGrid w:type="lines" w:linePitch="312" w:charSpace="0"/>
        </w:sectPr>
      </w:pPr>
      <w:r>
        <w:rPr>
          <w:rFonts w:hint="eastAsia" w:cs="宋体"/>
          <w:highlight w:val="none"/>
        </w:rPr>
        <w:t>注：提供投标供应商项目负责人证书的须同时提供该项目负责人投标截止日期前6个月任意三个月（不含投标截止当月）的社保证明材料，投标文件中附复印件。</w:t>
      </w:r>
    </w:p>
    <w:p>
      <w:pPr>
        <w:spacing w:beforeLines="50" w:afterLines="100" w:line="440" w:lineRule="exact"/>
        <w:jc w:val="center"/>
        <w:rPr>
          <w:rFonts w:cs="宋体"/>
          <w:b/>
          <w:highlight w:val="none"/>
        </w:rPr>
      </w:pPr>
      <w:r>
        <w:rPr>
          <w:rFonts w:hint="eastAsia" w:cs="宋体"/>
          <w:b/>
          <w:highlight w:val="none"/>
        </w:rPr>
        <w:t>4、企业荣誉</w:t>
      </w:r>
    </w:p>
    <w:p>
      <w:pPr>
        <w:snapToGrid w:val="0"/>
        <w:spacing w:line="480" w:lineRule="auto"/>
        <w:ind w:firstLine="480" w:firstLineChars="200"/>
        <w:rPr>
          <w:rFonts w:cs="宋体"/>
          <w:highlight w:val="none"/>
        </w:rPr>
      </w:pPr>
      <w:r>
        <w:rPr>
          <w:rFonts w:hint="eastAsia" w:cs="宋体"/>
          <w:highlight w:val="none"/>
        </w:rPr>
        <w:t>（1）供应商近三年（2022年7月至今）获得省级市场监督管理局授予“守合同重信用”荣誉奖项提供复印件作为证明材料。</w:t>
      </w:r>
    </w:p>
    <w:p>
      <w:pPr>
        <w:snapToGrid w:val="0"/>
        <w:spacing w:line="480" w:lineRule="auto"/>
        <w:ind w:firstLine="480" w:firstLineChars="200"/>
        <w:rPr>
          <w:rFonts w:cs="宋体"/>
          <w:highlight w:val="none"/>
        </w:rPr>
      </w:pPr>
      <w:r>
        <w:rPr>
          <w:rFonts w:hint="eastAsia" w:cs="宋体"/>
          <w:highlight w:val="none"/>
        </w:rPr>
        <w:t>（2）供应商近三年（2022年7月至今）获得市级市场监督管理局授予“守合同重信用”荣誉奖项提供复印件作为证明材料。</w:t>
      </w:r>
    </w:p>
    <w:p>
      <w:pPr>
        <w:tabs>
          <w:tab w:val="center" w:pos="4153"/>
          <w:tab w:val="right" w:pos="8306"/>
        </w:tabs>
        <w:snapToGrid w:val="0"/>
        <w:spacing w:line="480" w:lineRule="auto"/>
        <w:ind w:firstLine="480" w:firstLineChars="200"/>
        <w:jc w:val="left"/>
        <w:rPr>
          <w:rFonts w:cs="宋体"/>
          <w:highlight w:val="none"/>
        </w:rPr>
      </w:pPr>
      <w:r>
        <w:rPr>
          <w:rFonts w:hint="eastAsia" w:cs="宋体"/>
          <w:highlight w:val="none"/>
          <w:lang w:val="zh-CN" w:bidi="zh-CN"/>
        </w:rPr>
        <w:t>（</w:t>
      </w:r>
      <w:r>
        <w:rPr>
          <w:rFonts w:hint="eastAsia" w:cs="宋体"/>
          <w:highlight w:val="none"/>
          <w:lang w:bidi="zh-CN"/>
        </w:rPr>
        <w:t>3</w:t>
      </w:r>
      <w:r>
        <w:rPr>
          <w:rFonts w:hint="eastAsia" w:cs="宋体"/>
          <w:highlight w:val="none"/>
          <w:lang w:val="zh-CN" w:bidi="zh-CN"/>
        </w:rPr>
        <w:t>）供应商获得餐饮行业其他荣誉奖项提供复印件作为证明材料。</w:t>
      </w:r>
    </w:p>
    <w:p>
      <w:pPr>
        <w:tabs>
          <w:tab w:val="center" w:pos="4153"/>
          <w:tab w:val="right" w:pos="8306"/>
        </w:tabs>
        <w:snapToGrid w:val="0"/>
        <w:spacing w:line="480" w:lineRule="auto"/>
        <w:ind w:firstLine="480" w:firstLineChars="200"/>
        <w:jc w:val="left"/>
        <w:rPr>
          <w:rFonts w:cs="宋体"/>
          <w:highlight w:val="none"/>
        </w:rPr>
      </w:pPr>
    </w:p>
    <w:p>
      <w:pPr>
        <w:tabs>
          <w:tab w:val="center" w:pos="4153"/>
          <w:tab w:val="right" w:pos="8306"/>
        </w:tabs>
        <w:snapToGrid w:val="0"/>
        <w:spacing w:line="360" w:lineRule="auto"/>
        <w:jc w:val="left"/>
        <w:rPr>
          <w:rFonts w:cs="宋体"/>
          <w:sz w:val="18"/>
          <w:highlight w:val="none"/>
        </w:rPr>
      </w:pPr>
    </w:p>
    <w:p>
      <w:pPr>
        <w:numPr>
          <w:ilvl w:val="0"/>
          <w:numId w:val="16"/>
        </w:numPr>
        <w:spacing w:beforeLines="50" w:afterLines="100" w:line="440" w:lineRule="exact"/>
        <w:ind w:firstLine="964" w:firstLineChars="400"/>
        <w:jc w:val="left"/>
        <w:rPr>
          <w:rFonts w:cs="宋体"/>
          <w:b/>
          <w:highlight w:val="none"/>
        </w:rPr>
        <w:sectPr>
          <w:pgSz w:w="11906" w:h="16838"/>
          <w:pgMar w:top="1247" w:right="1247" w:bottom="1247" w:left="1247" w:header="850" w:footer="850" w:gutter="0"/>
          <w:cols w:space="425" w:num="1"/>
          <w:docGrid w:type="lines" w:linePitch="312" w:charSpace="0"/>
        </w:sectPr>
      </w:pPr>
    </w:p>
    <w:p>
      <w:pPr>
        <w:spacing w:beforeLines="50" w:afterLines="100" w:line="440" w:lineRule="exact"/>
        <w:jc w:val="center"/>
        <w:rPr>
          <w:rFonts w:cs="宋体"/>
          <w:b/>
          <w:highlight w:val="none"/>
        </w:rPr>
      </w:pPr>
      <w:r>
        <w:rPr>
          <w:rFonts w:hint="eastAsia" w:cs="宋体"/>
          <w:b/>
          <w:highlight w:val="none"/>
        </w:rPr>
        <w:t>5、企业实力</w:t>
      </w:r>
    </w:p>
    <w:p>
      <w:pPr>
        <w:snapToGrid w:val="0"/>
        <w:spacing w:line="480" w:lineRule="auto"/>
        <w:ind w:firstLine="480" w:firstLineChars="200"/>
        <w:rPr>
          <w:rFonts w:cs="宋体"/>
          <w:highlight w:val="none"/>
        </w:rPr>
      </w:pPr>
      <w:r>
        <w:rPr>
          <w:rFonts w:hint="eastAsia" w:cs="宋体"/>
          <w:highlight w:val="none"/>
        </w:rPr>
        <w:t>供应商已通过质量管理体系认证、环境管理体系认证、职业健康安全管理体系认证。</w:t>
      </w:r>
    </w:p>
    <w:p>
      <w:pPr>
        <w:tabs>
          <w:tab w:val="center" w:pos="4153"/>
          <w:tab w:val="right" w:pos="8306"/>
        </w:tabs>
        <w:snapToGrid w:val="0"/>
        <w:spacing w:line="480" w:lineRule="auto"/>
        <w:jc w:val="left"/>
        <w:rPr>
          <w:rFonts w:cs="宋体"/>
          <w:highlight w:val="none"/>
        </w:rPr>
      </w:pPr>
    </w:p>
    <w:p>
      <w:pPr>
        <w:tabs>
          <w:tab w:val="center" w:pos="4153"/>
          <w:tab w:val="right" w:pos="8306"/>
        </w:tabs>
        <w:snapToGrid w:val="0"/>
        <w:spacing w:line="480" w:lineRule="auto"/>
        <w:jc w:val="left"/>
        <w:rPr>
          <w:rFonts w:cs="宋体"/>
          <w:highlight w:val="none"/>
        </w:rPr>
      </w:pPr>
      <w:r>
        <w:rPr>
          <w:rFonts w:hint="eastAsia" w:cs="宋体"/>
          <w:highlight w:val="none"/>
        </w:rPr>
        <w:t>注：须提供证书复印件并加盖公章，并附全国认证认可信息公共服务平台【http://cx.cnca.cn/】网页查询截面图加盖供应商公章。</w:t>
      </w:r>
    </w:p>
    <w:p>
      <w:pPr>
        <w:adjustRightInd w:val="0"/>
        <w:snapToGrid w:val="0"/>
        <w:spacing w:line="480" w:lineRule="auto"/>
        <w:ind w:firstLine="482" w:firstLineChars="200"/>
        <w:jc w:val="center"/>
        <w:outlineLvl w:val="0"/>
        <w:rPr>
          <w:rFonts w:cs="宋体"/>
          <w:b/>
          <w:highlight w:val="none"/>
        </w:rPr>
        <w:sectPr>
          <w:pgSz w:w="11906" w:h="16838"/>
          <w:pgMar w:top="1247" w:right="1247" w:bottom="1247" w:left="1247" w:header="850" w:footer="850" w:gutter="0"/>
          <w:cols w:space="425" w:num="1"/>
          <w:docGrid w:type="lines" w:linePitch="312" w:charSpace="0"/>
        </w:sectPr>
      </w:pPr>
      <w:bookmarkStart w:id="165" w:name="_Toc4926_WPSOffice_Level1"/>
      <w:bookmarkStart w:id="166" w:name="_Toc11399"/>
      <w:bookmarkStart w:id="167" w:name="_Toc23656"/>
      <w:bookmarkStart w:id="168" w:name="_Toc28107"/>
      <w:bookmarkStart w:id="169" w:name="_Toc19249"/>
      <w:bookmarkStart w:id="170" w:name="_Toc13274"/>
    </w:p>
    <w:p>
      <w:pPr>
        <w:snapToGrid w:val="0"/>
        <w:spacing w:line="360" w:lineRule="auto"/>
        <w:ind w:firstLine="562" w:firstLineChars="200"/>
        <w:jc w:val="center"/>
        <w:rPr>
          <w:rFonts w:cs="宋体"/>
          <w:b/>
          <w:sz w:val="28"/>
          <w:szCs w:val="28"/>
          <w:highlight w:val="none"/>
        </w:rPr>
      </w:pPr>
      <w:r>
        <w:rPr>
          <w:rFonts w:hint="eastAsia" w:cs="宋体"/>
          <w:b/>
          <w:sz w:val="28"/>
          <w:szCs w:val="28"/>
          <w:highlight w:val="none"/>
        </w:rPr>
        <w:t>九、商务偏离表</w:t>
      </w:r>
    </w:p>
    <w:p>
      <w:pPr>
        <w:spacing w:before="22" w:line="360" w:lineRule="auto"/>
        <w:rPr>
          <w:rFonts w:cs="宋体"/>
          <w:highlight w:val="none"/>
        </w:rPr>
      </w:pPr>
    </w:p>
    <w:tbl>
      <w:tblPr>
        <w:tblStyle w:val="35"/>
        <w:tblW w:w="9478"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2270"/>
        <w:gridCol w:w="2192"/>
        <w:gridCol w:w="1906"/>
        <w:gridCol w:w="1433"/>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817" w:type="dxa"/>
            <w:shd w:val="clear" w:color="auto" w:fill="E7E6E6"/>
          </w:tcPr>
          <w:p>
            <w:pPr>
              <w:spacing w:line="301" w:lineRule="auto"/>
              <w:jc w:val="center"/>
              <w:rPr>
                <w:rFonts w:cs="宋体"/>
                <w:sz w:val="21"/>
                <w:highlight w:val="none"/>
              </w:rPr>
            </w:pPr>
          </w:p>
          <w:p>
            <w:pPr>
              <w:spacing w:before="65" w:line="229" w:lineRule="auto"/>
              <w:ind w:left="198"/>
              <w:jc w:val="center"/>
              <w:rPr>
                <w:rFonts w:cs="宋体"/>
                <w:highlight w:val="none"/>
                <w:lang w:eastAsia="en-US"/>
              </w:rPr>
            </w:pPr>
            <w:r>
              <w:rPr>
                <w:rFonts w:hint="eastAsia" w:cs="宋体"/>
                <w:b/>
                <w:bCs/>
                <w:spacing w:val="4"/>
                <w:highlight w:val="none"/>
                <w:lang w:eastAsia="en-US"/>
              </w:rPr>
              <w:t>序号</w:t>
            </w:r>
          </w:p>
        </w:tc>
        <w:tc>
          <w:tcPr>
            <w:tcW w:w="2270" w:type="dxa"/>
            <w:shd w:val="clear" w:color="auto" w:fill="E7E6E6"/>
          </w:tcPr>
          <w:p>
            <w:pPr>
              <w:spacing w:line="301" w:lineRule="auto"/>
              <w:jc w:val="center"/>
              <w:rPr>
                <w:rFonts w:cs="宋体"/>
                <w:sz w:val="21"/>
                <w:highlight w:val="none"/>
              </w:rPr>
            </w:pPr>
          </w:p>
          <w:p>
            <w:pPr>
              <w:spacing w:before="65" w:line="228" w:lineRule="auto"/>
              <w:ind w:left="266"/>
              <w:jc w:val="center"/>
              <w:rPr>
                <w:rFonts w:cs="宋体"/>
                <w:highlight w:val="none"/>
                <w:lang w:eastAsia="en-US"/>
              </w:rPr>
            </w:pPr>
            <w:r>
              <w:rPr>
                <w:rFonts w:hint="eastAsia" w:cs="宋体"/>
                <w:b/>
                <w:bCs/>
                <w:spacing w:val="7"/>
                <w:highlight w:val="none"/>
                <w:lang w:eastAsia="en-US"/>
              </w:rPr>
              <w:t>招标文件条目号</w:t>
            </w:r>
          </w:p>
        </w:tc>
        <w:tc>
          <w:tcPr>
            <w:tcW w:w="2192" w:type="dxa"/>
            <w:shd w:val="clear" w:color="auto" w:fill="E7E6E6"/>
          </w:tcPr>
          <w:p>
            <w:pPr>
              <w:spacing w:before="133" w:line="370" w:lineRule="auto"/>
              <w:ind w:left="373" w:right="364" w:hanging="3"/>
              <w:jc w:val="center"/>
              <w:rPr>
                <w:rFonts w:cs="宋体"/>
                <w:b/>
                <w:bCs/>
                <w:spacing w:val="6"/>
                <w:highlight w:val="none"/>
                <w:lang w:eastAsia="en-US"/>
              </w:rPr>
            </w:pPr>
            <w:r>
              <w:rPr>
                <w:rFonts w:hint="eastAsia" w:cs="宋体"/>
                <w:b/>
                <w:bCs/>
                <w:spacing w:val="6"/>
                <w:highlight w:val="none"/>
                <w:lang w:eastAsia="en-US"/>
              </w:rPr>
              <w:t>招标文件</w:t>
            </w:r>
          </w:p>
          <w:p>
            <w:pPr>
              <w:spacing w:before="133" w:line="370" w:lineRule="auto"/>
              <w:ind w:left="373" w:right="364" w:hanging="3"/>
              <w:jc w:val="center"/>
              <w:rPr>
                <w:rFonts w:cs="宋体"/>
                <w:highlight w:val="none"/>
                <w:lang w:eastAsia="en-US"/>
              </w:rPr>
            </w:pPr>
            <w:r>
              <w:rPr>
                <w:rFonts w:hint="eastAsia" w:cs="宋体"/>
                <w:b/>
                <w:bCs/>
                <w:spacing w:val="5"/>
                <w:highlight w:val="none"/>
                <w:lang w:eastAsia="en-US"/>
              </w:rPr>
              <w:t>商务条款</w:t>
            </w:r>
          </w:p>
        </w:tc>
        <w:tc>
          <w:tcPr>
            <w:tcW w:w="1906" w:type="dxa"/>
            <w:shd w:val="clear" w:color="auto" w:fill="E7E6E6"/>
          </w:tcPr>
          <w:p>
            <w:pPr>
              <w:spacing w:before="133" w:line="370" w:lineRule="auto"/>
              <w:ind w:left="376" w:right="362" w:hanging="1"/>
              <w:jc w:val="center"/>
              <w:rPr>
                <w:rFonts w:cs="宋体"/>
                <w:b/>
                <w:bCs/>
                <w:spacing w:val="5"/>
                <w:highlight w:val="none"/>
                <w:lang w:eastAsia="en-US"/>
              </w:rPr>
            </w:pPr>
            <w:r>
              <w:rPr>
                <w:rFonts w:hint="eastAsia" w:cs="宋体"/>
                <w:b/>
                <w:bCs/>
                <w:spacing w:val="5"/>
                <w:highlight w:val="none"/>
                <w:lang w:eastAsia="en-US"/>
              </w:rPr>
              <w:t>投标文件</w:t>
            </w:r>
          </w:p>
          <w:p>
            <w:pPr>
              <w:spacing w:before="133" w:line="370" w:lineRule="auto"/>
              <w:ind w:left="376" w:right="362" w:hanging="1"/>
              <w:jc w:val="center"/>
              <w:rPr>
                <w:rFonts w:cs="宋体"/>
                <w:highlight w:val="none"/>
                <w:lang w:eastAsia="en-US"/>
              </w:rPr>
            </w:pPr>
            <w:r>
              <w:rPr>
                <w:rFonts w:hint="eastAsia" w:cs="宋体"/>
                <w:b/>
                <w:bCs/>
                <w:spacing w:val="5"/>
                <w:highlight w:val="none"/>
                <w:lang w:eastAsia="en-US"/>
              </w:rPr>
              <w:t>商务条款</w:t>
            </w:r>
          </w:p>
        </w:tc>
        <w:tc>
          <w:tcPr>
            <w:tcW w:w="1433" w:type="dxa"/>
            <w:shd w:val="clear" w:color="auto" w:fill="E7E6E6"/>
          </w:tcPr>
          <w:p>
            <w:pPr>
              <w:spacing w:line="301" w:lineRule="auto"/>
              <w:jc w:val="center"/>
              <w:rPr>
                <w:rFonts w:cs="宋体"/>
                <w:sz w:val="21"/>
                <w:highlight w:val="none"/>
              </w:rPr>
            </w:pPr>
          </w:p>
          <w:p>
            <w:pPr>
              <w:spacing w:before="65" w:line="228" w:lineRule="auto"/>
              <w:ind w:left="161"/>
              <w:jc w:val="center"/>
              <w:rPr>
                <w:rFonts w:cs="宋体"/>
                <w:highlight w:val="none"/>
                <w:lang w:eastAsia="en-US"/>
              </w:rPr>
            </w:pPr>
            <w:r>
              <w:rPr>
                <w:rFonts w:hint="eastAsia" w:cs="宋体"/>
                <w:b/>
                <w:bCs/>
                <w:spacing w:val="6"/>
                <w:highlight w:val="none"/>
                <w:lang w:eastAsia="en-US"/>
              </w:rPr>
              <w:t>偏离情况</w:t>
            </w:r>
          </w:p>
        </w:tc>
        <w:tc>
          <w:tcPr>
            <w:tcW w:w="860" w:type="dxa"/>
            <w:shd w:val="clear" w:color="auto" w:fill="E7E6E6"/>
          </w:tcPr>
          <w:p>
            <w:pPr>
              <w:spacing w:line="301" w:lineRule="auto"/>
              <w:jc w:val="center"/>
              <w:rPr>
                <w:rFonts w:cs="宋体"/>
                <w:sz w:val="21"/>
                <w:highlight w:val="none"/>
              </w:rPr>
            </w:pPr>
          </w:p>
          <w:p>
            <w:pPr>
              <w:spacing w:before="65" w:line="228" w:lineRule="auto"/>
              <w:jc w:val="center"/>
              <w:rPr>
                <w:rFonts w:cs="宋体"/>
                <w:highlight w:val="none"/>
                <w:lang w:eastAsia="en-US"/>
              </w:rPr>
            </w:pPr>
            <w:r>
              <w:rPr>
                <w:rFonts w:hint="eastAsia" w:cs="宋体"/>
                <w:b/>
                <w:bCs/>
                <w:spacing w:val="2"/>
                <w:highlight w:val="none"/>
                <w:lang w:eastAsia="en-US"/>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17" w:type="dxa"/>
          </w:tcPr>
          <w:p>
            <w:pPr>
              <w:spacing w:before="211" w:line="189" w:lineRule="auto"/>
              <w:ind w:left="371"/>
              <w:rPr>
                <w:rFonts w:cs="宋体"/>
                <w:highlight w:val="none"/>
                <w:lang w:eastAsia="en-US"/>
              </w:rPr>
            </w:pPr>
            <w:r>
              <w:rPr>
                <w:rFonts w:hint="eastAsia" w:cs="宋体"/>
                <w:highlight w:val="none"/>
                <w:lang w:eastAsia="en-US"/>
              </w:rPr>
              <w:t>1</w:t>
            </w:r>
          </w:p>
        </w:tc>
        <w:tc>
          <w:tcPr>
            <w:tcW w:w="2270" w:type="dxa"/>
          </w:tcPr>
          <w:p>
            <w:pPr>
              <w:spacing w:line="360" w:lineRule="auto"/>
              <w:rPr>
                <w:rFonts w:cs="宋体"/>
                <w:sz w:val="21"/>
                <w:highlight w:val="none"/>
              </w:rPr>
            </w:pPr>
          </w:p>
        </w:tc>
        <w:tc>
          <w:tcPr>
            <w:tcW w:w="2192" w:type="dxa"/>
          </w:tcPr>
          <w:p>
            <w:pPr>
              <w:spacing w:line="360" w:lineRule="auto"/>
              <w:rPr>
                <w:rFonts w:cs="宋体"/>
                <w:sz w:val="21"/>
                <w:highlight w:val="none"/>
              </w:rPr>
            </w:pPr>
          </w:p>
        </w:tc>
        <w:tc>
          <w:tcPr>
            <w:tcW w:w="1906" w:type="dxa"/>
          </w:tcPr>
          <w:p>
            <w:pPr>
              <w:spacing w:line="360" w:lineRule="auto"/>
              <w:rPr>
                <w:rFonts w:cs="宋体"/>
                <w:sz w:val="21"/>
                <w:highlight w:val="none"/>
              </w:rPr>
            </w:pPr>
          </w:p>
        </w:tc>
        <w:tc>
          <w:tcPr>
            <w:tcW w:w="1433" w:type="dxa"/>
          </w:tcPr>
          <w:p>
            <w:pPr>
              <w:spacing w:line="360" w:lineRule="auto"/>
              <w:rPr>
                <w:rFonts w:cs="宋体"/>
                <w:sz w:val="21"/>
                <w:highlight w:val="none"/>
              </w:rPr>
            </w:pPr>
          </w:p>
        </w:tc>
        <w:tc>
          <w:tcPr>
            <w:tcW w:w="86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17" w:type="dxa"/>
          </w:tcPr>
          <w:p>
            <w:pPr>
              <w:spacing w:before="211" w:line="189" w:lineRule="auto"/>
              <w:ind w:left="358"/>
              <w:rPr>
                <w:rFonts w:cs="宋体"/>
                <w:highlight w:val="none"/>
                <w:lang w:eastAsia="en-US"/>
              </w:rPr>
            </w:pPr>
            <w:r>
              <w:rPr>
                <w:rFonts w:hint="eastAsia" w:cs="宋体"/>
                <w:highlight w:val="none"/>
                <w:lang w:eastAsia="en-US"/>
              </w:rPr>
              <w:t>2</w:t>
            </w:r>
          </w:p>
        </w:tc>
        <w:tc>
          <w:tcPr>
            <w:tcW w:w="2270" w:type="dxa"/>
          </w:tcPr>
          <w:p>
            <w:pPr>
              <w:spacing w:line="360" w:lineRule="auto"/>
              <w:rPr>
                <w:rFonts w:cs="宋体"/>
                <w:sz w:val="21"/>
                <w:highlight w:val="none"/>
              </w:rPr>
            </w:pPr>
          </w:p>
        </w:tc>
        <w:tc>
          <w:tcPr>
            <w:tcW w:w="2192" w:type="dxa"/>
          </w:tcPr>
          <w:p>
            <w:pPr>
              <w:spacing w:line="360" w:lineRule="auto"/>
              <w:rPr>
                <w:rFonts w:cs="宋体"/>
                <w:sz w:val="21"/>
                <w:highlight w:val="none"/>
              </w:rPr>
            </w:pPr>
          </w:p>
        </w:tc>
        <w:tc>
          <w:tcPr>
            <w:tcW w:w="1906" w:type="dxa"/>
          </w:tcPr>
          <w:p>
            <w:pPr>
              <w:spacing w:line="360" w:lineRule="auto"/>
              <w:rPr>
                <w:rFonts w:cs="宋体"/>
                <w:sz w:val="21"/>
                <w:highlight w:val="none"/>
              </w:rPr>
            </w:pPr>
          </w:p>
        </w:tc>
        <w:tc>
          <w:tcPr>
            <w:tcW w:w="1433" w:type="dxa"/>
          </w:tcPr>
          <w:p>
            <w:pPr>
              <w:spacing w:line="360" w:lineRule="auto"/>
              <w:rPr>
                <w:rFonts w:cs="宋体"/>
                <w:sz w:val="21"/>
                <w:highlight w:val="none"/>
              </w:rPr>
            </w:pPr>
          </w:p>
        </w:tc>
        <w:tc>
          <w:tcPr>
            <w:tcW w:w="86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17" w:type="dxa"/>
          </w:tcPr>
          <w:p>
            <w:pPr>
              <w:spacing w:before="214" w:line="189" w:lineRule="auto"/>
              <w:ind w:left="359"/>
              <w:rPr>
                <w:rFonts w:cs="宋体"/>
                <w:highlight w:val="none"/>
                <w:lang w:eastAsia="en-US"/>
              </w:rPr>
            </w:pPr>
            <w:r>
              <w:rPr>
                <w:rFonts w:hint="eastAsia" w:cs="宋体"/>
                <w:highlight w:val="none"/>
                <w:lang w:eastAsia="en-US"/>
              </w:rPr>
              <w:t>3</w:t>
            </w:r>
          </w:p>
        </w:tc>
        <w:tc>
          <w:tcPr>
            <w:tcW w:w="2270" w:type="dxa"/>
          </w:tcPr>
          <w:p>
            <w:pPr>
              <w:spacing w:line="360" w:lineRule="auto"/>
              <w:rPr>
                <w:rFonts w:cs="宋体"/>
                <w:sz w:val="21"/>
                <w:highlight w:val="none"/>
              </w:rPr>
            </w:pPr>
          </w:p>
        </w:tc>
        <w:tc>
          <w:tcPr>
            <w:tcW w:w="2192" w:type="dxa"/>
          </w:tcPr>
          <w:p>
            <w:pPr>
              <w:spacing w:line="360" w:lineRule="auto"/>
              <w:rPr>
                <w:rFonts w:cs="宋体"/>
                <w:sz w:val="21"/>
                <w:highlight w:val="none"/>
              </w:rPr>
            </w:pPr>
          </w:p>
        </w:tc>
        <w:tc>
          <w:tcPr>
            <w:tcW w:w="1906" w:type="dxa"/>
          </w:tcPr>
          <w:p>
            <w:pPr>
              <w:spacing w:line="360" w:lineRule="auto"/>
              <w:rPr>
                <w:rFonts w:cs="宋体"/>
                <w:sz w:val="21"/>
                <w:highlight w:val="none"/>
              </w:rPr>
            </w:pPr>
          </w:p>
        </w:tc>
        <w:tc>
          <w:tcPr>
            <w:tcW w:w="1433" w:type="dxa"/>
          </w:tcPr>
          <w:p>
            <w:pPr>
              <w:spacing w:line="360" w:lineRule="auto"/>
              <w:rPr>
                <w:rFonts w:cs="宋体"/>
                <w:sz w:val="21"/>
                <w:highlight w:val="none"/>
              </w:rPr>
            </w:pPr>
          </w:p>
        </w:tc>
        <w:tc>
          <w:tcPr>
            <w:tcW w:w="86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17" w:type="dxa"/>
          </w:tcPr>
          <w:p>
            <w:pPr>
              <w:spacing w:before="214" w:line="189" w:lineRule="auto"/>
              <w:ind w:left="354"/>
              <w:rPr>
                <w:rFonts w:cs="宋体"/>
                <w:highlight w:val="none"/>
                <w:lang w:eastAsia="en-US"/>
              </w:rPr>
            </w:pPr>
            <w:r>
              <w:rPr>
                <w:rFonts w:hint="eastAsia" w:cs="宋体"/>
                <w:highlight w:val="none"/>
                <w:lang w:eastAsia="en-US"/>
              </w:rPr>
              <w:t>4</w:t>
            </w:r>
          </w:p>
        </w:tc>
        <w:tc>
          <w:tcPr>
            <w:tcW w:w="2270" w:type="dxa"/>
          </w:tcPr>
          <w:p>
            <w:pPr>
              <w:spacing w:line="360" w:lineRule="auto"/>
              <w:rPr>
                <w:rFonts w:cs="宋体"/>
                <w:sz w:val="21"/>
                <w:highlight w:val="none"/>
              </w:rPr>
            </w:pPr>
          </w:p>
        </w:tc>
        <w:tc>
          <w:tcPr>
            <w:tcW w:w="2192" w:type="dxa"/>
          </w:tcPr>
          <w:p>
            <w:pPr>
              <w:spacing w:line="360" w:lineRule="auto"/>
              <w:rPr>
                <w:rFonts w:cs="宋体"/>
                <w:sz w:val="21"/>
                <w:highlight w:val="none"/>
              </w:rPr>
            </w:pPr>
          </w:p>
        </w:tc>
        <w:tc>
          <w:tcPr>
            <w:tcW w:w="1906" w:type="dxa"/>
          </w:tcPr>
          <w:p>
            <w:pPr>
              <w:spacing w:line="360" w:lineRule="auto"/>
              <w:rPr>
                <w:rFonts w:cs="宋体"/>
                <w:sz w:val="21"/>
                <w:highlight w:val="none"/>
              </w:rPr>
            </w:pPr>
          </w:p>
        </w:tc>
        <w:tc>
          <w:tcPr>
            <w:tcW w:w="1433" w:type="dxa"/>
          </w:tcPr>
          <w:p>
            <w:pPr>
              <w:spacing w:line="360" w:lineRule="auto"/>
              <w:rPr>
                <w:rFonts w:cs="宋体"/>
                <w:sz w:val="21"/>
                <w:highlight w:val="none"/>
              </w:rPr>
            </w:pPr>
          </w:p>
        </w:tc>
        <w:tc>
          <w:tcPr>
            <w:tcW w:w="86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7" w:type="dxa"/>
          </w:tcPr>
          <w:p>
            <w:pPr>
              <w:spacing w:line="360" w:lineRule="auto"/>
              <w:jc w:val="center"/>
              <w:rPr>
                <w:rFonts w:cs="宋体"/>
                <w:sz w:val="21"/>
                <w:highlight w:val="none"/>
              </w:rPr>
            </w:pPr>
            <w:r>
              <w:rPr>
                <w:rFonts w:hint="eastAsia" w:cs="宋体"/>
                <w:sz w:val="21"/>
                <w:highlight w:val="none"/>
              </w:rPr>
              <w:t>...</w:t>
            </w:r>
          </w:p>
        </w:tc>
        <w:tc>
          <w:tcPr>
            <w:tcW w:w="2270" w:type="dxa"/>
          </w:tcPr>
          <w:p>
            <w:pPr>
              <w:spacing w:line="360" w:lineRule="auto"/>
              <w:rPr>
                <w:rFonts w:cs="宋体"/>
                <w:sz w:val="21"/>
                <w:highlight w:val="none"/>
              </w:rPr>
            </w:pPr>
          </w:p>
        </w:tc>
        <w:tc>
          <w:tcPr>
            <w:tcW w:w="2192" w:type="dxa"/>
          </w:tcPr>
          <w:p>
            <w:pPr>
              <w:spacing w:line="360" w:lineRule="auto"/>
              <w:rPr>
                <w:rFonts w:cs="宋体"/>
                <w:sz w:val="21"/>
                <w:highlight w:val="none"/>
              </w:rPr>
            </w:pPr>
          </w:p>
        </w:tc>
        <w:tc>
          <w:tcPr>
            <w:tcW w:w="1906" w:type="dxa"/>
          </w:tcPr>
          <w:p>
            <w:pPr>
              <w:spacing w:line="360" w:lineRule="auto"/>
              <w:rPr>
                <w:rFonts w:cs="宋体"/>
                <w:sz w:val="21"/>
                <w:highlight w:val="none"/>
              </w:rPr>
            </w:pPr>
          </w:p>
        </w:tc>
        <w:tc>
          <w:tcPr>
            <w:tcW w:w="1433" w:type="dxa"/>
          </w:tcPr>
          <w:p>
            <w:pPr>
              <w:spacing w:line="360" w:lineRule="auto"/>
              <w:rPr>
                <w:rFonts w:cs="宋体"/>
                <w:sz w:val="21"/>
                <w:highlight w:val="none"/>
              </w:rPr>
            </w:pPr>
          </w:p>
        </w:tc>
        <w:tc>
          <w:tcPr>
            <w:tcW w:w="860" w:type="dxa"/>
          </w:tcPr>
          <w:p>
            <w:pPr>
              <w:spacing w:line="360" w:lineRule="auto"/>
              <w:rPr>
                <w:rFonts w:cs="宋体"/>
                <w:sz w:val="21"/>
                <w:highlight w:val="none"/>
              </w:rPr>
            </w:pPr>
          </w:p>
        </w:tc>
      </w:tr>
    </w:tbl>
    <w:p>
      <w:pPr>
        <w:spacing w:before="32" w:line="362" w:lineRule="auto"/>
        <w:ind w:left="23" w:right="15" w:hanging="1"/>
        <w:rPr>
          <w:rFonts w:hint="eastAsia" w:cs="宋体"/>
          <w:spacing w:val="7"/>
          <w:sz w:val="20"/>
          <w:szCs w:val="20"/>
          <w:highlight w:val="none"/>
        </w:rPr>
      </w:pPr>
      <w:r>
        <w:rPr>
          <w:rFonts w:hint="eastAsia" w:cs="宋体"/>
          <w:spacing w:val="7"/>
          <w:sz w:val="20"/>
          <w:szCs w:val="20"/>
          <w:highlight w:val="none"/>
        </w:rPr>
        <w:t>特别说明：</w:t>
      </w:r>
    </w:p>
    <w:p>
      <w:pPr>
        <w:spacing w:before="32" w:line="362" w:lineRule="auto"/>
        <w:ind w:left="226" w:leftChars="94" w:right="15" w:firstLine="425" w:firstLineChars="199"/>
        <w:rPr>
          <w:rFonts w:hint="eastAsia" w:cs="宋体"/>
          <w:spacing w:val="7"/>
          <w:sz w:val="20"/>
          <w:szCs w:val="20"/>
          <w:highlight w:val="none"/>
        </w:rPr>
      </w:pPr>
      <w:r>
        <w:rPr>
          <w:rFonts w:hint="eastAsia" w:cs="宋体"/>
          <w:spacing w:val="7"/>
          <w:sz w:val="20"/>
          <w:szCs w:val="20"/>
          <w:highlight w:val="none"/>
        </w:rPr>
        <w:t>1.商务条款无需条对条应答，如无偏离，请在此表中填写“无偏离”；如有偏离，请在此表中应答为“正/负偏离”并说明偏离情况。</w:t>
      </w:r>
    </w:p>
    <w:p>
      <w:pPr>
        <w:spacing w:before="32" w:line="362" w:lineRule="auto"/>
        <w:ind w:left="226" w:leftChars="94" w:right="15" w:firstLine="425" w:firstLineChars="199"/>
        <w:rPr>
          <w:rFonts w:hint="eastAsia" w:cs="宋体"/>
          <w:spacing w:val="7"/>
          <w:sz w:val="20"/>
          <w:szCs w:val="20"/>
          <w:highlight w:val="none"/>
        </w:rPr>
      </w:pPr>
      <w:r>
        <w:rPr>
          <w:rFonts w:hint="eastAsia" w:cs="宋体"/>
          <w:spacing w:val="7"/>
          <w:sz w:val="20"/>
          <w:szCs w:val="20"/>
          <w:highlight w:val="none"/>
        </w:rPr>
        <w:t>2.如《招标文件-商务部分》中有标注★号的，则为实质性要求，必须满足，如应答为“负偏离”，将导致投标无效。</w:t>
      </w:r>
    </w:p>
    <w:p>
      <w:pPr>
        <w:spacing w:before="32" w:line="362" w:lineRule="auto"/>
        <w:ind w:left="226" w:leftChars="94" w:right="15" w:firstLine="425" w:firstLineChars="199"/>
        <w:rPr>
          <w:rFonts w:hint="eastAsia" w:cs="宋体"/>
          <w:spacing w:val="7"/>
          <w:sz w:val="20"/>
          <w:szCs w:val="20"/>
          <w:highlight w:val="none"/>
        </w:rPr>
      </w:pPr>
      <w:r>
        <w:rPr>
          <w:rFonts w:hint="eastAsia" w:cs="宋体"/>
          <w:spacing w:val="7"/>
          <w:sz w:val="20"/>
          <w:szCs w:val="20"/>
          <w:highlight w:val="none"/>
        </w:rPr>
        <w:t>3.本表可扩展。</w:t>
      </w:r>
    </w:p>
    <w:p>
      <w:pPr>
        <w:spacing w:line="360" w:lineRule="auto"/>
        <w:rPr>
          <w:rFonts w:cs="宋体"/>
          <w:sz w:val="21"/>
          <w:szCs w:val="21"/>
          <w:highlight w:val="none"/>
        </w:rPr>
      </w:pPr>
    </w:p>
    <w:p>
      <w:pPr>
        <w:spacing w:line="360" w:lineRule="auto"/>
        <w:rPr>
          <w:rFonts w:cs="宋体"/>
          <w:sz w:val="21"/>
          <w:szCs w:val="21"/>
          <w:highlight w:val="none"/>
        </w:rPr>
      </w:pPr>
    </w:p>
    <w:p>
      <w:pPr>
        <w:spacing w:line="241" w:lineRule="auto"/>
        <w:rPr>
          <w:rFonts w:cs="宋体"/>
          <w:sz w:val="21"/>
          <w:szCs w:val="21"/>
          <w:highlight w:val="none"/>
        </w:rPr>
      </w:pPr>
    </w:p>
    <w:p>
      <w:pPr>
        <w:spacing w:line="241" w:lineRule="auto"/>
        <w:rPr>
          <w:rFonts w:cs="宋体"/>
          <w:sz w:val="21"/>
          <w:szCs w:val="21"/>
          <w:highlight w:val="none"/>
        </w:rPr>
      </w:pPr>
    </w:p>
    <w:p>
      <w:pPr>
        <w:spacing w:line="241" w:lineRule="auto"/>
        <w:rPr>
          <w:rFonts w:cs="宋体"/>
          <w:sz w:val="21"/>
          <w:szCs w:val="21"/>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spacing w:before="221" w:line="228" w:lineRule="auto"/>
        <w:ind w:left="478"/>
        <w:rPr>
          <w:rFonts w:cs="宋体"/>
          <w:sz w:val="20"/>
          <w:szCs w:val="20"/>
          <w:highlight w:val="none"/>
        </w:rPr>
      </w:pPr>
    </w:p>
    <w:p>
      <w:pPr>
        <w:jc w:val="center"/>
        <w:outlineLvl w:val="0"/>
        <w:rPr>
          <w:rFonts w:cs="宋体"/>
          <w:b/>
          <w:sz w:val="28"/>
          <w:szCs w:val="28"/>
          <w:highlight w:val="none"/>
        </w:rPr>
        <w:sectPr>
          <w:pgSz w:w="11906" w:h="16838"/>
          <w:pgMar w:top="1247" w:right="1247" w:bottom="1247" w:left="1247" w:header="850" w:footer="850" w:gutter="0"/>
          <w:cols w:space="425" w:num="1"/>
          <w:docGrid w:type="lines" w:linePitch="312" w:charSpace="0"/>
        </w:sectPr>
      </w:pPr>
    </w:p>
    <w:p>
      <w:pPr>
        <w:snapToGrid w:val="0"/>
        <w:spacing w:line="360" w:lineRule="auto"/>
        <w:ind w:firstLine="562" w:firstLineChars="200"/>
        <w:jc w:val="center"/>
        <w:rPr>
          <w:rFonts w:cs="宋体"/>
          <w:b/>
          <w:sz w:val="28"/>
          <w:szCs w:val="28"/>
          <w:highlight w:val="none"/>
        </w:rPr>
      </w:pPr>
      <w:bookmarkStart w:id="171" w:name="_Toc4840"/>
      <w:bookmarkStart w:id="172" w:name="_Toc6516"/>
      <w:bookmarkStart w:id="173" w:name="_Toc5001"/>
      <w:r>
        <w:rPr>
          <w:rFonts w:hint="eastAsia" w:cs="宋体"/>
          <w:b/>
          <w:sz w:val="28"/>
          <w:szCs w:val="28"/>
          <w:highlight w:val="none"/>
        </w:rPr>
        <w:t>十、政府采购相关政策（如适用）</w:t>
      </w:r>
      <w:bookmarkEnd w:id="171"/>
      <w:bookmarkEnd w:id="172"/>
      <w:bookmarkEnd w:id="173"/>
    </w:p>
    <w:p>
      <w:pPr>
        <w:spacing w:line="480" w:lineRule="exact"/>
        <w:rPr>
          <w:rFonts w:cs="宋体"/>
          <w:b/>
          <w:bCs/>
          <w:highlight w:val="none"/>
        </w:rPr>
      </w:pPr>
      <w:r>
        <w:rPr>
          <w:rFonts w:hint="eastAsia" w:cs="宋体"/>
          <w:b/>
          <w:bCs/>
          <w:highlight w:val="none"/>
        </w:rPr>
        <w:t>1、中小企业声明函</w:t>
      </w:r>
    </w:p>
    <w:p>
      <w:pPr>
        <w:spacing w:line="360" w:lineRule="auto"/>
        <w:jc w:val="center"/>
        <w:rPr>
          <w:rFonts w:cs="宋体"/>
          <w:b/>
          <w:bCs/>
          <w:highlight w:val="none"/>
        </w:rPr>
      </w:pPr>
      <w:bookmarkStart w:id="174" w:name="_Toc156490374"/>
      <w:r>
        <w:rPr>
          <w:rFonts w:hint="eastAsia" w:cs="宋体"/>
          <w:b/>
          <w:bCs/>
          <w:highlight w:val="none"/>
        </w:rPr>
        <w:t>中小企业声明函（服务）</w:t>
      </w:r>
      <w:bookmarkEnd w:id="174"/>
    </w:p>
    <w:p>
      <w:pPr>
        <w:spacing w:line="360" w:lineRule="auto"/>
        <w:ind w:firstLine="504" w:firstLineChars="200"/>
        <w:rPr>
          <w:rFonts w:cs="宋体"/>
          <w:spacing w:val="6"/>
          <w:highlight w:val="none"/>
        </w:rPr>
      </w:pPr>
      <w:r>
        <w:rPr>
          <w:rFonts w:hint="eastAsia" w:cs="宋体"/>
          <w:spacing w:val="6"/>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cs="宋体"/>
          <w:spacing w:val="6"/>
          <w:highlight w:val="none"/>
          <w:u w:val="single"/>
        </w:rPr>
      </w:pPr>
      <w:r>
        <w:rPr>
          <w:rFonts w:hint="eastAsia" w:cs="宋体"/>
          <w:spacing w:val="6"/>
          <w:highlight w:val="none"/>
        </w:rPr>
        <w:t>1.</w:t>
      </w:r>
      <w:r>
        <w:rPr>
          <w:rFonts w:hint="eastAsia" w:cs="宋体"/>
          <w:spacing w:val="6"/>
          <w:highlight w:val="none"/>
          <w:u w:val="single"/>
        </w:rPr>
        <w:t xml:space="preserve"> （标的名称） </w:t>
      </w:r>
      <w:r>
        <w:rPr>
          <w:rFonts w:hint="eastAsia" w:cs="宋体"/>
          <w:spacing w:val="6"/>
          <w:highlight w:val="none"/>
        </w:rPr>
        <w:t>，属于</w:t>
      </w:r>
      <w:r>
        <w:rPr>
          <w:rFonts w:hint="eastAsia" w:cs="宋体"/>
          <w:spacing w:val="6"/>
          <w:highlight w:val="none"/>
          <w:u w:val="single"/>
        </w:rPr>
        <w:t xml:space="preserve"> （采购文件中明确的所属行业） </w:t>
      </w:r>
      <w:r>
        <w:rPr>
          <w:rFonts w:hint="eastAsia" w:cs="宋体"/>
          <w:spacing w:val="6"/>
          <w:highlight w:val="none"/>
        </w:rPr>
        <w:t>；承建（承接）企业为</w:t>
      </w:r>
      <w:r>
        <w:rPr>
          <w:rFonts w:hint="eastAsia" w:cs="宋体"/>
          <w:spacing w:val="6"/>
          <w:highlight w:val="none"/>
          <w:u w:val="single"/>
        </w:rPr>
        <w:t xml:space="preserve"> （企业名称）  </w:t>
      </w:r>
      <w:r>
        <w:rPr>
          <w:rFonts w:hint="eastAsia" w:cs="宋体"/>
          <w:spacing w:val="6"/>
          <w:highlight w:val="none"/>
        </w:rPr>
        <w:t>，从业人员人，营业收入为万元，资产总额为万元，属于</w:t>
      </w:r>
      <w:r>
        <w:rPr>
          <w:rFonts w:hint="eastAsia" w:cs="宋体"/>
          <w:spacing w:val="6"/>
          <w:highlight w:val="none"/>
          <w:u w:val="single"/>
        </w:rPr>
        <w:t>（中型企业、小型企业、微型企业）</w:t>
      </w:r>
      <w:r>
        <w:rPr>
          <w:rFonts w:hint="eastAsia" w:cs="宋体"/>
          <w:spacing w:val="6"/>
          <w:highlight w:val="none"/>
        </w:rPr>
        <w:t>；</w:t>
      </w:r>
    </w:p>
    <w:p>
      <w:pPr>
        <w:spacing w:line="360" w:lineRule="auto"/>
        <w:ind w:firstLine="504" w:firstLineChars="200"/>
        <w:rPr>
          <w:rFonts w:cs="宋体"/>
          <w:spacing w:val="6"/>
          <w:highlight w:val="none"/>
          <w:u w:val="single"/>
        </w:rPr>
      </w:pPr>
      <w:r>
        <w:rPr>
          <w:rFonts w:hint="eastAsia" w:cs="宋体"/>
          <w:spacing w:val="6"/>
          <w:highlight w:val="none"/>
        </w:rPr>
        <w:t>2.</w:t>
      </w:r>
      <w:r>
        <w:rPr>
          <w:rFonts w:hint="eastAsia" w:cs="宋体"/>
          <w:spacing w:val="6"/>
          <w:highlight w:val="none"/>
          <w:u w:val="single"/>
        </w:rPr>
        <w:t xml:space="preserve"> （标的名称） </w:t>
      </w:r>
      <w:r>
        <w:rPr>
          <w:rFonts w:hint="eastAsia" w:cs="宋体"/>
          <w:spacing w:val="6"/>
          <w:highlight w:val="none"/>
        </w:rPr>
        <w:t>，属于</w:t>
      </w:r>
      <w:r>
        <w:rPr>
          <w:rFonts w:hint="eastAsia" w:cs="宋体"/>
          <w:spacing w:val="6"/>
          <w:highlight w:val="none"/>
          <w:u w:val="single"/>
        </w:rPr>
        <w:t xml:space="preserve"> （采购文件中明确的所属行业） </w:t>
      </w:r>
      <w:r>
        <w:rPr>
          <w:rFonts w:hint="eastAsia" w:cs="宋体"/>
          <w:spacing w:val="6"/>
          <w:highlight w:val="none"/>
        </w:rPr>
        <w:t>；承建（承接）企业为</w:t>
      </w:r>
      <w:r>
        <w:rPr>
          <w:rFonts w:hint="eastAsia" w:cs="宋体"/>
          <w:spacing w:val="6"/>
          <w:highlight w:val="none"/>
          <w:u w:val="single"/>
        </w:rPr>
        <w:t xml:space="preserve"> （企业名称）  </w:t>
      </w:r>
      <w:r>
        <w:rPr>
          <w:rFonts w:hint="eastAsia" w:cs="宋体"/>
          <w:spacing w:val="6"/>
          <w:highlight w:val="none"/>
        </w:rPr>
        <w:t>，从业人员人，营业收入为万元，资产总额为万元，属于</w:t>
      </w:r>
      <w:r>
        <w:rPr>
          <w:rFonts w:hint="eastAsia" w:cs="宋体"/>
          <w:spacing w:val="6"/>
          <w:highlight w:val="none"/>
          <w:u w:val="single"/>
        </w:rPr>
        <w:t>（中型企业、小型企业、微型企业）</w:t>
      </w:r>
      <w:r>
        <w:rPr>
          <w:rFonts w:hint="eastAsia" w:cs="宋体"/>
          <w:spacing w:val="6"/>
          <w:highlight w:val="none"/>
        </w:rPr>
        <w:t>；</w:t>
      </w:r>
    </w:p>
    <w:p>
      <w:pPr>
        <w:spacing w:line="360" w:lineRule="auto"/>
        <w:ind w:firstLine="504" w:firstLineChars="200"/>
        <w:rPr>
          <w:rFonts w:cs="宋体"/>
          <w:spacing w:val="6"/>
          <w:highlight w:val="none"/>
        </w:rPr>
      </w:pPr>
      <w:r>
        <w:rPr>
          <w:rFonts w:hint="eastAsia" w:cs="宋体"/>
          <w:spacing w:val="6"/>
          <w:highlight w:val="none"/>
        </w:rPr>
        <w:t>……</w:t>
      </w:r>
    </w:p>
    <w:p>
      <w:pPr>
        <w:spacing w:line="360" w:lineRule="auto"/>
        <w:ind w:firstLine="504" w:firstLineChars="200"/>
        <w:rPr>
          <w:rFonts w:cs="宋体"/>
          <w:spacing w:val="6"/>
          <w:highlight w:val="none"/>
        </w:rPr>
      </w:pPr>
      <w:r>
        <w:rPr>
          <w:rFonts w:hint="eastAsia" w:cs="宋体"/>
          <w:spacing w:val="6"/>
          <w:highlight w:val="none"/>
        </w:rPr>
        <w:t>以上企业，不属于大企业的分支机构，不存在控股股东为大企业的情形，也不存在与大企业的负责人为同一人的情形。</w:t>
      </w:r>
    </w:p>
    <w:p>
      <w:pPr>
        <w:spacing w:line="360" w:lineRule="auto"/>
        <w:ind w:firstLine="504" w:firstLineChars="200"/>
        <w:rPr>
          <w:rFonts w:cs="宋体"/>
          <w:spacing w:val="6"/>
          <w:highlight w:val="none"/>
        </w:rPr>
      </w:pPr>
      <w:r>
        <w:rPr>
          <w:rFonts w:hint="eastAsia" w:cs="宋体"/>
          <w:spacing w:val="6"/>
          <w:highlight w:val="none"/>
        </w:rPr>
        <w:t>本企业对上述声明内容的真实性负责。如有虚假，将依法承担相应责任。</w:t>
      </w:r>
    </w:p>
    <w:p>
      <w:pPr>
        <w:spacing w:line="360" w:lineRule="auto"/>
        <w:ind w:right="1008" w:firstLine="4788" w:firstLineChars="1900"/>
        <w:rPr>
          <w:rFonts w:cs="宋体"/>
          <w:spacing w:val="6"/>
          <w:highlight w:val="none"/>
        </w:rPr>
      </w:pPr>
    </w:p>
    <w:p>
      <w:pPr>
        <w:spacing w:line="360" w:lineRule="auto"/>
        <w:rPr>
          <w:rFonts w:cs="宋体"/>
          <w:sz w:val="21"/>
          <w:szCs w:val="21"/>
          <w:highlight w:val="none"/>
        </w:rPr>
      </w:pPr>
    </w:p>
    <w:p>
      <w:pPr>
        <w:adjustRightInd w:val="0"/>
        <w:snapToGrid w:val="0"/>
        <w:spacing w:line="384" w:lineRule="auto"/>
        <w:rPr>
          <w:rFonts w:cs="宋体"/>
          <w:kern w:val="0"/>
          <w:highlight w:val="none"/>
        </w:rPr>
      </w:pPr>
      <w:r>
        <w:rPr>
          <w:rFonts w:hint="eastAsia" w:cs="宋体"/>
          <w:kern w:val="0"/>
          <w:highlight w:val="none"/>
        </w:rPr>
        <w:t>供应商名称（公章）：</w:t>
      </w:r>
    </w:p>
    <w:p>
      <w:pPr>
        <w:adjustRightInd w:val="0"/>
        <w:snapToGrid w:val="0"/>
        <w:spacing w:line="384"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napToGrid w:val="0"/>
        <w:spacing w:line="384" w:lineRule="auto"/>
        <w:rPr>
          <w:rFonts w:cs="宋体"/>
          <w:b/>
          <w:bCs/>
          <w:highlight w:val="none"/>
        </w:rPr>
      </w:pPr>
      <w:r>
        <w:rPr>
          <w:rFonts w:hint="eastAsia" w:cs="宋体"/>
          <w:highlight w:val="none"/>
        </w:rPr>
        <w:t>日期：年</w:t>
      </w:r>
      <w:r>
        <w:rPr>
          <w:rFonts w:hint="eastAsia" w:cs="宋体"/>
          <w:highlight w:val="none"/>
          <w:lang w:val="en-US" w:eastAsia="zh-CN"/>
        </w:rPr>
        <w:t xml:space="preserve">  </w:t>
      </w:r>
      <w:r>
        <w:rPr>
          <w:rFonts w:hint="eastAsia" w:cs="宋体"/>
          <w:highlight w:val="none"/>
        </w:rPr>
        <w:t>月</w:t>
      </w:r>
      <w:r>
        <w:rPr>
          <w:rFonts w:hint="eastAsia" w:cs="宋体"/>
          <w:highlight w:val="none"/>
          <w:lang w:val="en-US" w:eastAsia="zh-CN"/>
        </w:rPr>
        <w:t xml:space="preserve">   </w:t>
      </w:r>
      <w:r>
        <w:rPr>
          <w:rFonts w:hint="eastAsia" w:cs="宋体"/>
          <w:kern w:val="0"/>
          <w:highlight w:val="none"/>
        </w:rPr>
        <w:t>日</w:t>
      </w:r>
    </w:p>
    <w:p>
      <w:pPr>
        <w:spacing w:line="360" w:lineRule="auto"/>
        <w:rPr>
          <w:rFonts w:cs="宋体"/>
          <w:sz w:val="21"/>
          <w:szCs w:val="21"/>
          <w:highlight w:val="none"/>
        </w:rPr>
      </w:pPr>
    </w:p>
    <w:p>
      <w:pPr>
        <w:spacing w:line="360" w:lineRule="auto"/>
        <w:ind w:firstLine="506" w:firstLineChars="200"/>
        <w:rPr>
          <w:rFonts w:cs="宋体"/>
          <w:highlight w:val="none"/>
        </w:rPr>
      </w:pPr>
      <w:r>
        <w:rPr>
          <w:rFonts w:hint="eastAsia" w:cs="宋体"/>
          <w:b/>
          <w:bCs/>
          <w:spacing w:val="6"/>
          <w:szCs w:val="21"/>
          <w:highlight w:val="none"/>
        </w:rPr>
        <w:t>说明：</w:t>
      </w:r>
      <w:r>
        <w:rPr>
          <w:rFonts w:hint="eastAsia" w:cs="宋体"/>
          <w:spacing w:val="6"/>
          <w:szCs w:val="21"/>
          <w:highlight w:val="none"/>
        </w:rPr>
        <w:t>从业人员、营业收入、资产总额填报上一年度数据，无上一年度数据的新成立企业可不填报。</w:t>
      </w:r>
    </w:p>
    <w:p>
      <w:pPr>
        <w:spacing w:line="360" w:lineRule="auto"/>
        <w:rPr>
          <w:rFonts w:cs="宋体"/>
          <w:b/>
          <w:bCs/>
          <w:highlight w:val="none"/>
        </w:rPr>
      </w:pPr>
      <w:r>
        <w:rPr>
          <w:rFonts w:hint="eastAsia" w:cs="宋体"/>
          <w:b/>
          <w:bCs/>
          <w:highlight w:val="none"/>
        </w:rPr>
        <w:br w:type="page"/>
      </w:r>
    </w:p>
    <w:p>
      <w:pPr>
        <w:spacing w:line="480" w:lineRule="exact"/>
        <w:rPr>
          <w:rFonts w:cs="宋体"/>
          <w:b/>
          <w:bCs/>
          <w:highlight w:val="none"/>
        </w:rPr>
      </w:pPr>
      <w:r>
        <w:rPr>
          <w:rFonts w:hint="eastAsia" w:cs="宋体"/>
          <w:b/>
          <w:bCs/>
          <w:highlight w:val="none"/>
        </w:rPr>
        <w:t>2、监狱企业证明文件（如适用）</w:t>
      </w:r>
    </w:p>
    <w:p>
      <w:pPr>
        <w:spacing w:before="100" w:beforeAutospacing="1" w:after="100" w:afterAutospacing="1" w:line="360" w:lineRule="auto"/>
        <w:jc w:val="center"/>
        <w:rPr>
          <w:rFonts w:cs="宋体"/>
          <w:highlight w:val="none"/>
        </w:rPr>
      </w:pPr>
    </w:p>
    <w:p>
      <w:pPr>
        <w:spacing w:before="100" w:beforeAutospacing="1" w:after="100" w:afterAutospacing="1" w:line="360" w:lineRule="auto"/>
        <w:jc w:val="center"/>
        <w:rPr>
          <w:rFonts w:cs="宋体"/>
          <w:highlight w:val="none"/>
        </w:rPr>
      </w:pPr>
    </w:p>
    <w:p>
      <w:pPr>
        <w:spacing w:before="100" w:beforeAutospacing="1" w:after="100" w:afterAutospacing="1" w:line="360" w:lineRule="auto"/>
        <w:jc w:val="center"/>
        <w:rPr>
          <w:rFonts w:cs="宋体"/>
          <w:highlight w:val="none"/>
        </w:rPr>
      </w:pPr>
      <w:r>
        <w:rPr>
          <w:rFonts w:hint="eastAsia" w:cs="宋体"/>
          <w:highlight w:val="none"/>
        </w:rPr>
        <w:t>供应商如是监狱企业，提供相关证明文件。</w:t>
      </w:r>
    </w:p>
    <w:p>
      <w:pPr>
        <w:spacing w:line="360" w:lineRule="auto"/>
        <w:rPr>
          <w:rFonts w:cs="宋体"/>
          <w:highlight w:val="none"/>
        </w:rPr>
      </w:pPr>
    </w:p>
    <w:p>
      <w:pPr>
        <w:spacing w:line="360" w:lineRule="auto"/>
        <w:rPr>
          <w:rFonts w:cs="宋体"/>
          <w:highlight w:val="none"/>
        </w:rPr>
      </w:pPr>
    </w:p>
    <w:p>
      <w:pPr>
        <w:autoSpaceDE w:val="0"/>
        <w:autoSpaceDN w:val="0"/>
        <w:adjustRightInd w:val="0"/>
        <w:snapToGrid w:val="0"/>
        <w:spacing w:line="360" w:lineRule="auto"/>
        <w:ind w:firstLine="480" w:firstLineChars="200"/>
        <w:rPr>
          <w:rFonts w:cs="宋体"/>
          <w:szCs w:val="22"/>
          <w:highlight w:val="none"/>
        </w:rPr>
      </w:pPr>
    </w:p>
    <w:p>
      <w:pPr>
        <w:spacing w:line="360" w:lineRule="auto"/>
        <w:rPr>
          <w:rFonts w:cs="宋体"/>
          <w:highlight w:val="none"/>
        </w:rPr>
      </w:pPr>
    </w:p>
    <w:p>
      <w:pPr>
        <w:autoSpaceDE w:val="0"/>
        <w:autoSpaceDN w:val="0"/>
        <w:adjustRightInd w:val="0"/>
        <w:snapToGrid w:val="0"/>
        <w:spacing w:line="360" w:lineRule="auto"/>
        <w:ind w:firstLine="480" w:firstLineChars="200"/>
        <w:rPr>
          <w:rFonts w:cs="宋体"/>
          <w:szCs w:val="22"/>
          <w:highlight w:val="none"/>
        </w:rPr>
      </w:pPr>
    </w:p>
    <w:p>
      <w:pPr>
        <w:spacing w:line="360" w:lineRule="auto"/>
        <w:rPr>
          <w:rFonts w:cs="宋体"/>
          <w:highlight w:val="none"/>
        </w:rPr>
      </w:pPr>
    </w:p>
    <w:p>
      <w:pPr>
        <w:autoSpaceDE w:val="0"/>
        <w:autoSpaceDN w:val="0"/>
        <w:adjustRightInd w:val="0"/>
        <w:snapToGrid w:val="0"/>
        <w:spacing w:line="360" w:lineRule="auto"/>
        <w:ind w:firstLine="480" w:firstLineChars="200"/>
        <w:rPr>
          <w:rFonts w:cs="宋体"/>
          <w:szCs w:val="22"/>
          <w:highlight w:val="none"/>
        </w:rPr>
      </w:pPr>
    </w:p>
    <w:p>
      <w:pPr>
        <w:spacing w:line="360" w:lineRule="auto"/>
        <w:rPr>
          <w:rFonts w:cs="宋体"/>
          <w:highlight w:val="none"/>
        </w:rPr>
      </w:pPr>
    </w:p>
    <w:p>
      <w:pPr>
        <w:autoSpaceDE w:val="0"/>
        <w:autoSpaceDN w:val="0"/>
        <w:adjustRightInd w:val="0"/>
        <w:snapToGrid w:val="0"/>
        <w:spacing w:line="360" w:lineRule="auto"/>
        <w:ind w:firstLine="480" w:firstLineChars="200"/>
        <w:rPr>
          <w:rFonts w:cs="宋体"/>
          <w:szCs w:val="22"/>
          <w:highlight w:val="none"/>
        </w:rPr>
      </w:pPr>
    </w:p>
    <w:p>
      <w:pPr>
        <w:spacing w:line="360" w:lineRule="auto"/>
        <w:rPr>
          <w:rFonts w:cs="宋体"/>
          <w:highlight w:val="none"/>
        </w:rPr>
      </w:pPr>
    </w:p>
    <w:p>
      <w:pPr>
        <w:autoSpaceDE w:val="0"/>
        <w:autoSpaceDN w:val="0"/>
        <w:adjustRightInd w:val="0"/>
        <w:snapToGrid w:val="0"/>
        <w:spacing w:line="360" w:lineRule="auto"/>
        <w:ind w:firstLine="480" w:firstLineChars="200"/>
        <w:rPr>
          <w:rFonts w:cs="宋体"/>
          <w:szCs w:val="22"/>
          <w:highlight w:val="none"/>
        </w:rPr>
      </w:pPr>
    </w:p>
    <w:p>
      <w:pPr>
        <w:spacing w:line="360" w:lineRule="auto"/>
        <w:rPr>
          <w:rFonts w:cs="宋体"/>
          <w:highlight w:val="none"/>
        </w:rPr>
      </w:pPr>
    </w:p>
    <w:p>
      <w:pPr>
        <w:autoSpaceDE w:val="0"/>
        <w:autoSpaceDN w:val="0"/>
        <w:adjustRightInd w:val="0"/>
        <w:snapToGrid w:val="0"/>
        <w:spacing w:line="360" w:lineRule="auto"/>
        <w:ind w:firstLine="480" w:firstLineChars="200"/>
        <w:rPr>
          <w:rFonts w:cs="宋体"/>
          <w:szCs w:val="22"/>
          <w:highlight w:val="none"/>
        </w:rPr>
      </w:pPr>
    </w:p>
    <w:p>
      <w:pPr>
        <w:spacing w:line="360" w:lineRule="auto"/>
        <w:rPr>
          <w:rFonts w:cs="宋体"/>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spacing w:line="480" w:lineRule="exact"/>
        <w:rPr>
          <w:rFonts w:cs="宋体"/>
          <w:highlight w:val="none"/>
        </w:rPr>
      </w:pPr>
    </w:p>
    <w:p>
      <w:pPr>
        <w:spacing w:line="480" w:lineRule="exact"/>
        <w:rPr>
          <w:rFonts w:cs="宋体"/>
          <w:highlight w:val="none"/>
        </w:rPr>
      </w:pPr>
    </w:p>
    <w:p>
      <w:pPr>
        <w:numPr>
          <w:ilvl w:val="0"/>
          <w:numId w:val="17"/>
        </w:numPr>
        <w:spacing w:line="480" w:lineRule="exact"/>
        <w:rPr>
          <w:rFonts w:cs="宋体"/>
          <w:b/>
          <w:bCs/>
          <w:highlight w:val="none"/>
        </w:rPr>
      </w:pPr>
      <w:r>
        <w:rPr>
          <w:rFonts w:hint="eastAsia" w:cs="宋体"/>
          <w:b/>
          <w:bCs/>
          <w:highlight w:val="none"/>
        </w:rPr>
        <w:br w:type="page"/>
      </w:r>
      <w:r>
        <w:rPr>
          <w:rFonts w:hint="eastAsia" w:cs="宋体"/>
          <w:b/>
          <w:bCs/>
          <w:highlight w:val="none"/>
        </w:rPr>
        <w:t>残疾人福利性单位声明函（如适用）</w:t>
      </w:r>
    </w:p>
    <w:p>
      <w:pPr>
        <w:spacing w:line="360" w:lineRule="auto"/>
        <w:rPr>
          <w:rFonts w:cs="宋体"/>
          <w:highlight w:val="none"/>
        </w:rPr>
      </w:pPr>
    </w:p>
    <w:p>
      <w:pPr>
        <w:snapToGrid w:val="0"/>
        <w:spacing w:line="384" w:lineRule="auto"/>
        <w:jc w:val="center"/>
        <w:rPr>
          <w:rFonts w:cs="宋体"/>
          <w:b/>
          <w:bCs/>
          <w:spacing w:val="6"/>
          <w:highlight w:val="none"/>
        </w:rPr>
      </w:pPr>
      <w:r>
        <w:rPr>
          <w:rFonts w:hint="eastAsia" w:cs="宋体"/>
          <w:b/>
          <w:bCs/>
          <w:spacing w:val="6"/>
          <w:highlight w:val="none"/>
        </w:rPr>
        <w:t>残疾人福利性单位声明函</w:t>
      </w:r>
    </w:p>
    <w:p>
      <w:pPr>
        <w:snapToGrid w:val="0"/>
        <w:spacing w:line="384" w:lineRule="auto"/>
        <w:rPr>
          <w:rFonts w:cs="宋体"/>
          <w:b/>
          <w:bCs/>
          <w:spacing w:val="6"/>
          <w:highlight w:val="none"/>
        </w:rPr>
      </w:pPr>
      <w:r>
        <w:rPr>
          <w:rFonts w:hint="eastAsia" w:cs="宋体"/>
          <w:spacing w:val="6"/>
          <w:highlight w:val="none"/>
        </w:rPr>
        <w:t>本单位郑重声明，根据《财政部 民政部 中国残疾人联合会关于促进残疾人就业政府采购政策的通知》（财库</w:t>
      </w:r>
      <w:r>
        <w:rPr>
          <w:rFonts w:hint="eastAsia" w:cs="宋体"/>
          <w:highlight w:val="none"/>
        </w:rPr>
        <w:t>〔2017〕 141</w:t>
      </w:r>
      <w:r>
        <w:rPr>
          <w:rFonts w:hint="eastAsia" w:cs="宋体"/>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84" w:lineRule="auto"/>
        <w:ind w:firstLine="504" w:firstLineChars="200"/>
        <w:rPr>
          <w:rFonts w:cs="宋体"/>
          <w:spacing w:val="6"/>
          <w:highlight w:val="none"/>
        </w:rPr>
      </w:pPr>
      <w:r>
        <w:rPr>
          <w:rFonts w:hint="eastAsia" w:cs="宋体"/>
          <w:spacing w:val="6"/>
          <w:highlight w:val="none"/>
        </w:rPr>
        <w:t>本单位对上述声明的真实性负责。如有虚假，将依法承担相应责任。</w:t>
      </w:r>
    </w:p>
    <w:p>
      <w:pPr>
        <w:snapToGrid w:val="0"/>
        <w:spacing w:line="384" w:lineRule="auto"/>
        <w:ind w:right="2004"/>
        <w:rPr>
          <w:rFonts w:cs="宋体"/>
          <w:spacing w:val="6"/>
          <w:highlight w:val="none"/>
        </w:rPr>
      </w:pPr>
    </w:p>
    <w:p>
      <w:pPr>
        <w:snapToGrid w:val="0"/>
        <w:spacing w:line="384" w:lineRule="auto"/>
        <w:rPr>
          <w:rFonts w:cs="宋体"/>
          <w:highlight w:val="none"/>
        </w:rPr>
      </w:pPr>
      <w:r>
        <w:rPr>
          <w:rFonts w:hint="eastAsia" w:cs="宋体"/>
          <w:highlight w:val="none"/>
        </w:rPr>
        <w:t>备注：享受政府采购支持政策的残疾人福利性单位应当同时满足以下条件：</w:t>
      </w:r>
    </w:p>
    <w:p>
      <w:pPr>
        <w:snapToGrid w:val="0"/>
        <w:spacing w:line="384" w:lineRule="auto"/>
        <w:ind w:firstLine="480" w:firstLineChars="200"/>
        <w:rPr>
          <w:rFonts w:cs="宋体"/>
          <w:highlight w:val="none"/>
        </w:rPr>
      </w:pPr>
      <w:r>
        <w:rPr>
          <w:rFonts w:hint="eastAsia" w:cs="宋体"/>
          <w:highlight w:val="none"/>
        </w:rPr>
        <w:t>（1）安置的残疾人占本单位在职职工人数的比例不低于25%（含25%），并且安置的残疾人人数不少于10人（含10人）；</w:t>
      </w:r>
    </w:p>
    <w:p>
      <w:pPr>
        <w:snapToGrid w:val="0"/>
        <w:spacing w:line="384" w:lineRule="auto"/>
        <w:ind w:firstLine="480" w:firstLineChars="200"/>
        <w:rPr>
          <w:rFonts w:cs="宋体"/>
          <w:highlight w:val="none"/>
        </w:rPr>
      </w:pPr>
      <w:r>
        <w:rPr>
          <w:rFonts w:hint="eastAsia" w:cs="宋体"/>
          <w:highlight w:val="none"/>
        </w:rPr>
        <w:t>（2）依法与安置的每位残疾人签订了一年以上（含一年）的劳动合同或服务协议；</w:t>
      </w:r>
    </w:p>
    <w:p>
      <w:pPr>
        <w:snapToGrid w:val="0"/>
        <w:spacing w:line="384" w:lineRule="auto"/>
        <w:ind w:firstLine="480" w:firstLineChars="200"/>
        <w:rPr>
          <w:rFonts w:cs="宋体"/>
          <w:highlight w:val="none"/>
        </w:rPr>
      </w:pPr>
      <w:r>
        <w:rPr>
          <w:rFonts w:hint="eastAsia" w:cs="宋体"/>
          <w:highlight w:val="none"/>
        </w:rPr>
        <w:t>（3）为安置的每位残疾人按月足额缴纳了基本养老保险、基本医疗保险、失业保险、工伤保险和生育保险等社会保险费；</w:t>
      </w:r>
    </w:p>
    <w:p>
      <w:pPr>
        <w:snapToGrid w:val="0"/>
        <w:spacing w:line="384" w:lineRule="auto"/>
        <w:ind w:firstLine="480" w:firstLineChars="200"/>
        <w:rPr>
          <w:rFonts w:cs="宋体"/>
          <w:highlight w:val="none"/>
        </w:rPr>
      </w:pPr>
      <w:r>
        <w:rPr>
          <w:rFonts w:hint="eastAsia" w:cs="宋体"/>
          <w:highlight w:val="none"/>
        </w:rPr>
        <w:t>（4）通过银行等金融机构向安置的每位残疾人，按月支付了不低于单位所在区县适用的经省级人民政府批准的月最低工资标准的工资；</w:t>
      </w:r>
    </w:p>
    <w:p>
      <w:pPr>
        <w:snapToGrid w:val="0"/>
        <w:spacing w:line="384" w:lineRule="auto"/>
        <w:ind w:firstLine="480" w:firstLineChars="200"/>
        <w:rPr>
          <w:rFonts w:cs="宋体"/>
          <w:highlight w:val="none"/>
        </w:rPr>
      </w:pPr>
      <w:r>
        <w:rPr>
          <w:rFonts w:hint="eastAsia" w:cs="宋体"/>
          <w:highlight w:val="none"/>
        </w:rPr>
        <w:t>（5）提供本单位制造的货物、承担的工程或者服务（以下简称产品），或者提供其他残疾人福利性单位制造的货物（不包括使用非残疾人福利性单位注册商标的货物）。</w:t>
      </w:r>
    </w:p>
    <w:p>
      <w:pPr>
        <w:snapToGrid w:val="0"/>
        <w:spacing w:line="384" w:lineRule="auto"/>
        <w:ind w:firstLine="480" w:firstLineChars="200"/>
        <w:rPr>
          <w:rFonts w:cs="宋体"/>
          <w:highlight w:val="none"/>
        </w:rPr>
      </w:pPr>
      <w:r>
        <w:rPr>
          <w:rFonts w:hint="eastAsia" w:cs="宋体"/>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84" w:lineRule="auto"/>
        <w:ind w:firstLine="480" w:firstLineChars="200"/>
        <w:rPr>
          <w:rFonts w:cs="宋体"/>
          <w:highlight w:val="none"/>
        </w:rPr>
      </w:pPr>
    </w:p>
    <w:p>
      <w:pPr>
        <w:adjustRightInd w:val="0"/>
        <w:snapToGrid w:val="0"/>
        <w:spacing w:line="384" w:lineRule="auto"/>
        <w:rPr>
          <w:rFonts w:cs="宋体"/>
          <w:kern w:val="0"/>
          <w:highlight w:val="none"/>
        </w:rPr>
      </w:pPr>
      <w:r>
        <w:rPr>
          <w:rFonts w:hint="eastAsia" w:cs="宋体"/>
          <w:kern w:val="0"/>
          <w:highlight w:val="none"/>
        </w:rPr>
        <w:t>供应商名称（公章）：</w:t>
      </w:r>
    </w:p>
    <w:p>
      <w:pPr>
        <w:adjustRightInd w:val="0"/>
        <w:snapToGrid w:val="0"/>
        <w:spacing w:line="384"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napToGrid w:val="0"/>
        <w:spacing w:line="384" w:lineRule="auto"/>
        <w:rPr>
          <w:rFonts w:cs="宋体"/>
          <w:b/>
          <w:bCs/>
          <w:highlight w:val="none"/>
        </w:rPr>
      </w:pPr>
      <w:r>
        <w:rPr>
          <w:rFonts w:hint="eastAsia" w:cs="宋体"/>
          <w:highlight w:val="none"/>
        </w:rPr>
        <w:t>日期：年月</w:t>
      </w:r>
      <w:r>
        <w:rPr>
          <w:rFonts w:hint="eastAsia" w:cs="宋体"/>
          <w:kern w:val="0"/>
          <w:highlight w:val="none"/>
        </w:rPr>
        <w:t>日</w:t>
      </w:r>
    </w:p>
    <w:p>
      <w:pPr>
        <w:snapToGrid w:val="0"/>
        <w:spacing w:line="384" w:lineRule="auto"/>
        <w:rPr>
          <w:rFonts w:cs="宋体"/>
          <w:szCs w:val="21"/>
          <w:highlight w:val="none"/>
        </w:rPr>
      </w:pPr>
      <w:r>
        <w:rPr>
          <w:rFonts w:hint="eastAsia" w:cs="宋体"/>
          <w:b/>
          <w:bCs/>
          <w:highlight w:val="none"/>
        </w:rPr>
        <w:br w:type="page"/>
      </w:r>
      <w:r>
        <w:rPr>
          <w:rFonts w:hint="eastAsia" w:cs="宋体"/>
          <w:b/>
          <w:bCs/>
          <w:highlight w:val="none"/>
        </w:rPr>
        <w:t>4、节能、环境标志产品品目清单及认证机构（如适用）</w:t>
      </w:r>
    </w:p>
    <w:p>
      <w:pPr>
        <w:spacing w:line="360" w:lineRule="auto"/>
        <w:rPr>
          <w:rFonts w:cs="宋体"/>
          <w:highlight w:val="none"/>
        </w:rPr>
      </w:pPr>
    </w:p>
    <w:p>
      <w:pPr>
        <w:spacing w:line="360" w:lineRule="auto"/>
        <w:rPr>
          <w:rFonts w:cs="宋体"/>
          <w:highlight w:val="none"/>
        </w:rPr>
      </w:pPr>
      <w:r>
        <w:rPr>
          <w:rFonts w:hint="eastAsia" w:cs="宋体"/>
          <w:highlight w:val="none"/>
        </w:rPr>
        <w:t>项目名称：</w:t>
      </w:r>
    </w:p>
    <w:p>
      <w:pPr>
        <w:spacing w:line="360" w:lineRule="auto"/>
        <w:jc w:val="left"/>
        <w:rPr>
          <w:rFonts w:cs="宋体"/>
          <w:kern w:val="0"/>
          <w:highlight w:val="none"/>
        </w:rPr>
      </w:pPr>
      <w:r>
        <w:rPr>
          <w:rFonts w:hint="eastAsia" w:cs="宋体"/>
          <w:kern w:val="0"/>
          <w:highlight w:val="none"/>
        </w:rPr>
        <w:t>1）节能产品</w:t>
      </w:r>
    </w:p>
    <w:tbl>
      <w:tblPr>
        <w:tblStyle w:val="2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94"/>
        <w:gridCol w:w="992"/>
        <w:gridCol w:w="709"/>
        <w:gridCol w:w="707"/>
        <w:gridCol w:w="709"/>
        <w:gridCol w:w="1073"/>
        <w:gridCol w:w="945"/>
        <w:gridCol w:w="124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序号</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设备名称</w:t>
            </w: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制造商名称</w:t>
            </w: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品牌</w:t>
            </w: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型号</w:t>
            </w: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数量</w:t>
            </w:r>
          </w:p>
        </w:tc>
        <w:tc>
          <w:tcPr>
            <w:tcW w:w="1073"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单价</w:t>
            </w:r>
          </w:p>
          <w:p>
            <w:pPr>
              <w:spacing w:line="360" w:lineRule="auto"/>
              <w:jc w:val="center"/>
              <w:rPr>
                <w:rFonts w:cs="宋体"/>
                <w:highlight w:val="none"/>
              </w:rPr>
            </w:pPr>
            <w:r>
              <w:rPr>
                <w:rFonts w:hint="eastAsia" w:cs="宋体"/>
                <w:highlight w:val="none"/>
              </w:rPr>
              <w:t>(万元)</w:t>
            </w:r>
          </w:p>
        </w:tc>
        <w:tc>
          <w:tcPr>
            <w:tcW w:w="945"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总价</w:t>
            </w:r>
          </w:p>
          <w:p>
            <w:pPr>
              <w:spacing w:line="360" w:lineRule="auto"/>
              <w:jc w:val="center"/>
              <w:rPr>
                <w:rFonts w:cs="宋体"/>
                <w:highlight w:val="none"/>
              </w:rPr>
            </w:pPr>
            <w:r>
              <w:rPr>
                <w:rFonts w:hint="eastAsia" w:cs="宋体"/>
                <w:highlight w:val="none"/>
              </w:rPr>
              <w:t>(万元)</w:t>
            </w: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认证机构</w:t>
            </w: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认证证书所在页码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1</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3"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45"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2</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3"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45"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3</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w:t>
            </w: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3"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45"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bl>
    <w:p>
      <w:pPr>
        <w:spacing w:line="360" w:lineRule="auto"/>
        <w:jc w:val="left"/>
        <w:rPr>
          <w:rFonts w:cs="宋体"/>
          <w:highlight w:val="none"/>
        </w:rPr>
      </w:pPr>
      <w:r>
        <w:rPr>
          <w:rFonts w:hint="eastAsia" w:cs="宋体"/>
          <w:kern w:val="0"/>
          <w:highlight w:val="none"/>
        </w:rPr>
        <w:t>2）环境标志产品</w:t>
      </w:r>
    </w:p>
    <w:tbl>
      <w:tblPr>
        <w:tblStyle w:val="2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94"/>
        <w:gridCol w:w="992"/>
        <w:gridCol w:w="709"/>
        <w:gridCol w:w="707"/>
        <w:gridCol w:w="709"/>
        <w:gridCol w:w="1058"/>
        <w:gridCol w:w="960"/>
        <w:gridCol w:w="124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序号</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设备名称</w:t>
            </w: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制造商名称</w:t>
            </w: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品牌</w:t>
            </w: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型号</w:t>
            </w: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数量</w:t>
            </w:r>
          </w:p>
        </w:tc>
        <w:tc>
          <w:tcPr>
            <w:tcW w:w="1058"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单价</w:t>
            </w:r>
          </w:p>
          <w:p>
            <w:pPr>
              <w:spacing w:line="360" w:lineRule="auto"/>
              <w:jc w:val="center"/>
              <w:rPr>
                <w:rFonts w:cs="宋体"/>
                <w:highlight w:val="none"/>
              </w:rPr>
            </w:pPr>
            <w:r>
              <w:rPr>
                <w:rFonts w:hint="eastAsia" w:cs="宋体"/>
                <w:highlight w:val="none"/>
              </w:rPr>
              <w:t>(万元)</w:t>
            </w:r>
          </w:p>
        </w:tc>
        <w:tc>
          <w:tcPr>
            <w:tcW w:w="96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总价</w:t>
            </w:r>
          </w:p>
          <w:p>
            <w:pPr>
              <w:spacing w:line="360" w:lineRule="auto"/>
              <w:jc w:val="center"/>
              <w:rPr>
                <w:rFonts w:cs="宋体"/>
                <w:highlight w:val="none"/>
              </w:rPr>
            </w:pPr>
            <w:r>
              <w:rPr>
                <w:rFonts w:hint="eastAsia" w:cs="宋体"/>
                <w:highlight w:val="none"/>
              </w:rPr>
              <w:t>(万元)</w:t>
            </w: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认证机构</w:t>
            </w: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认证证书所在页码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1</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58"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6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2</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58"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6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3</w:t>
            </w:r>
          </w:p>
        </w:tc>
        <w:tc>
          <w:tcPr>
            <w:tcW w:w="994"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r>
              <w:rPr>
                <w:rFonts w:hint="eastAsia" w:cs="宋体"/>
                <w:highlight w:val="none"/>
              </w:rPr>
              <w:t>……</w:t>
            </w:r>
          </w:p>
        </w:tc>
        <w:tc>
          <w:tcPr>
            <w:tcW w:w="992"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7"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709"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58"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96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241"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c>
          <w:tcPr>
            <w:tcW w:w="1070" w:type="dxa"/>
            <w:tcBorders>
              <w:top w:val="single" w:color="auto" w:sz="4" w:space="0"/>
              <w:left w:val="nil"/>
              <w:bottom w:val="single" w:color="auto" w:sz="4" w:space="0"/>
              <w:right w:val="single" w:color="auto" w:sz="4" w:space="0"/>
            </w:tcBorders>
            <w:noWrap/>
            <w:vAlign w:val="center"/>
          </w:tcPr>
          <w:p>
            <w:pPr>
              <w:spacing w:line="360" w:lineRule="auto"/>
              <w:jc w:val="center"/>
              <w:rPr>
                <w:rFonts w:cs="宋体"/>
                <w:highlight w:val="none"/>
              </w:rPr>
            </w:pPr>
          </w:p>
        </w:tc>
      </w:tr>
    </w:tbl>
    <w:p>
      <w:pPr>
        <w:spacing w:line="360" w:lineRule="auto"/>
        <w:rPr>
          <w:rFonts w:cs="宋体"/>
          <w:highlight w:val="none"/>
        </w:rPr>
      </w:pPr>
    </w:p>
    <w:p>
      <w:pPr>
        <w:spacing w:line="360" w:lineRule="auto"/>
        <w:rPr>
          <w:rFonts w:cs="宋体"/>
          <w:b/>
          <w:bCs/>
          <w:highlight w:val="none"/>
        </w:rPr>
      </w:pPr>
      <w:r>
        <w:rPr>
          <w:rFonts w:hint="eastAsia" w:cs="宋体"/>
          <w:b/>
          <w:bCs/>
          <w:highlight w:val="none"/>
        </w:rPr>
        <w:t>特别说明：供应商应将所投产品中属于节能、环境标志产品分别列入上表中，并提供相关证明文件，未填写本表或证明资料不全的不给予价格扣除。环境标志产品政府采购品目清单，节能产品政府采购品目清单，节能、环境标志产品品目清单及认证机构见附件。</w:t>
      </w:r>
    </w:p>
    <w:p>
      <w:pPr>
        <w:spacing w:line="480" w:lineRule="exact"/>
        <w:jc w:val="center"/>
        <w:rPr>
          <w:rFonts w:cs="宋体"/>
          <w:b/>
          <w:bCs/>
          <w:highlight w:val="none"/>
        </w:rPr>
      </w:pPr>
    </w:p>
    <w:p>
      <w:pPr>
        <w:spacing w:line="480" w:lineRule="exact"/>
        <w:jc w:val="center"/>
        <w:rPr>
          <w:rFonts w:cs="宋体"/>
          <w:b/>
          <w:bCs/>
          <w:sz w:val="28"/>
          <w:szCs w:val="28"/>
          <w:highlight w:val="none"/>
        </w:rPr>
      </w:pPr>
    </w:p>
    <w:bookmarkEnd w:id="165"/>
    <w:bookmarkEnd w:id="166"/>
    <w:bookmarkEnd w:id="167"/>
    <w:bookmarkEnd w:id="168"/>
    <w:bookmarkEnd w:id="169"/>
    <w:bookmarkEnd w:id="170"/>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p>
      <w:pPr>
        <w:spacing w:line="500" w:lineRule="exact"/>
        <w:ind w:right="420"/>
        <w:jc w:val="center"/>
        <w:rPr>
          <w:rFonts w:cs="宋体"/>
          <w:b/>
          <w:sz w:val="28"/>
          <w:szCs w:val="28"/>
          <w:highlight w:val="none"/>
        </w:rPr>
      </w:pPr>
      <w:r>
        <w:rPr>
          <w:rFonts w:hint="eastAsia" w:cs="宋体"/>
          <w:highlight w:val="none"/>
        </w:rPr>
        <w:br w:type="page"/>
      </w:r>
      <w:bookmarkStart w:id="175" w:name="_Toc6097"/>
      <w:bookmarkStart w:id="176" w:name="_Toc6679_WPSOffice_Level1"/>
      <w:bookmarkStart w:id="177" w:name="_Toc3630"/>
      <w:bookmarkStart w:id="178" w:name="_Toc15360_WPSOffice_Level1"/>
      <w:bookmarkStart w:id="179" w:name="_Toc29876"/>
      <w:bookmarkStart w:id="180" w:name="_Toc11699"/>
      <w:bookmarkStart w:id="181" w:name="_Toc19253"/>
      <w:bookmarkStart w:id="182" w:name="_Toc4234"/>
      <w:bookmarkStart w:id="183" w:name="_Toc18925"/>
      <w:bookmarkStart w:id="184" w:name="_Toc5594"/>
      <w:bookmarkStart w:id="185" w:name="_Toc16370"/>
      <w:bookmarkStart w:id="186" w:name="_Toc16223"/>
      <w:bookmarkStart w:id="187" w:name="_Toc1824"/>
      <w:r>
        <w:rPr>
          <w:rFonts w:hint="eastAsia" w:cs="宋体"/>
          <w:b/>
          <w:sz w:val="28"/>
          <w:szCs w:val="28"/>
          <w:highlight w:val="none"/>
        </w:rPr>
        <w:t>十一、技术文件</w:t>
      </w:r>
    </w:p>
    <w:p>
      <w:pPr>
        <w:tabs>
          <w:tab w:val="center" w:pos="4153"/>
          <w:tab w:val="right" w:pos="8306"/>
        </w:tabs>
        <w:snapToGrid w:val="0"/>
        <w:spacing w:line="360" w:lineRule="auto"/>
        <w:jc w:val="left"/>
        <w:rPr>
          <w:rFonts w:cs="宋体"/>
          <w:sz w:val="18"/>
          <w:highlight w:val="none"/>
        </w:rPr>
      </w:pPr>
    </w:p>
    <w:p>
      <w:pPr>
        <w:spacing w:line="360" w:lineRule="auto"/>
        <w:ind w:firstLine="528" w:firstLineChars="200"/>
        <w:jc w:val="left"/>
        <w:rPr>
          <w:rFonts w:cs="宋体"/>
          <w:spacing w:val="-8"/>
          <w:sz w:val="28"/>
          <w:szCs w:val="28"/>
          <w:highlight w:val="none"/>
        </w:rPr>
      </w:pPr>
      <w:bookmarkStart w:id="188" w:name="_Toc10229"/>
      <w:bookmarkStart w:id="189" w:name="_Toc23104"/>
      <w:r>
        <w:rPr>
          <w:rFonts w:hint="eastAsia" w:cs="宋体"/>
          <w:spacing w:val="-8"/>
          <w:sz w:val="28"/>
          <w:szCs w:val="28"/>
          <w:highlight w:val="none"/>
        </w:rPr>
        <w:t>包括但不限于以下内容：</w:t>
      </w:r>
    </w:p>
    <w:bookmarkEnd w:id="188"/>
    <w:bookmarkEnd w:id="189"/>
    <w:p>
      <w:pPr>
        <w:spacing w:beforeLines="50" w:afterLines="100" w:line="440" w:lineRule="exact"/>
        <w:ind w:firstLine="964" w:firstLineChars="400"/>
        <w:rPr>
          <w:rFonts w:cs="宋体"/>
          <w:b/>
          <w:highlight w:val="none"/>
        </w:rPr>
      </w:pPr>
      <w:r>
        <w:rPr>
          <w:rFonts w:hint="eastAsia" w:cs="宋体"/>
          <w:b/>
          <w:highlight w:val="none"/>
        </w:rPr>
        <w:t>1、服务方案</w:t>
      </w:r>
    </w:p>
    <w:p>
      <w:pPr>
        <w:spacing w:beforeLines="50" w:afterLines="100" w:line="440" w:lineRule="exact"/>
        <w:ind w:firstLine="964" w:firstLineChars="400"/>
        <w:rPr>
          <w:rFonts w:cs="宋体"/>
          <w:b/>
          <w:highlight w:val="none"/>
        </w:rPr>
      </w:pPr>
      <w:r>
        <w:rPr>
          <w:rFonts w:hint="eastAsia" w:cs="宋体"/>
          <w:b/>
          <w:highlight w:val="none"/>
        </w:rPr>
        <w:t>2、餐饮菜品内容规划与设计方案</w:t>
      </w:r>
    </w:p>
    <w:p>
      <w:pPr>
        <w:spacing w:beforeLines="50" w:afterLines="100" w:line="440" w:lineRule="exact"/>
        <w:ind w:firstLine="964" w:firstLineChars="400"/>
        <w:rPr>
          <w:rFonts w:cs="宋体"/>
          <w:b/>
          <w:highlight w:val="none"/>
        </w:rPr>
      </w:pPr>
      <w:r>
        <w:rPr>
          <w:rFonts w:hint="eastAsia" w:cs="宋体"/>
          <w:b/>
          <w:highlight w:val="none"/>
        </w:rPr>
        <w:t>3、特色服务</w:t>
      </w:r>
    </w:p>
    <w:p>
      <w:pPr>
        <w:spacing w:beforeLines="50" w:afterLines="100" w:line="440" w:lineRule="exact"/>
        <w:ind w:firstLine="964" w:firstLineChars="400"/>
        <w:rPr>
          <w:rFonts w:cs="宋体"/>
          <w:b/>
          <w:highlight w:val="none"/>
        </w:rPr>
      </w:pPr>
      <w:r>
        <w:rPr>
          <w:rFonts w:hint="eastAsia" w:cs="宋体"/>
          <w:b/>
          <w:highlight w:val="none"/>
        </w:rPr>
        <w:t>4、项目团队人员</w:t>
      </w:r>
    </w:p>
    <w:p>
      <w:pPr>
        <w:spacing w:beforeLines="50" w:afterLines="100" w:line="440" w:lineRule="exact"/>
        <w:ind w:firstLine="964" w:firstLineChars="400"/>
        <w:rPr>
          <w:rFonts w:cs="宋体"/>
          <w:b/>
          <w:highlight w:val="none"/>
        </w:rPr>
      </w:pPr>
      <w:r>
        <w:rPr>
          <w:rFonts w:hint="eastAsia" w:cs="宋体"/>
          <w:b/>
          <w:highlight w:val="none"/>
        </w:rPr>
        <w:t>5、员工管理方案</w:t>
      </w:r>
    </w:p>
    <w:p>
      <w:pPr>
        <w:spacing w:beforeLines="50" w:afterLines="100" w:line="440" w:lineRule="exact"/>
        <w:ind w:firstLine="964" w:firstLineChars="400"/>
        <w:rPr>
          <w:rFonts w:cs="宋体"/>
          <w:b/>
          <w:highlight w:val="none"/>
        </w:rPr>
      </w:pPr>
      <w:r>
        <w:rPr>
          <w:rFonts w:hint="eastAsia" w:cs="宋体"/>
          <w:b/>
          <w:highlight w:val="none"/>
        </w:rPr>
        <w:t>6、食堂运营管理制度</w:t>
      </w:r>
    </w:p>
    <w:p>
      <w:pPr>
        <w:spacing w:beforeLines="50" w:afterLines="100" w:line="440" w:lineRule="exact"/>
        <w:ind w:firstLine="964" w:firstLineChars="400"/>
        <w:rPr>
          <w:rFonts w:cs="宋体"/>
          <w:b/>
          <w:highlight w:val="none"/>
        </w:rPr>
      </w:pPr>
      <w:r>
        <w:rPr>
          <w:rFonts w:hint="eastAsia" w:cs="宋体"/>
          <w:b/>
          <w:highlight w:val="none"/>
        </w:rPr>
        <w:t>7、食堂餐具消毒管理</w:t>
      </w:r>
    </w:p>
    <w:p>
      <w:pPr>
        <w:spacing w:beforeLines="50" w:afterLines="100" w:line="440" w:lineRule="exact"/>
        <w:ind w:firstLine="964" w:firstLineChars="400"/>
        <w:rPr>
          <w:rFonts w:cs="宋体"/>
          <w:b/>
          <w:highlight w:val="none"/>
        </w:rPr>
      </w:pPr>
      <w:r>
        <w:rPr>
          <w:rFonts w:hint="eastAsia" w:cs="宋体"/>
          <w:b/>
          <w:highlight w:val="none"/>
        </w:rPr>
        <w:t>8、服务质量与投诉解决发方案</w:t>
      </w:r>
    </w:p>
    <w:p>
      <w:pPr>
        <w:spacing w:beforeLines="50" w:afterLines="100" w:line="440" w:lineRule="exact"/>
        <w:ind w:firstLine="964" w:firstLineChars="400"/>
        <w:rPr>
          <w:rFonts w:cs="宋体"/>
          <w:b/>
          <w:highlight w:val="none"/>
        </w:rPr>
      </w:pPr>
      <w:r>
        <w:rPr>
          <w:rFonts w:hint="eastAsia" w:cs="宋体"/>
          <w:b/>
          <w:highlight w:val="none"/>
        </w:rPr>
        <w:t>9、应急预案</w:t>
      </w:r>
    </w:p>
    <w:p>
      <w:pPr>
        <w:tabs>
          <w:tab w:val="center" w:pos="4153"/>
          <w:tab w:val="right" w:pos="8306"/>
        </w:tabs>
        <w:snapToGrid w:val="0"/>
        <w:spacing w:line="360" w:lineRule="auto"/>
        <w:jc w:val="left"/>
        <w:rPr>
          <w:rFonts w:cs="宋体"/>
          <w:sz w:val="18"/>
          <w:highlight w:val="none"/>
        </w:rPr>
      </w:pPr>
    </w:p>
    <w:p>
      <w:pPr>
        <w:rPr>
          <w:rFonts w:cs="宋体"/>
          <w:highlight w:val="none"/>
        </w:rPr>
        <w:sectPr>
          <w:pgSz w:w="11906" w:h="16838"/>
          <w:pgMar w:top="1247" w:right="1247" w:bottom="1247" w:left="1247" w:header="850" w:footer="850" w:gutter="0"/>
          <w:cols w:space="425" w:num="1"/>
          <w:docGrid w:type="lines" w:linePitch="312" w:charSpace="0"/>
        </w:sectPr>
      </w:pPr>
    </w:p>
    <w:p>
      <w:pPr>
        <w:adjustRightInd w:val="0"/>
        <w:snapToGrid w:val="0"/>
        <w:spacing w:line="360" w:lineRule="auto"/>
        <w:ind w:firstLine="562" w:firstLineChars="200"/>
        <w:jc w:val="center"/>
        <w:rPr>
          <w:rFonts w:cs="宋体"/>
          <w:b/>
          <w:sz w:val="28"/>
          <w:szCs w:val="28"/>
          <w:highlight w:val="none"/>
        </w:rPr>
      </w:pPr>
      <w:r>
        <w:rPr>
          <w:rFonts w:hint="eastAsia" w:cs="宋体"/>
          <w:b/>
          <w:sz w:val="28"/>
          <w:szCs w:val="28"/>
          <w:highlight w:val="none"/>
        </w:rPr>
        <w:t>十二、技术偏离表</w:t>
      </w:r>
    </w:p>
    <w:p>
      <w:pPr>
        <w:spacing w:before="22" w:line="360" w:lineRule="auto"/>
        <w:rPr>
          <w:rFonts w:cs="宋体"/>
          <w:highlight w:val="none"/>
        </w:rPr>
      </w:pPr>
    </w:p>
    <w:tbl>
      <w:tblPr>
        <w:tblStyle w:val="35"/>
        <w:tblW w:w="9367"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2243"/>
        <w:gridCol w:w="2166"/>
        <w:gridCol w:w="1884"/>
        <w:gridCol w:w="1416"/>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08" w:type="dxa"/>
            <w:shd w:val="clear" w:color="auto" w:fill="E7E6E6"/>
          </w:tcPr>
          <w:p>
            <w:pPr>
              <w:spacing w:line="301" w:lineRule="auto"/>
              <w:jc w:val="center"/>
              <w:rPr>
                <w:rFonts w:cs="宋体"/>
                <w:sz w:val="21"/>
                <w:highlight w:val="none"/>
              </w:rPr>
            </w:pPr>
          </w:p>
          <w:p>
            <w:pPr>
              <w:spacing w:before="65" w:line="229" w:lineRule="auto"/>
              <w:ind w:left="198"/>
              <w:jc w:val="center"/>
              <w:rPr>
                <w:rFonts w:cs="宋体"/>
                <w:highlight w:val="none"/>
                <w:lang w:eastAsia="en-US"/>
              </w:rPr>
            </w:pPr>
            <w:r>
              <w:rPr>
                <w:rFonts w:hint="eastAsia" w:cs="宋体"/>
                <w:b/>
                <w:bCs/>
                <w:spacing w:val="4"/>
                <w:highlight w:val="none"/>
                <w:lang w:eastAsia="en-US"/>
              </w:rPr>
              <w:t>序号</w:t>
            </w:r>
          </w:p>
        </w:tc>
        <w:tc>
          <w:tcPr>
            <w:tcW w:w="2243" w:type="dxa"/>
            <w:shd w:val="clear" w:color="auto" w:fill="E7E6E6"/>
          </w:tcPr>
          <w:p>
            <w:pPr>
              <w:spacing w:line="301" w:lineRule="auto"/>
              <w:jc w:val="center"/>
              <w:rPr>
                <w:rFonts w:cs="宋体"/>
                <w:sz w:val="21"/>
                <w:highlight w:val="none"/>
              </w:rPr>
            </w:pPr>
          </w:p>
          <w:p>
            <w:pPr>
              <w:spacing w:before="65" w:line="228" w:lineRule="auto"/>
              <w:ind w:left="266"/>
              <w:jc w:val="center"/>
              <w:rPr>
                <w:rFonts w:cs="宋体"/>
                <w:highlight w:val="none"/>
                <w:lang w:eastAsia="en-US"/>
              </w:rPr>
            </w:pPr>
            <w:r>
              <w:rPr>
                <w:rFonts w:hint="eastAsia" w:cs="宋体"/>
                <w:b/>
                <w:bCs/>
                <w:spacing w:val="7"/>
                <w:highlight w:val="none"/>
                <w:lang w:eastAsia="en-US"/>
              </w:rPr>
              <w:t>招标文件条目号</w:t>
            </w:r>
          </w:p>
        </w:tc>
        <w:tc>
          <w:tcPr>
            <w:tcW w:w="2166" w:type="dxa"/>
            <w:shd w:val="clear" w:color="auto" w:fill="E7E6E6"/>
          </w:tcPr>
          <w:p>
            <w:pPr>
              <w:spacing w:before="133" w:line="370" w:lineRule="auto"/>
              <w:ind w:left="373" w:right="364" w:hanging="3"/>
              <w:jc w:val="center"/>
              <w:rPr>
                <w:rFonts w:cs="宋体"/>
                <w:b/>
                <w:bCs/>
                <w:spacing w:val="6"/>
                <w:highlight w:val="none"/>
                <w:lang w:eastAsia="en-US"/>
              </w:rPr>
            </w:pPr>
            <w:r>
              <w:rPr>
                <w:rFonts w:hint="eastAsia" w:cs="宋体"/>
                <w:b/>
                <w:bCs/>
                <w:spacing w:val="6"/>
                <w:highlight w:val="none"/>
                <w:lang w:eastAsia="en-US"/>
              </w:rPr>
              <w:t>招标文件</w:t>
            </w:r>
          </w:p>
          <w:p>
            <w:pPr>
              <w:spacing w:before="133" w:line="370" w:lineRule="auto"/>
              <w:ind w:left="373" w:right="364" w:hanging="3"/>
              <w:jc w:val="center"/>
              <w:rPr>
                <w:rFonts w:cs="宋体"/>
                <w:highlight w:val="none"/>
                <w:lang w:eastAsia="en-US"/>
              </w:rPr>
            </w:pPr>
            <w:r>
              <w:rPr>
                <w:rFonts w:hint="eastAsia" w:cs="宋体"/>
                <w:b/>
                <w:bCs/>
                <w:spacing w:val="5"/>
                <w:highlight w:val="none"/>
              </w:rPr>
              <w:t>技术</w:t>
            </w:r>
            <w:r>
              <w:rPr>
                <w:rFonts w:hint="eastAsia" w:cs="宋体"/>
                <w:b/>
                <w:bCs/>
                <w:spacing w:val="5"/>
                <w:highlight w:val="none"/>
                <w:lang w:eastAsia="en-US"/>
              </w:rPr>
              <w:t>条款</w:t>
            </w:r>
          </w:p>
        </w:tc>
        <w:tc>
          <w:tcPr>
            <w:tcW w:w="1884" w:type="dxa"/>
            <w:shd w:val="clear" w:color="auto" w:fill="E7E6E6"/>
          </w:tcPr>
          <w:p>
            <w:pPr>
              <w:spacing w:before="133" w:line="370" w:lineRule="auto"/>
              <w:ind w:left="376" w:right="362" w:hanging="1"/>
              <w:jc w:val="center"/>
              <w:rPr>
                <w:rFonts w:cs="宋体"/>
                <w:b/>
                <w:bCs/>
                <w:spacing w:val="5"/>
                <w:highlight w:val="none"/>
                <w:lang w:eastAsia="en-US"/>
              </w:rPr>
            </w:pPr>
            <w:r>
              <w:rPr>
                <w:rFonts w:hint="eastAsia" w:cs="宋体"/>
                <w:b/>
                <w:bCs/>
                <w:spacing w:val="5"/>
                <w:highlight w:val="none"/>
                <w:lang w:eastAsia="en-US"/>
              </w:rPr>
              <w:t>投标文件</w:t>
            </w:r>
          </w:p>
          <w:p>
            <w:pPr>
              <w:spacing w:before="133" w:line="370" w:lineRule="auto"/>
              <w:ind w:left="376" w:right="362" w:hanging="1"/>
              <w:jc w:val="center"/>
              <w:rPr>
                <w:rFonts w:cs="宋体"/>
                <w:highlight w:val="none"/>
                <w:lang w:eastAsia="en-US"/>
              </w:rPr>
            </w:pPr>
            <w:r>
              <w:rPr>
                <w:rFonts w:hint="eastAsia" w:cs="宋体"/>
                <w:b/>
                <w:bCs/>
                <w:spacing w:val="5"/>
                <w:highlight w:val="none"/>
              </w:rPr>
              <w:t>技术</w:t>
            </w:r>
            <w:r>
              <w:rPr>
                <w:rFonts w:hint="eastAsia" w:cs="宋体"/>
                <w:b/>
                <w:bCs/>
                <w:spacing w:val="5"/>
                <w:highlight w:val="none"/>
                <w:lang w:eastAsia="en-US"/>
              </w:rPr>
              <w:t>条款</w:t>
            </w:r>
          </w:p>
        </w:tc>
        <w:tc>
          <w:tcPr>
            <w:tcW w:w="1416" w:type="dxa"/>
            <w:shd w:val="clear" w:color="auto" w:fill="E7E6E6"/>
          </w:tcPr>
          <w:p>
            <w:pPr>
              <w:spacing w:line="301" w:lineRule="auto"/>
              <w:jc w:val="center"/>
              <w:rPr>
                <w:rFonts w:cs="宋体"/>
                <w:sz w:val="21"/>
                <w:highlight w:val="none"/>
              </w:rPr>
            </w:pPr>
          </w:p>
          <w:p>
            <w:pPr>
              <w:spacing w:before="65" w:line="228" w:lineRule="auto"/>
              <w:ind w:left="161"/>
              <w:jc w:val="center"/>
              <w:rPr>
                <w:rFonts w:cs="宋体"/>
                <w:highlight w:val="none"/>
                <w:lang w:eastAsia="en-US"/>
              </w:rPr>
            </w:pPr>
            <w:r>
              <w:rPr>
                <w:rFonts w:hint="eastAsia" w:cs="宋体"/>
                <w:b/>
                <w:bCs/>
                <w:spacing w:val="6"/>
                <w:highlight w:val="none"/>
                <w:lang w:eastAsia="en-US"/>
              </w:rPr>
              <w:t>偏离情况</w:t>
            </w:r>
          </w:p>
        </w:tc>
        <w:tc>
          <w:tcPr>
            <w:tcW w:w="850" w:type="dxa"/>
            <w:shd w:val="clear" w:color="auto" w:fill="E7E6E6"/>
          </w:tcPr>
          <w:p>
            <w:pPr>
              <w:spacing w:line="301" w:lineRule="auto"/>
              <w:jc w:val="center"/>
              <w:rPr>
                <w:rFonts w:cs="宋体"/>
                <w:sz w:val="21"/>
                <w:highlight w:val="none"/>
              </w:rPr>
            </w:pPr>
          </w:p>
          <w:p>
            <w:pPr>
              <w:spacing w:before="65" w:line="228" w:lineRule="auto"/>
              <w:jc w:val="center"/>
              <w:rPr>
                <w:rFonts w:cs="宋体"/>
                <w:highlight w:val="none"/>
                <w:lang w:eastAsia="en-US"/>
              </w:rPr>
            </w:pPr>
            <w:r>
              <w:rPr>
                <w:rFonts w:hint="eastAsia" w:cs="宋体"/>
                <w:b/>
                <w:bCs/>
                <w:spacing w:val="2"/>
                <w:highlight w:val="none"/>
                <w:lang w:eastAsia="en-US"/>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08" w:type="dxa"/>
          </w:tcPr>
          <w:p>
            <w:pPr>
              <w:spacing w:before="211" w:line="189" w:lineRule="auto"/>
              <w:ind w:left="371"/>
              <w:rPr>
                <w:rFonts w:cs="宋体"/>
                <w:highlight w:val="none"/>
                <w:lang w:eastAsia="en-US"/>
              </w:rPr>
            </w:pPr>
            <w:r>
              <w:rPr>
                <w:rFonts w:hint="eastAsia" w:cs="宋体"/>
                <w:highlight w:val="none"/>
                <w:lang w:eastAsia="en-US"/>
              </w:rPr>
              <w:t>1</w:t>
            </w:r>
          </w:p>
        </w:tc>
        <w:tc>
          <w:tcPr>
            <w:tcW w:w="2243" w:type="dxa"/>
          </w:tcPr>
          <w:p>
            <w:pPr>
              <w:spacing w:line="360" w:lineRule="auto"/>
              <w:rPr>
                <w:rFonts w:cs="宋体"/>
                <w:sz w:val="21"/>
                <w:highlight w:val="none"/>
              </w:rPr>
            </w:pPr>
          </w:p>
        </w:tc>
        <w:tc>
          <w:tcPr>
            <w:tcW w:w="2166" w:type="dxa"/>
          </w:tcPr>
          <w:p>
            <w:pPr>
              <w:spacing w:line="360" w:lineRule="auto"/>
              <w:rPr>
                <w:rFonts w:cs="宋体"/>
                <w:sz w:val="21"/>
                <w:highlight w:val="none"/>
              </w:rPr>
            </w:pPr>
          </w:p>
        </w:tc>
        <w:tc>
          <w:tcPr>
            <w:tcW w:w="1884" w:type="dxa"/>
          </w:tcPr>
          <w:p>
            <w:pPr>
              <w:spacing w:line="360" w:lineRule="auto"/>
              <w:rPr>
                <w:rFonts w:cs="宋体"/>
                <w:sz w:val="21"/>
                <w:highlight w:val="none"/>
              </w:rPr>
            </w:pPr>
          </w:p>
        </w:tc>
        <w:tc>
          <w:tcPr>
            <w:tcW w:w="1416" w:type="dxa"/>
          </w:tcPr>
          <w:p>
            <w:pPr>
              <w:spacing w:line="360" w:lineRule="auto"/>
              <w:rPr>
                <w:rFonts w:cs="宋体"/>
                <w:sz w:val="21"/>
                <w:highlight w:val="none"/>
              </w:rPr>
            </w:pPr>
          </w:p>
        </w:tc>
        <w:tc>
          <w:tcPr>
            <w:tcW w:w="85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08" w:type="dxa"/>
          </w:tcPr>
          <w:p>
            <w:pPr>
              <w:spacing w:before="211" w:line="189" w:lineRule="auto"/>
              <w:ind w:left="358"/>
              <w:rPr>
                <w:rFonts w:cs="宋体"/>
                <w:highlight w:val="none"/>
                <w:lang w:eastAsia="en-US"/>
              </w:rPr>
            </w:pPr>
            <w:r>
              <w:rPr>
                <w:rFonts w:hint="eastAsia" w:cs="宋体"/>
                <w:highlight w:val="none"/>
                <w:lang w:eastAsia="en-US"/>
              </w:rPr>
              <w:t>2</w:t>
            </w:r>
          </w:p>
        </w:tc>
        <w:tc>
          <w:tcPr>
            <w:tcW w:w="2243" w:type="dxa"/>
          </w:tcPr>
          <w:p>
            <w:pPr>
              <w:spacing w:line="360" w:lineRule="auto"/>
              <w:rPr>
                <w:rFonts w:cs="宋体"/>
                <w:sz w:val="21"/>
                <w:highlight w:val="none"/>
              </w:rPr>
            </w:pPr>
          </w:p>
        </w:tc>
        <w:tc>
          <w:tcPr>
            <w:tcW w:w="2166" w:type="dxa"/>
          </w:tcPr>
          <w:p>
            <w:pPr>
              <w:spacing w:line="360" w:lineRule="auto"/>
              <w:rPr>
                <w:rFonts w:cs="宋体"/>
                <w:sz w:val="21"/>
                <w:highlight w:val="none"/>
              </w:rPr>
            </w:pPr>
          </w:p>
        </w:tc>
        <w:tc>
          <w:tcPr>
            <w:tcW w:w="1884" w:type="dxa"/>
          </w:tcPr>
          <w:p>
            <w:pPr>
              <w:spacing w:line="360" w:lineRule="auto"/>
              <w:rPr>
                <w:rFonts w:cs="宋体"/>
                <w:sz w:val="21"/>
                <w:highlight w:val="none"/>
              </w:rPr>
            </w:pPr>
          </w:p>
        </w:tc>
        <w:tc>
          <w:tcPr>
            <w:tcW w:w="1416" w:type="dxa"/>
          </w:tcPr>
          <w:p>
            <w:pPr>
              <w:spacing w:line="360" w:lineRule="auto"/>
              <w:rPr>
                <w:rFonts w:cs="宋体"/>
                <w:sz w:val="21"/>
                <w:highlight w:val="none"/>
              </w:rPr>
            </w:pPr>
          </w:p>
        </w:tc>
        <w:tc>
          <w:tcPr>
            <w:tcW w:w="85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08" w:type="dxa"/>
          </w:tcPr>
          <w:p>
            <w:pPr>
              <w:spacing w:before="214" w:line="189" w:lineRule="auto"/>
              <w:ind w:left="359"/>
              <w:rPr>
                <w:rFonts w:cs="宋体"/>
                <w:highlight w:val="none"/>
                <w:lang w:eastAsia="en-US"/>
              </w:rPr>
            </w:pPr>
            <w:r>
              <w:rPr>
                <w:rFonts w:hint="eastAsia" w:cs="宋体"/>
                <w:highlight w:val="none"/>
                <w:lang w:eastAsia="en-US"/>
              </w:rPr>
              <w:t>3</w:t>
            </w:r>
          </w:p>
        </w:tc>
        <w:tc>
          <w:tcPr>
            <w:tcW w:w="2243" w:type="dxa"/>
          </w:tcPr>
          <w:p>
            <w:pPr>
              <w:spacing w:line="360" w:lineRule="auto"/>
              <w:rPr>
                <w:rFonts w:cs="宋体"/>
                <w:sz w:val="21"/>
                <w:highlight w:val="none"/>
              </w:rPr>
            </w:pPr>
          </w:p>
        </w:tc>
        <w:tc>
          <w:tcPr>
            <w:tcW w:w="2166" w:type="dxa"/>
          </w:tcPr>
          <w:p>
            <w:pPr>
              <w:spacing w:line="360" w:lineRule="auto"/>
              <w:rPr>
                <w:rFonts w:cs="宋体"/>
                <w:sz w:val="21"/>
                <w:highlight w:val="none"/>
              </w:rPr>
            </w:pPr>
          </w:p>
        </w:tc>
        <w:tc>
          <w:tcPr>
            <w:tcW w:w="1884" w:type="dxa"/>
          </w:tcPr>
          <w:p>
            <w:pPr>
              <w:spacing w:line="360" w:lineRule="auto"/>
              <w:rPr>
                <w:rFonts w:cs="宋体"/>
                <w:sz w:val="21"/>
                <w:highlight w:val="none"/>
              </w:rPr>
            </w:pPr>
          </w:p>
        </w:tc>
        <w:tc>
          <w:tcPr>
            <w:tcW w:w="1416" w:type="dxa"/>
          </w:tcPr>
          <w:p>
            <w:pPr>
              <w:spacing w:line="360" w:lineRule="auto"/>
              <w:rPr>
                <w:rFonts w:cs="宋体"/>
                <w:sz w:val="21"/>
                <w:highlight w:val="none"/>
              </w:rPr>
            </w:pPr>
          </w:p>
        </w:tc>
        <w:tc>
          <w:tcPr>
            <w:tcW w:w="85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08" w:type="dxa"/>
          </w:tcPr>
          <w:p>
            <w:pPr>
              <w:spacing w:before="214" w:line="189" w:lineRule="auto"/>
              <w:ind w:left="354"/>
              <w:rPr>
                <w:rFonts w:cs="宋体"/>
                <w:highlight w:val="none"/>
                <w:lang w:eastAsia="en-US"/>
              </w:rPr>
            </w:pPr>
            <w:r>
              <w:rPr>
                <w:rFonts w:hint="eastAsia" w:cs="宋体"/>
                <w:highlight w:val="none"/>
                <w:lang w:eastAsia="en-US"/>
              </w:rPr>
              <w:t>4</w:t>
            </w:r>
          </w:p>
        </w:tc>
        <w:tc>
          <w:tcPr>
            <w:tcW w:w="2243" w:type="dxa"/>
          </w:tcPr>
          <w:p>
            <w:pPr>
              <w:spacing w:line="360" w:lineRule="auto"/>
              <w:rPr>
                <w:rFonts w:cs="宋体"/>
                <w:sz w:val="21"/>
                <w:highlight w:val="none"/>
              </w:rPr>
            </w:pPr>
          </w:p>
        </w:tc>
        <w:tc>
          <w:tcPr>
            <w:tcW w:w="2166" w:type="dxa"/>
          </w:tcPr>
          <w:p>
            <w:pPr>
              <w:spacing w:line="360" w:lineRule="auto"/>
              <w:rPr>
                <w:rFonts w:cs="宋体"/>
                <w:sz w:val="21"/>
                <w:highlight w:val="none"/>
              </w:rPr>
            </w:pPr>
          </w:p>
        </w:tc>
        <w:tc>
          <w:tcPr>
            <w:tcW w:w="1884" w:type="dxa"/>
          </w:tcPr>
          <w:p>
            <w:pPr>
              <w:spacing w:line="360" w:lineRule="auto"/>
              <w:rPr>
                <w:rFonts w:cs="宋体"/>
                <w:sz w:val="21"/>
                <w:highlight w:val="none"/>
              </w:rPr>
            </w:pPr>
          </w:p>
        </w:tc>
        <w:tc>
          <w:tcPr>
            <w:tcW w:w="1416" w:type="dxa"/>
          </w:tcPr>
          <w:p>
            <w:pPr>
              <w:spacing w:line="360" w:lineRule="auto"/>
              <w:rPr>
                <w:rFonts w:cs="宋体"/>
                <w:sz w:val="21"/>
                <w:highlight w:val="none"/>
              </w:rPr>
            </w:pPr>
          </w:p>
        </w:tc>
        <w:tc>
          <w:tcPr>
            <w:tcW w:w="850" w:type="dxa"/>
          </w:tcPr>
          <w:p>
            <w:pPr>
              <w:spacing w:line="360" w:lineRule="auto"/>
              <w:rPr>
                <w:rFonts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08" w:type="dxa"/>
          </w:tcPr>
          <w:p>
            <w:pPr>
              <w:spacing w:line="360" w:lineRule="auto"/>
              <w:jc w:val="center"/>
              <w:rPr>
                <w:rFonts w:cs="宋体"/>
                <w:sz w:val="21"/>
                <w:highlight w:val="none"/>
              </w:rPr>
            </w:pPr>
            <w:r>
              <w:rPr>
                <w:rFonts w:hint="eastAsia" w:cs="宋体"/>
                <w:sz w:val="21"/>
                <w:highlight w:val="none"/>
              </w:rPr>
              <w:t>...</w:t>
            </w:r>
          </w:p>
        </w:tc>
        <w:tc>
          <w:tcPr>
            <w:tcW w:w="2243" w:type="dxa"/>
          </w:tcPr>
          <w:p>
            <w:pPr>
              <w:spacing w:line="360" w:lineRule="auto"/>
              <w:rPr>
                <w:rFonts w:cs="宋体"/>
                <w:sz w:val="21"/>
                <w:highlight w:val="none"/>
              </w:rPr>
            </w:pPr>
          </w:p>
        </w:tc>
        <w:tc>
          <w:tcPr>
            <w:tcW w:w="2166" w:type="dxa"/>
          </w:tcPr>
          <w:p>
            <w:pPr>
              <w:spacing w:line="360" w:lineRule="auto"/>
              <w:rPr>
                <w:rFonts w:cs="宋体"/>
                <w:sz w:val="21"/>
                <w:highlight w:val="none"/>
              </w:rPr>
            </w:pPr>
          </w:p>
        </w:tc>
        <w:tc>
          <w:tcPr>
            <w:tcW w:w="1884" w:type="dxa"/>
          </w:tcPr>
          <w:p>
            <w:pPr>
              <w:spacing w:line="360" w:lineRule="auto"/>
              <w:rPr>
                <w:rFonts w:cs="宋体"/>
                <w:sz w:val="21"/>
                <w:highlight w:val="none"/>
              </w:rPr>
            </w:pPr>
          </w:p>
        </w:tc>
        <w:tc>
          <w:tcPr>
            <w:tcW w:w="1416" w:type="dxa"/>
          </w:tcPr>
          <w:p>
            <w:pPr>
              <w:spacing w:line="360" w:lineRule="auto"/>
              <w:rPr>
                <w:rFonts w:cs="宋体"/>
                <w:sz w:val="21"/>
                <w:highlight w:val="none"/>
              </w:rPr>
            </w:pPr>
          </w:p>
        </w:tc>
        <w:tc>
          <w:tcPr>
            <w:tcW w:w="850" w:type="dxa"/>
          </w:tcPr>
          <w:p>
            <w:pPr>
              <w:spacing w:line="360" w:lineRule="auto"/>
              <w:rPr>
                <w:rFonts w:cs="宋体"/>
                <w:sz w:val="21"/>
                <w:highlight w:val="none"/>
              </w:rPr>
            </w:pPr>
          </w:p>
        </w:tc>
      </w:tr>
    </w:tbl>
    <w:p>
      <w:pPr>
        <w:topLinePunct/>
        <w:autoSpaceDE w:val="0"/>
        <w:autoSpaceDN w:val="0"/>
        <w:spacing w:after="0" w:line="360" w:lineRule="auto"/>
        <w:ind w:firstLine="428" w:firstLineChars="200"/>
        <w:rPr>
          <w:rFonts w:hint="eastAsia" w:cs="宋体"/>
          <w:spacing w:val="7"/>
          <w:sz w:val="20"/>
          <w:szCs w:val="20"/>
          <w:highlight w:val="none"/>
        </w:rPr>
      </w:pPr>
      <w:r>
        <w:rPr>
          <w:rFonts w:hint="eastAsia" w:cs="宋体"/>
          <w:spacing w:val="7"/>
          <w:sz w:val="20"/>
          <w:szCs w:val="20"/>
          <w:highlight w:val="none"/>
        </w:rPr>
        <w:t>特别说明：</w:t>
      </w:r>
    </w:p>
    <w:p>
      <w:pPr>
        <w:topLinePunct/>
        <w:autoSpaceDE w:val="0"/>
        <w:autoSpaceDN w:val="0"/>
        <w:spacing w:after="0" w:line="360" w:lineRule="auto"/>
        <w:ind w:firstLine="428" w:firstLineChars="200"/>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1.按照《招标文件-技术部分》内容要求，一一对应填写。如果对《招标文件-技术部分》内容不做一一响应，而将“投标文件应答情况”简单笼统描述为“无偏离”，则视为无效应答。</w:t>
      </w:r>
    </w:p>
    <w:p>
      <w:pPr>
        <w:topLinePunct/>
        <w:autoSpaceDE w:val="0"/>
        <w:autoSpaceDN w:val="0"/>
        <w:spacing w:after="0" w:line="360" w:lineRule="auto"/>
        <w:ind w:firstLine="428" w:firstLineChars="200"/>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8" w:firstLineChars="200"/>
        <w:rPr>
          <w:rFonts w:hint="eastAsia" w:ascii="宋体" w:hAnsi="宋体" w:eastAsia="宋体" w:cs="宋体"/>
          <w:spacing w:val="7"/>
          <w:sz w:val="20"/>
          <w:szCs w:val="20"/>
          <w:highlight w:val="none"/>
        </w:rPr>
      </w:pPr>
      <w:r>
        <w:rPr>
          <w:rFonts w:hint="eastAsia" w:ascii="宋体" w:hAnsi="宋体" w:eastAsia="宋体" w:cs="宋体"/>
          <w:spacing w:val="7"/>
          <w:sz w:val="20"/>
          <w:szCs w:val="20"/>
          <w:highlight w:val="none"/>
        </w:rPr>
        <w:t>3.如《招标文件-技术部分》中有标注★号的，则为实质性要求，必须满足，如应答为“负偏离”，将导致投标无效。</w:t>
      </w:r>
    </w:p>
    <w:p>
      <w:pPr>
        <w:topLinePunct/>
        <w:autoSpaceDE w:val="0"/>
        <w:autoSpaceDN w:val="0"/>
        <w:spacing w:after="0" w:line="360" w:lineRule="auto"/>
        <w:ind w:firstLine="428" w:firstLineChars="200"/>
        <w:rPr>
          <w:rFonts w:hint="eastAsia" w:ascii="宋体" w:hAnsi="宋体" w:eastAsia="宋体" w:cs="宋体"/>
          <w:spacing w:val="7"/>
          <w:sz w:val="20"/>
          <w:szCs w:val="20"/>
          <w:highlight w:val="none"/>
        </w:rPr>
      </w:pPr>
    </w:p>
    <w:p>
      <w:pPr>
        <w:spacing w:before="32" w:line="362" w:lineRule="auto"/>
        <w:ind w:right="15"/>
        <w:rPr>
          <w:rFonts w:cs="宋体"/>
          <w:sz w:val="20"/>
          <w:szCs w:val="20"/>
          <w:highlight w:val="none"/>
        </w:rPr>
      </w:pPr>
    </w:p>
    <w:p>
      <w:pPr>
        <w:spacing w:line="360" w:lineRule="auto"/>
        <w:rPr>
          <w:rFonts w:cs="宋体"/>
          <w:sz w:val="21"/>
          <w:szCs w:val="21"/>
          <w:highlight w:val="none"/>
        </w:rPr>
      </w:pPr>
    </w:p>
    <w:p>
      <w:pPr>
        <w:spacing w:line="241" w:lineRule="auto"/>
        <w:rPr>
          <w:rFonts w:cs="宋体"/>
          <w:sz w:val="21"/>
          <w:szCs w:val="21"/>
          <w:highlight w:val="none"/>
        </w:rPr>
      </w:pPr>
    </w:p>
    <w:p>
      <w:pPr>
        <w:spacing w:line="241" w:lineRule="auto"/>
        <w:rPr>
          <w:rFonts w:cs="宋体"/>
          <w:sz w:val="21"/>
          <w:szCs w:val="21"/>
          <w:highlight w:val="none"/>
        </w:rPr>
      </w:pPr>
    </w:p>
    <w:p>
      <w:pPr>
        <w:spacing w:line="241" w:lineRule="auto"/>
        <w:rPr>
          <w:rFonts w:cs="宋体"/>
          <w:sz w:val="21"/>
          <w:szCs w:val="21"/>
          <w:highlight w:val="none"/>
        </w:rPr>
      </w:pPr>
    </w:p>
    <w:p>
      <w:pPr>
        <w:adjustRightInd w:val="0"/>
        <w:snapToGrid w:val="0"/>
        <w:spacing w:line="360" w:lineRule="auto"/>
        <w:rPr>
          <w:rFonts w:cs="宋体"/>
          <w:kern w:val="0"/>
          <w:highlight w:val="none"/>
        </w:rPr>
      </w:pPr>
      <w:r>
        <w:rPr>
          <w:rFonts w:hint="eastAsia" w:cs="宋体"/>
          <w:kern w:val="0"/>
          <w:highlight w:val="none"/>
        </w:rPr>
        <w:t>供应商名称（公章）：</w:t>
      </w:r>
    </w:p>
    <w:p>
      <w:pPr>
        <w:adjustRightInd w:val="0"/>
        <w:snapToGrid w:val="0"/>
        <w:spacing w:line="360" w:lineRule="auto"/>
        <w:rPr>
          <w:rFonts w:cs="宋体"/>
          <w:kern w:val="0"/>
          <w:highlight w:val="none"/>
          <w:u w:val="single"/>
        </w:rPr>
      </w:pPr>
      <w:r>
        <w:rPr>
          <w:rFonts w:hint="eastAsia" w:cs="宋体"/>
          <w:kern w:val="0"/>
          <w:highlight w:val="none"/>
        </w:rPr>
        <w:t>法定代表人（签字或盖章）或</w:t>
      </w:r>
      <w:r>
        <w:rPr>
          <w:rFonts w:hint="eastAsia" w:cs="宋体"/>
          <w:highlight w:val="none"/>
        </w:rPr>
        <w:t>授权委托人</w:t>
      </w:r>
      <w:r>
        <w:rPr>
          <w:rFonts w:hint="eastAsia" w:cs="宋体"/>
          <w:kern w:val="0"/>
          <w:highlight w:val="none"/>
        </w:rPr>
        <w:t>（签字）：</w:t>
      </w:r>
    </w:p>
    <w:p>
      <w:pPr>
        <w:spacing w:line="360" w:lineRule="auto"/>
        <w:rPr>
          <w:rFonts w:cs="宋体"/>
          <w:b/>
          <w:bCs/>
          <w:highlight w:val="none"/>
        </w:rPr>
      </w:pPr>
      <w:r>
        <w:rPr>
          <w:rFonts w:hint="eastAsia" w:cs="宋体"/>
          <w:highlight w:val="none"/>
        </w:rPr>
        <w:t>日期：年月</w:t>
      </w:r>
      <w:r>
        <w:rPr>
          <w:rFonts w:hint="eastAsia" w:cs="宋体"/>
          <w:kern w:val="0"/>
          <w:highlight w:val="none"/>
        </w:rPr>
        <w:t>日</w:t>
      </w:r>
    </w:p>
    <w:bookmarkEnd w:id="175"/>
    <w:bookmarkEnd w:id="176"/>
    <w:bookmarkEnd w:id="177"/>
    <w:bookmarkEnd w:id="178"/>
    <w:bookmarkEnd w:id="179"/>
    <w:bookmarkEnd w:id="180"/>
    <w:bookmarkEnd w:id="181"/>
    <w:bookmarkEnd w:id="182"/>
    <w:bookmarkEnd w:id="183"/>
    <w:bookmarkEnd w:id="184"/>
    <w:bookmarkEnd w:id="185"/>
    <w:bookmarkEnd w:id="186"/>
    <w:bookmarkEnd w:id="187"/>
    <w:p>
      <w:pPr>
        <w:rPr>
          <w:rFonts w:cs="宋体"/>
          <w:highlight w:val="none"/>
        </w:rPr>
      </w:pPr>
      <w:r>
        <w:rPr>
          <w:rFonts w:hint="eastAsia" w:cs="宋体"/>
          <w:highlight w:val="none"/>
        </w:rPr>
        <w:br w:type="page"/>
      </w:r>
    </w:p>
    <w:p>
      <w:pPr>
        <w:topLinePunct/>
        <w:autoSpaceDE w:val="0"/>
        <w:autoSpaceDN w:val="0"/>
        <w:jc w:val="center"/>
        <w:rPr>
          <w:rFonts w:cs="宋体"/>
          <w:b/>
          <w:sz w:val="84"/>
          <w:szCs w:val="84"/>
          <w:highlight w:val="none"/>
        </w:rPr>
      </w:pPr>
      <w:r>
        <w:rPr>
          <w:rFonts w:hint="eastAsia" w:cs="宋体"/>
          <w:b/>
          <w:sz w:val="84"/>
          <w:szCs w:val="84"/>
          <w:highlight w:val="none"/>
        </w:rPr>
        <w:t>招标文件</w:t>
      </w:r>
    </w:p>
    <w:p>
      <w:pPr>
        <w:topLinePunct/>
        <w:autoSpaceDE w:val="0"/>
        <w:autoSpaceDN w:val="0"/>
        <w:spacing w:line="60" w:lineRule="exact"/>
        <w:jc w:val="center"/>
        <w:rPr>
          <w:rFonts w:cs="宋体"/>
          <w:bCs/>
          <w:sz w:val="32"/>
          <w:szCs w:val="32"/>
          <w:highlight w:val="none"/>
        </w:rPr>
      </w:pPr>
    </w:p>
    <w:p>
      <w:pPr>
        <w:topLinePunct/>
        <w:autoSpaceDE w:val="0"/>
        <w:autoSpaceDN w:val="0"/>
        <w:snapToGrid w:val="0"/>
        <w:jc w:val="center"/>
        <w:rPr>
          <w:rFonts w:cs="宋体"/>
          <w:bCs/>
          <w:sz w:val="32"/>
          <w:szCs w:val="32"/>
          <w:highlight w:val="none"/>
        </w:rPr>
      </w:pPr>
    </w:p>
    <w:p>
      <w:pPr>
        <w:topLinePunct/>
        <w:autoSpaceDE w:val="0"/>
        <w:autoSpaceDN w:val="0"/>
        <w:snapToGrid w:val="0"/>
        <w:jc w:val="center"/>
        <w:rPr>
          <w:rFonts w:cs="宋体"/>
          <w:bCs/>
          <w:sz w:val="32"/>
          <w:szCs w:val="32"/>
          <w:highlight w:val="none"/>
        </w:rPr>
      </w:pPr>
      <w:r>
        <w:rPr>
          <w:rFonts w:hint="eastAsia" w:cs="宋体"/>
          <w:bCs/>
          <w:sz w:val="32"/>
          <w:szCs w:val="32"/>
          <w:highlight w:val="none"/>
        </w:rPr>
        <w:t>（技术部分）</w:t>
      </w:r>
    </w:p>
    <w:p>
      <w:pPr>
        <w:topLinePunct/>
        <w:autoSpaceDE w:val="0"/>
        <w:autoSpaceDN w:val="0"/>
        <w:snapToGrid w:val="0"/>
        <w:rPr>
          <w:rFonts w:cs="宋体"/>
          <w:bCs/>
          <w:sz w:val="32"/>
          <w:szCs w:val="32"/>
          <w:highlight w:val="none"/>
        </w:rPr>
      </w:pPr>
    </w:p>
    <w:p>
      <w:pPr>
        <w:jc w:val="center"/>
        <w:rPr>
          <w:rFonts w:cs="宋体"/>
          <w:highlight w:val="none"/>
        </w:rPr>
      </w:pP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项目名称：国家税务总局十堰市税务局2025年度食堂餐饮服务项目</w:t>
      </w: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项目编号：HB2025-DLGK-C0080-B00</w:t>
      </w: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采购人：国家税务总局十堰市税务局</w:t>
      </w:r>
    </w:p>
    <w:p>
      <w:pPr>
        <w:pStyle w:val="13"/>
        <w:snapToGrid w:val="0"/>
        <w:spacing w:line="480" w:lineRule="auto"/>
        <w:ind w:left="2760" w:leftChars="400" w:right="-1061" w:rightChars="-442" w:hanging="1800" w:hangingChars="643"/>
        <w:rPr>
          <w:rFonts w:hAnsi="宋体" w:cs="宋体"/>
          <w:sz w:val="28"/>
          <w:szCs w:val="28"/>
          <w:highlight w:val="none"/>
        </w:rPr>
      </w:pPr>
      <w:r>
        <w:rPr>
          <w:rFonts w:hint="eastAsia" w:hAnsi="宋体" w:cs="宋体"/>
          <w:sz w:val="28"/>
          <w:szCs w:val="28"/>
          <w:highlight w:val="none"/>
        </w:rPr>
        <w:t>采购代理机构：湖北普华工程咨询有限公司</w:t>
      </w:r>
    </w:p>
    <w:p>
      <w:pPr>
        <w:pStyle w:val="13"/>
        <w:ind w:left="2823" w:leftChars="600" w:right="-1061" w:rightChars="-442" w:hanging="1383" w:hangingChars="494"/>
        <w:rPr>
          <w:rFonts w:hAnsi="宋体" w:cs="宋体"/>
          <w:sz w:val="28"/>
          <w:szCs w:val="28"/>
          <w:highlight w:val="none"/>
        </w:rPr>
      </w:pPr>
    </w:p>
    <w:p>
      <w:pPr>
        <w:pStyle w:val="13"/>
        <w:ind w:left="2823" w:leftChars="600" w:right="-1061" w:rightChars="-442" w:hanging="1383" w:hangingChars="494"/>
        <w:rPr>
          <w:rFonts w:hAnsi="宋体" w:cs="宋体"/>
          <w:sz w:val="28"/>
          <w:szCs w:val="28"/>
          <w:highlight w:val="none"/>
        </w:rPr>
      </w:pPr>
    </w:p>
    <w:p>
      <w:pPr>
        <w:pStyle w:val="13"/>
        <w:ind w:left="2823" w:leftChars="600" w:right="-1061" w:rightChars="-442" w:hanging="1383" w:hangingChars="494"/>
        <w:rPr>
          <w:rFonts w:hAnsi="宋体" w:cs="宋体"/>
          <w:sz w:val="28"/>
          <w:szCs w:val="28"/>
          <w:highlight w:val="none"/>
        </w:rPr>
      </w:pPr>
    </w:p>
    <w:p>
      <w:pPr>
        <w:topLinePunct/>
        <w:autoSpaceDE w:val="0"/>
        <w:autoSpaceDN w:val="0"/>
        <w:spacing w:line="460" w:lineRule="exact"/>
        <w:rPr>
          <w:rFonts w:cs="宋体"/>
          <w:highlight w:val="none"/>
        </w:rPr>
      </w:pPr>
    </w:p>
    <w:p>
      <w:pPr>
        <w:topLinePunct/>
        <w:autoSpaceDE w:val="0"/>
        <w:autoSpaceDN w:val="0"/>
        <w:spacing w:line="460" w:lineRule="exact"/>
        <w:jc w:val="center"/>
        <w:rPr>
          <w:rFonts w:cs="宋体"/>
          <w:highlight w:val="none"/>
        </w:rPr>
      </w:pPr>
      <w:r>
        <w:rPr>
          <w:rFonts w:hint="eastAsia" w:cs="宋体"/>
          <w:sz w:val="28"/>
          <w:szCs w:val="28"/>
          <w:highlight w:val="none"/>
        </w:rPr>
        <w:t>国家税务总局十堰市税务局</w:t>
      </w:r>
    </w:p>
    <w:p>
      <w:pPr>
        <w:topLinePunct/>
        <w:autoSpaceDE w:val="0"/>
        <w:autoSpaceDN w:val="0"/>
        <w:spacing w:line="160" w:lineRule="exact"/>
        <w:jc w:val="center"/>
        <w:rPr>
          <w:rFonts w:cs="宋体"/>
          <w:highlight w:val="none"/>
        </w:rPr>
      </w:pPr>
    </w:p>
    <w:p>
      <w:pPr>
        <w:topLinePunct/>
        <w:autoSpaceDE w:val="0"/>
        <w:autoSpaceDN w:val="0"/>
        <w:spacing w:line="460" w:lineRule="exact"/>
        <w:jc w:val="center"/>
        <w:rPr>
          <w:rFonts w:cs="宋体"/>
          <w:highlight w:val="none"/>
        </w:rPr>
      </w:pPr>
      <w:r>
        <w:rPr>
          <w:rFonts w:hint="eastAsia" w:cs="宋体"/>
          <w:sz w:val="28"/>
          <w:szCs w:val="28"/>
          <w:highlight w:val="none"/>
        </w:rPr>
        <w:t>2025年7月</w:t>
      </w:r>
    </w:p>
    <w:p>
      <w:pPr>
        <w:rPr>
          <w:rFonts w:cs="宋体"/>
          <w:b/>
          <w:bCs/>
          <w:sz w:val="32"/>
          <w:szCs w:val="32"/>
          <w:highlight w:val="none"/>
        </w:rPr>
      </w:pPr>
      <w:r>
        <w:rPr>
          <w:rFonts w:hint="eastAsia" w:cs="宋体"/>
          <w:b/>
          <w:bCs/>
          <w:sz w:val="32"/>
          <w:szCs w:val="32"/>
          <w:highlight w:val="none"/>
        </w:rPr>
        <w:br w:type="page"/>
      </w:r>
    </w:p>
    <w:p>
      <w:pPr>
        <w:jc w:val="center"/>
        <w:rPr>
          <w:rFonts w:cs="宋体"/>
          <w:b/>
          <w:bCs/>
          <w:sz w:val="32"/>
          <w:szCs w:val="32"/>
          <w:highlight w:val="none"/>
        </w:rPr>
      </w:pPr>
      <w:r>
        <w:rPr>
          <w:rFonts w:hint="eastAsia" w:cs="宋体"/>
          <w:b/>
          <w:bCs/>
          <w:sz w:val="32"/>
          <w:szCs w:val="32"/>
          <w:highlight w:val="none"/>
        </w:rPr>
        <w:t>技术部分目录</w:t>
      </w:r>
    </w:p>
    <w:p>
      <w:pPr>
        <w:pStyle w:val="17"/>
        <w:tabs>
          <w:tab w:val="right" w:leader="dot" w:pos="9740"/>
        </w:tabs>
        <w:ind w:left="480"/>
        <w:rPr>
          <w:highlight w:val="none"/>
        </w:rPr>
      </w:pPr>
      <w:r>
        <w:rPr>
          <w:rFonts w:hint="eastAsia" w:cs="宋体"/>
          <w:highlight w:val="none"/>
        </w:rPr>
        <w:fldChar w:fldCharType="begin"/>
      </w:r>
      <w:r>
        <w:rPr>
          <w:rFonts w:hint="eastAsia" w:cs="宋体"/>
          <w:highlight w:val="none"/>
        </w:rPr>
        <w:instrText xml:space="preserve">TOC \o "1-3" \h \u </w:instrText>
      </w:r>
      <w:r>
        <w:rPr>
          <w:rFonts w:hint="eastAsia" w:cs="宋体"/>
          <w:highlight w:val="none"/>
        </w:rPr>
        <w:fldChar w:fldCharType="separate"/>
      </w:r>
    </w:p>
    <w:p>
      <w:pPr>
        <w:pStyle w:val="16"/>
        <w:tabs>
          <w:tab w:val="right" w:leader="dot" w:pos="9740"/>
        </w:tabs>
        <w:snapToGrid w:val="0"/>
        <w:spacing w:line="480" w:lineRule="auto"/>
        <w:rPr>
          <w:highlight w:val="none"/>
        </w:rPr>
      </w:pPr>
      <w:r>
        <w:rPr>
          <w:highlight w:val="none"/>
        </w:rPr>
        <w:fldChar w:fldCharType="begin"/>
      </w:r>
      <w:r>
        <w:rPr>
          <w:highlight w:val="none"/>
        </w:rPr>
        <w:instrText xml:space="preserve"> HYPERLINK \l "_Toc30565" </w:instrText>
      </w:r>
      <w:r>
        <w:rPr>
          <w:highlight w:val="none"/>
        </w:rPr>
        <w:fldChar w:fldCharType="separate"/>
      </w:r>
      <w:r>
        <w:rPr>
          <w:rFonts w:hint="eastAsia" w:cs="宋体"/>
          <w:highlight w:val="none"/>
        </w:rPr>
        <w:t>第二部分 技术部分</w:t>
      </w:r>
      <w:r>
        <w:rPr>
          <w:highlight w:val="none"/>
        </w:rPr>
        <w:tab/>
      </w:r>
      <w:r>
        <w:rPr>
          <w:highlight w:val="none"/>
        </w:rPr>
        <w:fldChar w:fldCharType="begin"/>
      </w:r>
      <w:r>
        <w:rPr>
          <w:highlight w:val="none"/>
        </w:rPr>
        <w:instrText xml:space="preserve"> PAGEREF _Toc30565 \h </w:instrText>
      </w:r>
      <w:r>
        <w:rPr>
          <w:highlight w:val="none"/>
        </w:rPr>
        <w:fldChar w:fldCharType="separate"/>
      </w:r>
      <w:r>
        <w:rPr>
          <w:highlight w:val="none"/>
        </w:rPr>
        <w:t>72</w:t>
      </w:r>
      <w:r>
        <w:rPr>
          <w:highlight w:val="none"/>
        </w:rPr>
        <w:fldChar w:fldCharType="end"/>
      </w:r>
      <w:r>
        <w:rPr>
          <w:highlight w:val="none"/>
        </w:rPr>
        <w:fldChar w:fldCharType="end"/>
      </w:r>
    </w:p>
    <w:p>
      <w:pPr>
        <w:pStyle w:val="17"/>
        <w:tabs>
          <w:tab w:val="right" w:leader="dot" w:pos="9740"/>
        </w:tabs>
        <w:snapToGrid w:val="0"/>
        <w:spacing w:line="480" w:lineRule="auto"/>
        <w:ind w:left="480"/>
        <w:rPr>
          <w:highlight w:val="none"/>
        </w:rPr>
      </w:pPr>
      <w:r>
        <w:rPr>
          <w:highlight w:val="none"/>
        </w:rPr>
        <w:fldChar w:fldCharType="begin"/>
      </w:r>
      <w:r>
        <w:rPr>
          <w:highlight w:val="none"/>
        </w:rPr>
        <w:instrText xml:space="preserve"> HYPERLINK \l "_Toc12833" </w:instrText>
      </w:r>
      <w:r>
        <w:rPr>
          <w:highlight w:val="none"/>
        </w:rPr>
        <w:fldChar w:fldCharType="separate"/>
      </w:r>
      <w:r>
        <w:rPr>
          <w:rFonts w:hint="eastAsia" w:cs="宋体"/>
          <w:bCs/>
          <w:highlight w:val="none"/>
        </w:rPr>
        <w:t>第六章  项目采购需求</w:t>
      </w:r>
      <w:r>
        <w:rPr>
          <w:highlight w:val="none"/>
        </w:rPr>
        <w:tab/>
      </w:r>
      <w:r>
        <w:rPr>
          <w:highlight w:val="none"/>
        </w:rPr>
        <w:fldChar w:fldCharType="begin"/>
      </w:r>
      <w:r>
        <w:rPr>
          <w:highlight w:val="none"/>
        </w:rPr>
        <w:instrText xml:space="preserve"> PAGEREF _Toc12833 \h </w:instrText>
      </w:r>
      <w:r>
        <w:rPr>
          <w:highlight w:val="none"/>
        </w:rPr>
        <w:fldChar w:fldCharType="separate"/>
      </w:r>
      <w:r>
        <w:rPr>
          <w:highlight w:val="none"/>
        </w:rPr>
        <w:t>72</w:t>
      </w:r>
      <w:r>
        <w:rPr>
          <w:highlight w:val="none"/>
        </w:rPr>
        <w:fldChar w:fldCharType="end"/>
      </w:r>
      <w:r>
        <w:rPr>
          <w:highlight w:val="none"/>
        </w:rPr>
        <w:fldChar w:fldCharType="end"/>
      </w:r>
    </w:p>
    <w:p>
      <w:pPr>
        <w:pStyle w:val="12"/>
        <w:tabs>
          <w:tab w:val="right" w:leader="dot" w:pos="9740"/>
        </w:tabs>
        <w:snapToGrid w:val="0"/>
        <w:spacing w:line="480" w:lineRule="auto"/>
        <w:ind w:left="960"/>
        <w:rPr>
          <w:highlight w:val="none"/>
        </w:rPr>
      </w:pPr>
      <w:r>
        <w:rPr>
          <w:highlight w:val="none"/>
        </w:rPr>
        <w:fldChar w:fldCharType="begin"/>
      </w:r>
      <w:r>
        <w:rPr>
          <w:highlight w:val="none"/>
        </w:rPr>
        <w:instrText xml:space="preserve"> HYPERLINK \l "_Toc29909" </w:instrText>
      </w:r>
      <w:r>
        <w:rPr>
          <w:highlight w:val="none"/>
        </w:rPr>
        <w:fldChar w:fldCharType="separate"/>
      </w:r>
      <w:r>
        <w:rPr>
          <w:rFonts w:hint="eastAsia" w:cs="宋体"/>
          <w:bCs/>
          <w:highlight w:val="none"/>
        </w:rPr>
        <w:t>一、项目概况</w:t>
      </w:r>
      <w:r>
        <w:rPr>
          <w:highlight w:val="none"/>
        </w:rPr>
        <w:tab/>
      </w:r>
      <w:r>
        <w:rPr>
          <w:highlight w:val="none"/>
        </w:rPr>
        <w:fldChar w:fldCharType="begin"/>
      </w:r>
      <w:r>
        <w:rPr>
          <w:highlight w:val="none"/>
        </w:rPr>
        <w:instrText xml:space="preserve"> PAGEREF _Toc29909 \h </w:instrText>
      </w:r>
      <w:r>
        <w:rPr>
          <w:highlight w:val="none"/>
        </w:rPr>
        <w:fldChar w:fldCharType="separate"/>
      </w:r>
      <w:r>
        <w:rPr>
          <w:highlight w:val="none"/>
        </w:rPr>
        <w:t>72</w:t>
      </w:r>
      <w:r>
        <w:rPr>
          <w:highlight w:val="none"/>
        </w:rPr>
        <w:fldChar w:fldCharType="end"/>
      </w:r>
      <w:r>
        <w:rPr>
          <w:highlight w:val="none"/>
        </w:rPr>
        <w:fldChar w:fldCharType="end"/>
      </w:r>
    </w:p>
    <w:p>
      <w:pPr>
        <w:pStyle w:val="12"/>
        <w:tabs>
          <w:tab w:val="right" w:leader="dot" w:pos="9740"/>
        </w:tabs>
        <w:snapToGrid w:val="0"/>
        <w:spacing w:line="480" w:lineRule="auto"/>
        <w:ind w:left="960"/>
        <w:rPr>
          <w:highlight w:val="none"/>
        </w:rPr>
      </w:pPr>
      <w:r>
        <w:rPr>
          <w:highlight w:val="none"/>
        </w:rPr>
        <w:fldChar w:fldCharType="begin"/>
      </w:r>
      <w:r>
        <w:rPr>
          <w:highlight w:val="none"/>
        </w:rPr>
        <w:instrText xml:space="preserve"> HYPERLINK \l "_Toc27052" </w:instrText>
      </w:r>
      <w:r>
        <w:rPr>
          <w:highlight w:val="none"/>
        </w:rPr>
        <w:fldChar w:fldCharType="separate"/>
      </w:r>
      <w:r>
        <w:rPr>
          <w:rFonts w:hint="eastAsia" w:cs="宋体"/>
          <w:bCs/>
          <w:highlight w:val="none"/>
        </w:rPr>
        <w:t>二、服务范围</w:t>
      </w:r>
      <w:r>
        <w:rPr>
          <w:highlight w:val="none"/>
        </w:rPr>
        <w:tab/>
      </w:r>
      <w:r>
        <w:rPr>
          <w:highlight w:val="none"/>
        </w:rPr>
        <w:fldChar w:fldCharType="begin"/>
      </w:r>
      <w:r>
        <w:rPr>
          <w:highlight w:val="none"/>
        </w:rPr>
        <w:instrText xml:space="preserve"> PAGEREF _Toc27052 \h </w:instrText>
      </w:r>
      <w:r>
        <w:rPr>
          <w:highlight w:val="none"/>
        </w:rPr>
        <w:fldChar w:fldCharType="separate"/>
      </w:r>
      <w:r>
        <w:rPr>
          <w:highlight w:val="none"/>
        </w:rPr>
        <w:t>72</w:t>
      </w:r>
      <w:r>
        <w:rPr>
          <w:highlight w:val="none"/>
        </w:rPr>
        <w:fldChar w:fldCharType="end"/>
      </w:r>
      <w:r>
        <w:rPr>
          <w:highlight w:val="none"/>
        </w:rPr>
        <w:fldChar w:fldCharType="end"/>
      </w:r>
    </w:p>
    <w:p>
      <w:pPr>
        <w:pStyle w:val="12"/>
        <w:tabs>
          <w:tab w:val="right" w:leader="dot" w:pos="9740"/>
        </w:tabs>
        <w:snapToGrid w:val="0"/>
        <w:spacing w:line="480" w:lineRule="auto"/>
        <w:ind w:left="960"/>
        <w:rPr>
          <w:highlight w:val="none"/>
        </w:rPr>
      </w:pPr>
      <w:r>
        <w:rPr>
          <w:highlight w:val="none"/>
        </w:rPr>
        <w:fldChar w:fldCharType="begin"/>
      </w:r>
      <w:r>
        <w:rPr>
          <w:highlight w:val="none"/>
        </w:rPr>
        <w:instrText xml:space="preserve"> HYPERLINK \l "_Toc21312" </w:instrText>
      </w:r>
      <w:r>
        <w:rPr>
          <w:highlight w:val="none"/>
        </w:rPr>
        <w:fldChar w:fldCharType="separate"/>
      </w:r>
      <w:r>
        <w:rPr>
          <w:rFonts w:hint="eastAsia" w:cs="宋体"/>
          <w:bCs/>
          <w:highlight w:val="none"/>
        </w:rPr>
        <w:t>三、服务方式</w:t>
      </w:r>
      <w:r>
        <w:rPr>
          <w:highlight w:val="none"/>
        </w:rPr>
        <w:tab/>
      </w:r>
      <w:r>
        <w:rPr>
          <w:highlight w:val="none"/>
        </w:rPr>
        <w:fldChar w:fldCharType="begin"/>
      </w:r>
      <w:r>
        <w:rPr>
          <w:highlight w:val="none"/>
        </w:rPr>
        <w:instrText xml:space="preserve"> PAGEREF _Toc21312 \h </w:instrText>
      </w:r>
      <w:r>
        <w:rPr>
          <w:highlight w:val="none"/>
        </w:rPr>
        <w:fldChar w:fldCharType="separate"/>
      </w:r>
      <w:r>
        <w:rPr>
          <w:highlight w:val="none"/>
        </w:rPr>
        <w:t>72</w:t>
      </w:r>
      <w:r>
        <w:rPr>
          <w:highlight w:val="none"/>
        </w:rPr>
        <w:fldChar w:fldCharType="end"/>
      </w:r>
      <w:r>
        <w:rPr>
          <w:highlight w:val="none"/>
        </w:rPr>
        <w:fldChar w:fldCharType="end"/>
      </w:r>
    </w:p>
    <w:p>
      <w:pPr>
        <w:pStyle w:val="12"/>
        <w:tabs>
          <w:tab w:val="right" w:leader="dot" w:pos="9740"/>
        </w:tabs>
        <w:snapToGrid w:val="0"/>
        <w:spacing w:line="480" w:lineRule="auto"/>
        <w:ind w:left="960"/>
        <w:rPr>
          <w:highlight w:val="none"/>
        </w:rPr>
      </w:pPr>
      <w:r>
        <w:rPr>
          <w:highlight w:val="none"/>
        </w:rPr>
        <w:fldChar w:fldCharType="begin"/>
      </w:r>
      <w:r>
        <w:rPr>
          <w:highlight w:val="none"/>
        </w:rPr>
        <w:instrText xml:space="preserve"> HYPERLINK \l "_Toc365" </w:instrText>
      </w:r>
      <w:r>
        <w:rPr>
          <w:highlight w:val="none"/>
        </w:rPr>
        <w:fldChar w:fldCharType="separate"/>
      </w:r>
      <w:r>
        <w:rPr>
          <w:rFonts w:hint="eastAsia" w:cs="宋体"/>
          <w:bCs/>
          <w:spacing w:val="-8"/>
          <w:szCs w:val="25"/>
          <w:highlight w:val="none"/>
        </w:rPr>
        <w:t>★</w:t>
      </w:r>
      <w:r>
        <w:rPr>
          <w:rFonts w:hint="eastAsia" w:cs="宋体"/>
          <w:bCs/>
          <w:highlight w:val="none"/>
        </w:rPr>
        <w:t>四、商务要求</w:t>
      </w:r>
      <w:r>
        <w:rPr>
          <w:highlight w:val="none"/>
        </w:rPr>
        <w:tab/>
      </w:r>
      <w:r>
        <w:rPr>
          <w:highlight w:val="none"/>
        </w:rPr>
        <w:fldChar w:fldCharType="begin"/>
      </w:r>
      <w:r>
        <w:rPr>
          <w:highlight w:val="none"/>
        </w:rPr>
        <w:instrText xml:space="preserve"> PAGEREF _Toc365 \h </w:instrText>
      </w:r>
      <w:r>
        <w:rPr>
          <w:highlight w:val="none"/>
        </w:rPr>
        <w:fldChar w:fldCharType="separate"/>
      </w:r>
      <w:r>
        <w:rPr>
          <w:highlight w:val="none"/>
        </w:rPr>
        <w:t>73</w:t>
      </w:r>
      <w:r>
        <w:rPr>
          <w:highlight w:val="none"/>
        </w:rPr>
        <w:fldChar w:fldCharType="end"/>
      </w:r>
      <w:r>
        <w:rPr>
          <w:highlight w:val="none"/>
        </w:rPr>
        <w:fldChar w:fldCharType="end"/>
      </w:r>
    </w:p>
    <w:p>
      <w:pPr>
        <w:pStyle w:val="12"/>
        <w:tabs>
          <w:tab w:val="right" w:leader="dot" w:pos="9740"/>
        </w:tabs>
        <w:snapToGrid w:val="0"/>
        <w:spacing w:line="480" w:lineRule="auto"/>
        <w:ind w:left="960"/>
        <w:rPr>
          <w:highlight w:val="none"/>
        </w:rPr>
      </w:pPr>
      <w:r>
        <w:rPr>
          <w:highlight w:val="none"/>
        </w:rPr>
        <w:fldChar w:fldCharType="begin"/>
      </w:r>
      <w:r>
        <w:rPr>
          <w:highlight w:val="none"/>
        </w:rPr>
        <w:instrText xml:space="preserve"> HYPERLINK \l "_Toc11414" </w:instrText>
      </w:r>
      <w:r>
        <w:rPr>
          <w:highlight w:val="none"/>
        </w:rPr>
        <w:fldChar w:fldCharType="separate"/>
      </w:r>
      <w:r>
        <w:rPr>
          <w:rFonts w:hint="eastAsia" w:cs="宋体"/>
          <w:bCs/>
          <w:spacing w:val="-8"/>
          <w:szCs w:val="25"/>
          <w:highlight w:val="none"/>
        </w:rPr>
        <w:t>★</w:t>
      </w:r>
      <w:r>
        <w:rPr>
          <w:rFonts w:hint="eastAsia" w:cs="宋体"/>
          <w:bCs/>
          <w:highlight w:val="none"/>
        </w:rPr>
        <w:t>五、技术要求</w:t>
      </w:r>
      <w:r>
        <w:rPr>
          <w:highlight w:val="none"/>
        </w:rPr>
        <w:tab/>
      </w:r>
      <w:r>
        <w:rPr>
          <w:highlight w:val="none"/>
        </w:rPr>
        <w:fldChar w:fldCharType="begin"/>
      </w:r>
      <w:r>
        <w:rPr>
          <w:highlight w:val="none"/>
        </w:rPr>
        <w:instrText xml:space="preserve"> PAGEREF _Toc11414 \h </w:instrText>
      </w:r>
      <w:r>
        <w:rPr>
          <w:highlight w:val="none"/>
        </w:rPr>
        <w:fldChar w:fldCharType="separate"/>
      </w:r>
      <w:r>
        <w:rPr>
          <w:highlight w:val="none"/>
        </w:rPr>
        <w:t>75</w:t>
      </w:r>
      <w:r>
        <w:rPr>
          <w:highlight w:val="none"/>
        </w:rPr>
        <w:fldChar w:fldCharType="end"/>
      </w:r>
      <w:r>
        <w:rPr>
          <w:highlight w:val="none"/>
        </w:rPr>
        <w:fldChar w:fldCharType="end"/>
      </w:r>
    </w:p>
    <w:p>
      <w:pPr>
        <w:pStyle w:val="12"/>
        <w:tabs>
          <w:tab w:val="right" w:leader="dot" w:pos="9740"/>
        </w:tabs>
        <w:snapToGrid w:val="0"/>
        <w:spacing w:line="480" w:lineRule="auto"/>
        <w:ind w:left="960"/>
        <w:rPr>
          <w:highlight w:val="none"/>
        </w:rPr>
      </w:pPr>
      <w:r>
        <w:rPr>
          <w:highlight w:val="none"/>
        </w:rPr>
        <w:fldChar w:fldCharType="begin"/>
      </w:r>
      <w:r>
        <w:rPr>
          <w:highlight w:val="none"/>
        </w:rPr>
        <w:instrText xml:space="preserve"> HYPERLINK \l "_Toc26302" </w:instrText>
      </w:r>
      <w:r>
        <w:rPr>
          <w:highlight w:val="none"/>
        </w:rPr>
        <w:fldChar w:fldCharType="separate"/>
      </w:r>
      <w:r>
        <w:rPr>
          <w:rFonts w:hint="eastAsia" w:cs="宋体"/>
          <w:bCs/>
          <w:spacing w:val="-8"/>
          <w:szCs w:val="25"/>
          <w:highlight w:val="none"/>
        </w:rPr>
        <w:t>★</w:t>
      </w:r>
      <w:r>
        <w:rPr>
          <w:rFonts w:hint="eastAsia" w:cs="宋体"/>
          <w:bCs/>
          <w:highlight w:val="none"/>
        </w:rPr>
        <w:t>六、其他要求</w:t>
      </w:r>
      <w:r>
        <w:rPr>
          <w:highlight w:val="none"/>
        </w:rPr>
        <w:tab/>
      </w:r>
      <w:r>
        <w:rPr>
          <w:highlight w:val="none"/>
        </w:rPr>
        <w:fldChar w:fldCharType="begin"/>
      </w:r>
      <w:r>
        <w:rPr>
          <w:highlight w:val="none"/>
        </w:rPr>
        <w:instrText xml:space="preserve"> PAGEREF _Toc26302 \h </w:instrText>
      </w:r>
      <w:r>
        <w:rPr>
          <w:highlight w:val="none"/>
        </w:rPr>
        <w:fldChar w:fldCharType="separate"/>
      </w:r>
      <w:r>
        <w:rPr>
          <w:highlight w:val="none"/>
        </w:rPr>
        <w:t>78</w:t>
      </w:r>
      <w:r>
        <w:rPr>
          <w:highlight w:val="none"/>
        </w:rPr>
        <w:fldChar w:fldCharType="end"/>
      </w:r>
      <w:r>
        <w:rPr>
          <w:highlight w:val="none"/>
        </w:rPr>
        <w:fldChar w:fldCharType="end"/>
      </w:r>
    </w:p>
    <w:p>
      <w:pPr>
        <w:rPr>
          <w:rFonts w:cs="宋体"/>
          <w:highlight w:val="none"/>
        </w:rPr>
      </w:pPr>
      <w:r>
        <w:rPr>
          <w:rFonts w:hint="eastAsia" w:cs="宋体"/>
          <w:highlight w:val="none"/>
        </w:rPr>
        <w:fldChar w:fldCharType="end"/>
      </w:r>
    </w:p>
    <w:p>
      <w:pPr>
        <w:pStyle w:val="2"/>
        <w:rPr>
          <w:rFonts w:eastAsia="宋体" w:cs="宋体"/>
          <w:highlight w:val="none"/>
        </w:rPr>
      </w:pPr>
      <w:r>
        <w:rPr>
          <w:rFonts w:hint="eastAsia" w:eastAsia="宋体" w:cs="宋体"/>
          <w:color w:val="auto"/>
          <w:sz w:val="24"/>
          <w:szCs w:val="24"/>
          <w:highlight w:val="none"/>
        </w:rPr>
        <w:br w:type="page"/>
      </w:r>
      <w:bookmarkStart w:id="190" w:name="_Toc30565"/>
      <w:bookmarkStart w:id="191" w:name="_Toc28826"/>
      <w:bookmarkStart w:id="192" w:name="_Toc11590"/>
      <w:bookmarkStart w:id="193" w:name="_Toc7306"/>
      <w:bookmarkStart w:id="194" w:name="_Toc25848"/>
      <w:bookmarkStart w:id="195" w:name="_Toc7016"/>
      <w:bookmarkStart w:id="196" w:name="_Toc31023"/>
      <w:r>
        <w:rPr>
          <w:rFonts w:hint="eastAsia" w:eastAsia="宋体" w:cs="宋体"/>
          <w:highlight w:val="none"/>
        </w:rPr>
        <w:t>第二部分 技术部分</w:t>
      </w:r>
      <w:bookmarkEnd w:id="190"/>
      <w:bookmarkEnd w:id="191"/>
      <w:bookmarkEnd w:id="192"/>
      <w:bookmarkEnd w:id="193"/>
      <w:bookmarkEnd w:id="194"/>
      <w:bookmarkEnd w:id="195"/>
      <w:bookmarkEnd w:id="196"/>
    </w:p>
    <w:p>
      <w:pPr>
        <w:spacing w:line="360" w:lineRule="auto"/>
        <w:jc w:val="center"/>
        <w:outlineLvl w:val="1"/>
        <w:rPr>
          <w:rFonts w:cs="宋体"/>
          <w:highlight w:val="none"/>
        </w:rPr>
      </w:pPr>
      <w:bookmarkStart w:id="197" w:name="_Toc13128"/>
      <w:bookmarkStart w:id="198" w:name="_Toc1548"/>
      <w:bookmarkStart w:id="199" w:name="_Toc12833"/>
      <w:bookmarkStart w:id="200" w:name="_Toc24279"/>
      <w:r>
        <w:rPr>
          <w:rFonts w:hint="eastAsia" w:cs="宋体"/>
          <w:bCs/>
          <w:sz w:val="32"/>
          <w:highlight w:val="none"/>
        </w:rPr>
        <w:t>第一章  项目采购需求</w:t>
      </w:r>
      <w:bookmarkEnd w:id="197"/>
      <w:bookmarkEnd w:id="198"/>
      <w:bookmarkEnd w:id="199"/>
      <w:bookmarkEnd w:id="200"/>
    </w:p>
    <w:p>
      <w:pPr>
        <w:widowControl/>
        <w:snapToGrid w:val="0"/>
        <w:spacing w:line="360" w:lineRule="auto"/>
        <w:jc w:val="left"/>
        <w:outlineLvl w:val="2"/>
        <w:rPr>
          <w:rFonts w:cs="宋体"/>
          <w:highlight w:val="none"/>
        </w:rPr>
      </w:pPr>
      <w:bookmarkStart w:id="201" w:name="_Toc29909"/>
      <w:bookmarkStart w:id="202" w:name="_Toc17734"/>
      <w:r>
        <w:rPr>
          <w:rFonts w:hint="eastAsia" w:cs="宋体"/>
          <w:b/>
          <w:bCs/>
          <w:highlight w:val="none"/>
        </w:rPr>
        <w:t>一、项目概况</w:t>
      </w:r>
      <w:bookmarkEnd w:id="201"/>
      <w:bookmarkEnd w:id="202"/>
    </w:p>
    <w:p>
      <w:pPr>
        <w:snapToGrid w:val="0"/>
        <w:spacing w:line="360" w:lineRule="auto"/>
        <w:ind w:firstLine="480" w:firstLineChars="200"/>
        <w:rPr>
          <w:rFonts w:cs="宋体"/>
          <w:highlight w:val="none"/>
        </w:rPr>
      </w:pPr>
      <w:r>
        <w:rPr>
          <w:rFonts w:hint="eastAsia" w:cs="宋体"/>
          <w:highlight w:val="none"/>
        </w:rPr>
        <w:t>为满足职工用餐需求，提高职工餐饮质量，现就国家税务总局十堰市税务局2025年度食堂餐饮服务项目进行招标。</w:t>
      </w:r>
    </w:p>
    <w:p>
      <w:pPr>
        <w:widowControl/>
        <w:snapToGrid w:val="0"/>
        <w:spacing w:line="360" w:lineRule="auto"/>
        <w:jc w:val="left"/>
        <w:outlineLvl w:val="2"/>
        <w:rPr>
          <w:rFonts w:cs="宋体"/>
          <w:b/>
          <w:bCs/>
          <w:highlight w:val="none"/>
        </w:rPr>
      </w:pPr>
      <w:bookmarkStart w:id="203" w:name="_Toc27052"/>
      <w:bookmarkStart w:id="204" w:name="_Toc28215"/>
      <w:r>
        <w:rPr>
          <w:rFonts w:hint="eastAsia" w:cs="宋体"/>
          <w:b/>
          <w:bCs/>
          <w:highlight w:val="none"/>
        </w:rPr>
        <w:t>二、服务范围</w:t>
      </w:r>
      <w:bookmarkEnd w:id="203"/>
      <w:bookmarkEnd w:id="204"/>
    </w:p>
    <w:p>
      <w:pPr>
        <w:snapToGrid w:val="0"/>
        <w:spacing w:line="360" w:lineRule="auto"/>
        <w:ind w:firstLine="480" w:firstLineChars="200"/>
        <w:rPr>
          <w:rFonts w:cs="宋体"/>
          <w:highlight w:val="none"/>
        </w:rPr>
      </w:pPr>
      <w:r>
        <w:rPr>
          <w:rFonts w:hint="eastAsia" w:cs="宋体"/>
          <w:highlight w:val="none"/>
        </w:rPr>
        <w:t xml:space="preserve">本项目在机关及派出单位5个职工食堂，食堂实行人工打餐制，每天早、中餐就餐人数各1000人左右。工作日正常提供早、中餐及临时客餐、加班工作餐服务。 </w:t>
      </w:r>
    </w:p>
    <w:p>
      <w:pPr>
        <w:widowControl/>
        <w:snapToGrid w:val="0"/>
        <w:spacing w:line="360" w:lineRule="auto"/>
        <w:jc w:val="left"/>
        <w:outlineLvl w:val="2"/>
        <w:rPr>
          <w:rFonts w:cs="宋体"/>
          <w:b/>
          <w:bCs/>
          <w:highlight w:val="none"/>
        </w:rPr>
      </w:pPr>
      <w:bookmarkStart w:id="205" w:name="_Toc14170"/>
      <w:bookmarkStart w:id="206" w:name="_Toc21312"/>
      <w:r>
        <w:rPr>
          <w:rFonts w:hint="eastAsia" w:cs="宋体"/>
          <w:b/>
          <w:bCs/>
          <w:highlight w:val="none"/>
        </w:rPr>
        <w:t>三、服务方式</w:t>
      </w:r>
      <w:bookmarkEnd w:id="205"/>
      <w:bookmarkEnd w:id="206"/>
    </w:p>
    <w:p>
      <w:pPr>
        <w:widowControl/>
        <w:snapToGrid w:val="0"/>
        <w:spacing w:line="360" w:lineRule="auto"/>
        <w:ind w:firstLine="480" w:firstLineChars="200"/>
        <w:jc w:val="left"/>
        <w:rPr>
          <w:rFonts w:cs="宋体"/>
          <w:highlight w:val="none"/>
        </w:rPr>
      </w:pPr>
      <w:r>
        <w:rPr>
          <w:rFonts w:hint="eastAsia" w:cs="宋体"/>
          <w:highlight w:val="none"/>
        </w:rPr>
        <w:t>中标方承担用工、饮食服务、生产、管理以及协助业主方相关服务，餐饮设施设备、食材及相关低值易耗品采购及供应由业主方负责，中标方只为业主方提供服务，不得对外经营。</w:t>
      </w:r>
    </w:p>
    <w:p>
      <w:pPr>
        <w:widowControl/>
        <w:snapToGrid w:val="0"/>
        <w:spacing w:line="360" w:lineRule="auto"/>
        <w:ind w:firstLine="482" w:firstLineChars="200"/>
        <w:jc w:val="left"/>
        <w:rPr>
          <w:rFonts w:cs="宋体"/>
          <w:highlight w:val="none"/>
        </w:rPr>
      </w:pPr>
      <w:r>
        <w:rPr>
          <w:rFonts w:hint="eastAsia" w:cs="宋体"/>
          <w:b/>
          <w:bCs/>
          <w:highlight w:val="none"/>
        </w:rPr>
        <w:t>具体要求如下：</w:t>
      </w:r>
    </w:p>
    <w:p>
      <w:pPr>
        <w:widowControl/>
        <w:snapToGrid w:val="0"/>
        <w:spacing w:line="360" w:lineRule="auto"/>
        <w:ind w:firstLine="480" w:firstLineChars="200"/>
        <w:jc w:val="left"/>
        <w:rPr>
          <w:rFonts w:cs="宋体"/>
          <w:highlight w:val="none"/>
        </w:rPr>
      </w:pPr>
      <w:r>
        <w:rPr>
          <w:rFonts w:hint="eastAsia" w:cs="宋体"/>
          <w:highlight w:val="none"/>
        </w:rPr>
        <w:t xml:space="preserve">1、业主方提供厨房、餐厅（含仓库、整理间、办公室等）、厨具、餐具、卫生器具、消防设施、防鼠灭蚊蝇设施、计量设备、送餐设备、就餐收费(刷卡)系统及水、电、燃料。其设备、设施的所有权和处置权归业主方。 </w:t>
      </w:r>
    </w:p>
    <w:p>
      <w:pPr>
        <w:widowControl/>
        <w:snapToGrid w:val="0"/>
        <w:spacing w:line="360" w:lineRule="auto"/>
        <w:ind w:firstLine="480" w:firstLineChars="200"/>
        <w:jc w:val="left"/>
        <w:rPr>
          <w:rFonts w:cs="宋体"/>
          <w:highlight w:val="none"/>
        </w:rPr>
      </w:pPr>
      <w:r>
        <w:rPr>
          <w:rFonts w:hint="eastAsia" w:cs="宋体"/>
          <w:highlight w:val="none"/>
        </w:rPr>
        <w:t xml:space="preserve">2、项目服务终止时，中标方将按照接收时的移交清单，减除自然损耗和折旧后向业主方办理交接。 </w:t>
      </w:r>
    </w:p>
    <w:p>
      <w:pPr>
        <w:widowControl/>
        <w:snapToGrid w:val="0"/>
        <w:spacing w:line="360" w:lineRule="auto"/>
        <w:ind w:firstLine="480" w:firstLineChars="200"/>
        <w:jc w:val="left"/>
        <w:rPr>
          <w:rFonts w:cs="宋体"/>
          <w:highlight w:val="none"/>
        </w:rPr>
      </w:pPr>
      <w:r>
        <w:rPr>
          <w:rFonts w:hint="eastAsia" w:cs="宋体"/>
          <w:highlight w:val="none"/>
        </w:rPr>
        <w:t xml:space="preserve">3、服务期内设备、设施发生老化、非人为故障等致使无法继续使用的，以及需添置的低值易耗物品，均由业主方负责维修、更换或添置。事前由中标方提交申请单，向业主方报送。 </w:t>
      </w:r>
    </w:p>
    <w:p>
      <w:pPr>
        <w:widowControl/>
        <w:snapToGrid w:val="0"/>
        <w:spacing w:line="360" w:lineRule="auto"/>
        <w:ind w:firstLine="480" w:firstLineChars="200"/>
        <w:jc w:val="left"/>
        <w:rPr>
          <w:rFonts w:cs="宋体"/>
          <w:highlight w:val="none"/>
        </w:rPr>
      </w:pPr>
      <w:r>
        <w:rPr>
          <w:rFonts w:hint="eastAsia" w:cs="宋体"/>
          <w:highlight w:val="none"/>
        </w:rPr>
        <w:t xml:space="preserve">4、服务期内，系中标方人为原因造成的设备、设施损失，一律由中标方全额赔偿，由此引起的人员伤亡及其他损失同样由中标方承担。 </w:t>
      </w:r>
    </w:p>
    <w:p>
      <w:pPr>
        <w:widowControl/>
        <w:snapToGrid w:val="0"/>
        <w:spacing w:line="360" w:lineRule="auto"/>
        <w:ind w:firstLine="480" w:firstLineChars="200"/>
        <w:jc w:val="left"/>
        <w:rPr>
          <w:rFonts w:cs="宋体"/>
          <w:highlight w:val="none"/>
        </w:rPr>
      </w:pPr>
      <w:r>
        <w:rPr>
          <w:rFonts w:hint="eastAsia" w:cs="宋体"/>
          <w:highlight w:val="none"/>
        </w:rPr>
        <w:t xml:space="preserve">5、所有原材料、辅料等由业主方负责统一采购及结算。 </w:t>
      </w:r>
    </w:p>
    <w:p>
      <w:pPr>
        <w:widowControl/>
        <w:snapToGrid w:val="0"/>
        <w:spacing w:line="360" w:lineRule="auto"/>
        <w:ind w:firstLine="480" w:firstLineChars="200"/>
        <w:jc w:val="left"/>
        <w:rPr>
          <w:rFonts w:cs="宋体"/>
          <w:highlight w:val="none"/>
        </w:rPr>
      </w:pPr>
      <w:r>
        <w:rPr>
          <w:rFonts w:hint="eastAsia" w:cs="宋体"/>
          <w:highlight w:val="none"/>
        </w:rPr>
        <w:t xml:space="preserve">6、中标方必须与所提供的服务人员签订劳动合同，按签订的合同发放工资且购买保险。中标方与服务人员之间发生的一切纠纷与业主方无关。服务人员若违反国家法律法规所产生的所有责任由中标方全部承担。 </w:t>
      </w:r>
    </w:p>
    <w:p>
      <w:pPr>
        <w:widowControl/>
        <w:snapToGrid w:val="0"/>
        <w:spacing w:line="360" w:lineRule="auto"/>
        <w:ind w:firstLine="480" w:firstLineChars="200"/>
        <w:jc w:val="left"/>
        <w:rPr>
          <w:rFonts w:cs="宋体"/>
          <w:highlight w:val="none"/>
        </w:rPr>
      </w:pPr>
      <w:r>
        <w:rPr>
          <w:rFonts w:hint="eastAsia" w:cs="宋体"/>
          <w:highlight w:val="none"/>
        </w:rPr>
        <w:t xml:space="preserve">7、严格按照业主方的要求，按时开餐或送餐到指定地点。 </w:t>
      </w:r>
    </w:p>
    <w:p>
      <w:pPr>
        <w:widowControl/>
        <w:snapToGrid w:val="0"/>
        <w:spacing w:line="360" w:lineRule="auto"/>
        <w:ind w:firstLine="480" w:firstLineChars="200"/>
        <w:jc w:val="left"/>
        <w:rPr>
          <w:rFonts w:cs="宋体"/>
          <w:highlight w:val="none"/>
        </w:rPr>
      </w:pPr>
      <w:r>
        <w:rPr>
          <w:rFonts w:hint="eastAsia" w:cs="宋体"/>
          <w:highlight w:val="none"/>
        </w:rPr>
        <w:t xml:space="preserve">8、中标方要建立自己的卫生安全、消防安全、生产安全等管理体系和制度， 所做服务要每日记录,定期检查。 </w:t>
      </w:r>
    </w:p>
    <w:p>
      <w:pPr>
        <w:snapToGrid w:val="0"/>
        <w:spacing w:line="360" w:lineRule="auto"/>
        <w:rPr>
          <w:rFonts w:cs="宋体"/>
          <w:b/>
          <w:bCs/>
          <w:spacing w:val="-8"/>
          <w:sz w:val="25"/>
          <w:szCs w:val="25"/>
          <w:highlight w:val="none"/>
        </w:rPr>
      </w:pPr>
      <w:r>
        <w:rPr>
          <w:rFonts w:hint="eastAsia" w:cs="宋体"/>
          <w:b/>
          <w:bCs/>
          <w:spacing w:val="-8"/>
          <w:sz w:val="25"/>
          <w:szCs w:val="25"/>
          <w:highlight w:val="none"/>
        </w:rPr>
        <w:br w:type="page"/>
      </w:r>
    </w:p>
    <w:p>
      <w:pPr>
        <w:widowControl/>
        <w:snapToGrid w:val="0"/>
        <w:spacing w:line="360" w:lineRule="auto"/>
        <w:ind w:firstLine="235" w:firstLineChars="100"/>
        <w:jc w:val="left"/>
        <w:outlineLvl w:val="2"/>
        <w:rPr>
          <w:rFonts w:cs="宋体"/>
          <w:b/>
          <w:bCs/>
          <w:highlight w:val="none"/>
        </w:rPr>
      </w:pPr>
      <w:bookmarkStart w:id="207" w:name="_Toc365"/>
      <w:bookmarkStart w:id="208" w:name="_Toc17923"/>
      <w:r>
        <w:rPr>
          <w:rFonts w:hint="eastAsia" w:cs="宋体"/>
          <w:b/>
          <w:bCs/>
          <w:spacing w:val="-8"/>
          <w:sz w:val="25"/>
          <w:szCs w:val="25"/>
          <w:highlight w:val="none"/>
        </w:rPr>
        <w:t>★</w:t>
      </w:r>
      <w:r>
        <w:rPr>
          <w:rFonts w:hint="eastAsia" w:cs="宋体"/>
          <w:b/>
          <w:bCs/>
          <w:highlight w:val="none"/>
        </w:rPr>
        <w:t>四、商务要求</w:t>
      </w:r>
      <w:bookmarkEnd w:id="207"/>
      <w:bookmarkEnd w:id="208"/>
    </w:p>
    <w:p>
      <w:pPr>
        <w:widowControl/>
        <w:snapToGrid w:val="0"/>
        <w:spacing w:line="360" w:lineRule="auto"/>
        <w:ind w:firstLine="480" w:firstLineChars="200"/>
        <w:jc w:val="left"/>
        <w:rPr>
          <w:rFonts w:cs="宋体"/>
          <w:highlight w:val="none"/>
        </w:rPr>
      </w:pPr>
      <w:r>
        <w:rPr>
          <w:rFonts w:hint="eastAsia" w:cs="宋体"/>
          <w:highlight w:val="none"/>
        </w:rPr>
        <w:t>1、项目预算（最高限价）：219万元/年。</w:t>
      </w:r>
    </w:p>
    <w:p>
      <w:pPr>
        <w:widowControl/>
        <w:snapToGrid w:val="0"/>
        <w:spacing w:line="360" w:lineRule="auto"/>
        <w:ind w:firstLine="480" w:firstLineChars="200"/>
        <w:jc w:val="left"/>
        <w:rPr>
          <w:rFonts w:cs="宋体"/>
          <w:highlight w:val="none"/>
        </w:rPr>
      </w:pPr>
      <w:r>
        <w:rPr>
          <w:rFonts w:hint="eastAsia" w:cs="宋体"/>
          <w:highlight w:val="none"/>
        </w:rPr>
        <w:t>2、服务期限：一年。</w:t>
      </w:r>
    </w:p>
    <w:p>
      <w:pPr>
        <w:widowControl/>
        <w:snapToGrid w:val="0"/>
        <w:spacing w:line="360" w:lineRule="auto"/>
        <w:ind w:firstLine="480" w:firstLineChars="200"/>
        <w:jc w:val="left"/>
        <w:rPr>
          <w:rFonts w:cs="宋体"/>
          <w:highlight w:val="none"/>
        </w:rPr>
      </w:pPr>
      <w:r>
        <w:rPr>
          <w:rFonts w:hint="eastAsia" w:cs="宋体"/>
          <w:highlight w:val="none"/>
        </w:rPr>
        <w:t xml:space="preserve">（一）中标方确定后，所有服务内容以合同形式确定，每月经采购方对中标方进行食堂管理制度考核后，对服务费按月支付。中标方须达到下列服务要求： </w:t>
      </w:r>
    </w:p>
    <w:p>
      <w:pPr>
        <w:widowControl/>
        <w:snapToGrid w:val="0"/>
        <w:spacing w:line="360" w:lineRule="auto"/>
        <w:ind w:firstLine="480" w:firstLineChars="200"/>
        <w:jc w:val="left"/>
        <w:rPr>
          <w:rFonts w:cs="宋体"/>
          <w:highlight w:val="none"/>
        </w:rPr>
      </w:pPr>
      <w:r>
        <w:rPr>
          <w:rFonts w:hint="eastAsia" w:cs="宋体"/>
          <w:highlight w:val="none"/>
        </w:rPr>
        <w:t xml:space="preserve">（1）每半年接受业主方及业主方职工针对菜品制作、卫生情况、服务质量进行满意度问卷调查，就餐满意度不得低于 85%。 </w:t>
      </w:r>
    </w:p>
    <w:p>
      <w:pPr>
        <w:widowControl/>
        <w:snapToGrid w:val="0"/>
        <w:spacing w:line="360" w:lineRule="auto"/>
        <w:ind w:firstLine="480" w:firstLineChars="200"/>
        <w:jc w:val="left"/>
        <w:rPr>
          <w:rFonts w:cs="宋体"/>
          <w:highlight w:val="none"/>
        </w:rPr>
      </w:pPr>
      <w:r>
        <w:rPr>
          <w:rFonts w:hint="eastAsia" w:cs="宋体"/>
          <w:highlight w:val="none"/>
        </w:rPr>
        <w:t>（2）服务质量、食品卫生及服务细则必须达到采购方管理要求（合同约定相关管理制度）。</w:t>
      </w:r>
    </w:p>
    <w:p>
      <w:pPr>
        <w:adjustRightInd w:val="0"/>
        <w:snapToGrid w:val="0"/>
        <w:spacing w:line="360" w:lineRule="auto"/>
        <w:ind w:firstLine="480" w:firstLineChars="200"/>
        <w:rPr>
          <w:rFonts w:cs="宋体"/>
          <w:b/>
          <w:bCs/>
          <w:highlight w:val="none"/>
        </w:rPr>
      </w:pPr>
      <w:r>
        <w:rPr>
          <w:rFonts w:hint="eastAsia" w:cs="宋体"/>
          <w:highlight w:val="none"/>
        </w:rPr>
        <w:t>3、服务地点：</w:t>
      </w:r>
    </w:p>
    <w:p>
      <w:pPr>
        <w:adjustRightInd w:val="0"/>
        <w:snapToGrid w:val="0"/>
        <w:spacing w:line="360" w:lineRule="auto"/>
        <w:ind w:firstLine="480" w:firstLineChars="200"/>
        <w:rPr>
          <w:rFonts w:cs="宋体"/>
          <w:highlight w:val="none"/>
        </w:rPr>
      </w:pPr>
      <w:r>
        <w:rPr>
          <w:rFonts w:hint="eastAsia" w:cs="宋体"/>
          <w:highlight w:val="none"/>
        </w:rPr>
        <w:t>（1）国家税务局十堰市税务局食堂（朝阳中路15号）</w:t>
      </w:r>
    </w:p>
    <w:p>
      <w:pPr>
        <w:adjustRightInd w:val="0"/>
        <w:snapToGrid w:val="0"/>
        <w:spacing w:line="360" w:lineRule="auto"/>
        <w:ind w:firstLine="480" w:firstLineChars="200"/>
        <w:rPr>
          <w:rFonts w:cs="宋体"/>
          <w:highlight w:val="none"/>
        </w:rPr>
      </w:pPr>
      <w:r>
        <w:rPr>
          <w:rFonts w:hint="eastAsia" w:cs="宋体"/>
          <w:highlight w:val="none"/>
        </w:rPr>
        <w:t>（2）国家税务局十堰市税务局第一税务分局食堂（东山路2号）</w:t>
      </w:r>
    </w:p>
    <w:p>
      <w:pPr>
        <w:adjustRightInd w:val="0"/>
        <w:snapToGrid w:val="0"/>
        <w:spacing w:line="360" w:lineRule="auto"/>
        <w:ind w:firstLine="480" w:firstLineChars="200"/>
        <w:rPr>
          <w:rFonts w:cs="宋体"/>
          <w:highlight w:val="none"/>
        </w:rPr>
      </w:pPr>
      <w:r>
        <w:rPr>
          <w:rFonts w:hint="eastAsia" w:cs="宋体"/>
          <w:highlight w:val="none"/>
        </w:rPr>
        <w:t>（3）国家税务局十堰市税务局第二税务分局食堂（港晖巷17号）</w:t>
      </w:r>
    </w:p>
    <w:p>
      <w:pPr>
        <w:adjustRightInd w:val="0"/>
        <w:snapToGrid w:val="0"/>
        <w:spacing w:line="360" w:lineRule="auto"/>
        <w:ind w:firstLine="480" w:firstLineChars="200"/>
        <w:rPr>
          <w:rFonts w:cs="宋体"/>
          <w:highlight w:val="none"/>
        </w:rPr>
      </w:pPr>
      <w:r>
        <w:rPr>
          <w:rFonts w:hint="eastAsia" w:cs="宋体"/>
          <w:highlight w:val="none"/>
        </w:rPr>
        <w:t>（4）国家税务局十堰市税务局第一稽查局食堂（公园路38号）</w:t>
      </w:r>
    </w:p>
    <w:p>
      <w:pPr>
        <w:widowControl/>
        <w:snapToGrid w:val="0"/>
        <w:spacing w:line="360" w:lineRule="auto"/>
        <w:ind w:firstLine="480" w:firstLineChars="200"/>
        <w:jc w:val="left"/>
        <w:rPr>
          <w:rFonts w:cs="宋体"/>
          <w:highlight w:val="none"/>
        </w:rPr>
      </w:pPr>
      <w:r>
        <w:rPr>
          <w:rFonts w:hint="eastAsia" w:cs="宋体"/>
          <w:highlight w:val="none"/>
        </w:rPr>
        <w:t>（5）国家税务局十堰市税务局第二稽查局食堂（富康小区）</w:t>
      </w:r>
    </w:p>
    <w:p>
      <w:pPr>
        <w:snapToGrid w:val="0"/>
        <w:spacing w:line="360" w:lineRule="auto"/>
        <w:ind w:right="79" w:firstLine="436" w:firstLineChars="200"/>
        <w:rPr>
          <w:rFonts w:cs="宋体"/>
          <w:spacing w:val="-11"/>
          <w:highlight w:val="none"/>
        </w:rPr>
      </w:pPr>
      <w:r>
        <w:rPr>
          <w:rFonts w:hint="eastAsia" w:cs="宋体"/>
          <w:spacing w:val="-11"/>
          <w:highlight w:val="none"/>
        </w:rPr>
        <w:t>4、中标人与采购人严格按照《财政部关于进一步加强政府采购需求和履约验收管理的指导意见》(财库〔2016〕205号)以及国家相关规定和采购文件以及供应商的投标文件进行验收。</w:t>
      </w:r>
    </w:p>
    <w:p>
      <w:pPr>
        <w:snapToGrid w:val="0"/>
        <w:spacing w:line="360" w:lineRule="auto"/>
        <w:ind w:right="79" w:firstLine="436" w:firstLineChars="200"/>
        <w:rPr>
          <w:rFonts w:cs="宋体"/>
          <w:spacing w:val="-11"/>
          <w:highlight w:val="none"/>
        </w:rPr>
      </w:pPr>
      <w:r>
        <w:rPr>
          <w:rFonts w:hint="eastAsia" w:cs="宋体"/>
          <w:spacing w:val="-11"/>
          <w:highlight w:val="none"/>
        </w:rPr>
        <w:t>5、争议解决方式：双方发生争议的，向采购人所在地人民法院起诉解决。</w:t>
      </w:r>
    </w:p>
    <w:p>
      <w:pPr>
        <w:widowControl/>
        <w:snapToGrid w:val="0"/>
        <w:spacing w:line="360" w:lineRule="auto"/>
        <w:ind w:firstLine="436" w:firstLineChars="200"/>
        <w:jc w:val="left"/>
        <w:rPr>
          <w:rFonts w:cs="宋体"/>
          <w:highlight w:val="none"/>
        </w:rPr>
      </w:pPr>
      <w:r>
        <w:rPr>
          <w:rFonts w:hint="eastAsia" w:cs="宋体"/>
          <w:spacing w:val="-11"/>
          <w:highlight w:val="none"/>
        </w:rPr>
        <w:t>6、</w:t>
      </w:r>
      <w:r>
        <w:rPr>
          <w:rFonts w:hint="eastAsia" w:cs="宋体"/>
          <w:highlight w:val="none"/>
        </w:rPr>
        <w:t>中标供应商应当依据《中华人民共和国劳动法》《中华人民共和国民法典》及相关法律法规的规定与投入本项目的人员签订《劳动合同》,并履行对劳动者的法定义务，不得将这些义务转嫁于采购人。中标供应商应按照国家法律法规支付所派出全部服务人员工资、社保、工会基金、住房公积金等费用及各项补助、节日福利等(提供上述人员工资和社保缴费证明报采购方备案),其服务人员工资标准、劳保、福利等应执行国家和地方政府的相关法律、法规和部门规章，服务人员薪资不得低于当地最低薪酬标准，以不低于当地同种岗位薪酬支付劳动者劳动报酬，采购人有权查验监督。如遇国家政策法规调整，费用增加部分由中标供应商承担，采购人将不再增加费用。</w:t>
      </w:r>
    </w:p>
    <w:p>
      <w:pPr>
        <w:widowControl/>
        <w:snapToGrid w:val="0"/>
        <w:spacing w:line="360" w:lineRule="auto"/>
        <w:ind w:firstLine="480" w:firstLineChars="200"/>
        <w:jc w:val="left"/>
        <w:rPr>
          <w:rFonts w:cs="宋体"/>
          <w:highlight w:val="none"/>
        </w:rPr>
      </w:pPr>
      <w:r>
        <w:rPr>
          <w:rFonts w:hint="eastAsia" w:cs="宋体"/>
          <w:highlight w:val="none"/>
        </w:rPr>
        <w:t>7、若服务人员与中标供应商发生劳动纠纷的(含工伤事故) ,所产生的所有的法律责任由中标供应商承担，由此造成采购人损失或社会公信力遭受影响的，概由中标供应商承担赔偿责任及消除影响的责任。</w:t>
      </w:r>
    </w:p>
    <w:p>
      <w:pPr>
        <w:snapToGrid w:val="0"/>
        <w:spacing w:line="360" w:lineRule="auto"/>
        <w:ind w:firstLine="482" w:firstLineChars="200"/>
        <w:rPr>
          <w:rFonts w:cs="宋体"/>
          <w:highlight w:val="none"/>
        </w:rPr>
      </w:pPr>
      <w:r>
        <w:rPr>
          <w:rFonts w:hint="eastAsia" w:cs="宋体"/>
          <w:b/>
          <w:bCs/>
          <w:highlight w:val="none"/>
        </w:rPr>
        <w:t>8</w:t>
      </w:r>
      <w:r>
        <w:rPr>
          <w:rFonts w:hint="eastAsia" w:cs="宋体"/>
          <w:b/>
          <w:bCs/>
          <w:color w:val="000000"/>
          <w:highlight w:val="none"/>
        </w:rPr>
        <w:t>、</w:t>
      </w:r>
      <w:r>
        <w:rPr>
          <w:rFonts w:hint="eastAsia" w:cs="宋体"/>
          <w:b/>
          <w:bCs/>
          <w:highlight w:val="none"/>
        </w:rPr>
        <w:t>十堰市税务局职工食堂对中标供应商考核办法</w:t>
      </w:r>
    </w:p>
    <w:p>
      <w:pPr>
        <w:snapToGrid w:val="0"/>
        <w:spacing w:line="360" w:lineRule="auto"/>
        <w:rPr>
          <w:rFonts w:cs="宋体"/>
          <w:b/>
          <w:bCs/>
          <w:color w:val="000000"/>
          <w:highlight w:val="none"/>
        </w:rPr>
      </w:pPr>
      <w:r>
        <w:rPr>
          <w:rFonts w:hint="eastAsia" w:cs="宋体"/>
          <w:b/>
          <w:bCs/>
          <w:color w:val="000000"/>
          <w:highlight w:val="none"/>
        </w:rPr>
        <w:br w:type="page"/>
      </w:r>
    </w:p>
    <w:p>
      <w:pPr>
        <w:snapToGrid w:val="0"/>
        <w:spacing w:line="360" w:lineRule="auto"/>
        <w:ind w:firstLine="482" w:firstLineChars="200"/>
        <w:jc w:val="center"/>
        <w:rPr>
          <w:rFonts w:cs="宋体"/>
          <w:b/>
          <w:bCs/>
          <w:color w:val="000000"/>
          <w:highlight w:val="none"/>
        </w:rPr>
      </w:pPr>
      <w:r>
        <w:rPr>
          <w:rFonts w:hint="eastAsia" w:cs="宋体"/>
          <w:b/>
          <w:bCs/>
          <w:color w:val="000000"/>
          <w:highlight w:val="none"/>
        </w:rPr>
        <w:t>十堰市税务局职工食堂对中标供应商考核办法</w:t>
      </w:r>
    </w:p>
    <w:p>
      <w:pPr>
        <w:snapToGrid w:val="0"/>
        <w:spacing w:line="360" w:lineRule="auto"/>
        <w:ind w:firstLine="480" w:firstLineChars="200"/>
        <w:rPr>
          <w:rFonts w:cs="宋体"/>
          <w:highlight w:val="none"/>
        </w:rPr>
      </w:pPr>
      <w:r>
        <w:rPr>
          <w:rFonts w:hint="eastAsia" w:cs="宋体"/>
          <w:highlight w:val="none"/>
        </w:rPr>
        <w:t>为进一步加强对职工食堂餐饮服务的管理，督促食堂服务人员遵守纪律，确保饮食安全，更好地为职工提供优质、规范的服务，特制定本考核办法：</w:t>
      </w:r>
    </w:p>
    <w:p>
      <w:pPr>
        <w:snapToGrid w:val="0"/>
        <w:spacing w:line="360" w:lineRule="auto"/>
        <w:ind w:firstLine="482" w:firstLineChars="200"/>
        <w:rPr>
          <w:rFonts w:cs="宋体"/>
          <w:b/>
          <w:bCs/>
          <w:highlight w:val="none"/>
        </w:rPr>
      </w:pPr>
      <w:r>
        <w:rPr>
          <w:rFonts w:hint="eastAsia" w:cs="宋体"/>
          <w:b/>
          <w:bCs/>
          <w:highlight w:val="none"/>
        </w:rPr>
        <w:t>一、考核人员组成</w:t>
      </w:r>
    </w:p>
    <w:p>
      <w:pPr>
        <w:snapToGrid w:val="0"/>
        <w:spacing w:line="360" w:lineRule="auto"/>
        <w:ind w:firstLine="480" w:firstLineChars="200"/>
        <w:rPr>
          <w:rFonts w:cs="宋体"/>
          <w:highlight w:val="none"/>
        </w:rPr>
      </w:pPr>
      <w:r>
        <w:rPr>
          <w:rFonts w:hint="eastAsia" w:cs="宋体"/>
          <w:highlight w:val="none"/>
        </w:rPr>
        <w:t>机关服务中心食堂工作负责人员及就餐员工参加。</w:t>
      </w:r>
    </w:p>
    <w:p>
      <w:pPr>
        <w:snapToGrid w:val="0"/>
        <w:spacing w:line="360" w:lineRule="auto"/>
        <w:ind w:firstLine="482" w:firstLineChars="200"/>
        <w:rPr>
          <w:rFonts w:cs="宋体"/>
          <w:b/>
          <w:bCs/>
          <w:highlight w:val="none"/>
        </w:rPr>
      </w:pPr>
      <w:r>
        <w:rPr>
          <w:rFonts w:hint="eastAsia" w:cs="宋体"/>
          <w:b/>
          <w:bCs/>
          <w:highlight w:val="none"/>
        </w:rPr>
        <w:t>二、考核范围</w:t>
      </w:r>
    </w:p>
    <w:p>
      <w:pPr>
        <w:snapToGrid w:val="0"/>
        <w:spacing w:line="360" w:lineRule="auto"/>
        <w:ind w:firstLine="480" w:firstLineChars="200"/>
        <w:rPr>
          <w:rFonts w:cs="宋体"/>
          <w:highlight w:val="none"/>
        </w:rPr>
      </w:pPr>
      <w:r>
        <w:rPr>
          <w:rFonts w:hint="eastAsia" w:cs="宋体"/>
          <w:highlight w:val="none"/>
        </w:rPr>
        <w:t>1.食堂日常服务考核：包括伙食质量、服务质量、卫生标准等。</w:t>
      </w:r>
    </w:p>
    <w:p>
      <w:pPr>
        <w:snapToGrid w:val="0"/>
        <w:spacing w:line="360" w:lineRule="auto"/>
        <w:ind w:firstLine="480" w:firstLineChars="200"/>
        <w:rPr>
          <w:rFonts w:cs="宋体"/>
          <w:highlight w:val="none"/>
        </w:rPr>
      </w:pPr>
      <w:r>
        <w:rPr>
          <w:rFonts w:hint="eastAsia" w:cs="宋体"/>
          <w:highlight w:val="none"/>
        </w:rPr>
        <w:t>2.食堂满意度调查：包括饭菜质量、服务态度、卫生状况、饭菜份量等。</w:t>
      </w:r>
    </w:p>
    <w:p>
      <w:pPr>
        <w:snapToGrid w:val="0"/>
        <w:spacing w:line="360" w:lineRule="auto"/>
        <w:ind w:firstLine="482" w:firstLineChars="200"/>
        <w:rPr>
          <w:rFonts w:cs="宋体"/>
          <w:b/>
          <w:bCs/>
          <w:highlight w:val="none"/>
        </w:rPr>
      </w:pPr>
      <w:r>
        <w:rPr>
          <w:rFonts w:hint="eastAsia" w:cs="宋体"/>
          <w:b/>
          <w:bCs/>
          <w:highlight w:val="none"/>
        </w:rPr>
        <w:t>三、考核办法</w:t>
      </w:r>
    </w:p>
    <w:p>
      <w:pPr>
        <w:snapToGrid w:val="0"/>
        <w:spacing w:line="360" w:lineRule="auto"/>
        <w:ind w:firstLine="480" w:firstLineChars="200"/>
        <w:rPr>
          <w:rFonts w:cs="宋体"/>
          <w:highlight w:val="none"/>
        </w:rPr>
      </w:pPr>
      <w:r>
        <w:rPr>
          <w:rFonts w:hint="eastAsia" w:cs="宋体"/>
          <w:highlight w:val="none"/>
        </w:rPr>
        <w:t>1.定期考核：每半年组织考核一次，食堂工作负责人员到食堂实际检查，并量化打分；食堂满意度调查，全体就餐职工填写《食堂满意度调查表》进行打分。</w:t>
      </w:r>
    </w:p>
    <w:p>
      <w:pPr>
        <w:snapToGrid w:val="0"/>
        <w:spacing w:line="360" w:lineRule="auto"/>
        <w:ind w:firstLine="480" w:firstLineChars="200"/>
        <w:rPr>
          <w:rFonts w:cs="宋体"/>
          <w:highlight w:val="none"/>
        </w:rPr>
      </w:pPr>
      <w:r>
        <w:rPr>
          <w:rFonts w:hint="eastAsia" w:cs="宋体"/>
          <w:highlight w:val="none"/>
        </w:rPr>
        <w:t>2.不定期考核：根据就餐职工意见，由机关服务中心牵头，随时对食堂餐饮服务内容进行检查。</w:t>
      </w:r>
    </w:p>
    <w:p>
      <w:pPr>
        <w:snapToGrid w:val="0"/>
        <w:spacing w:line="360" w:lineRule="auto"/>
        <w:ind w:firstLine="482" w:firstLineChars="200"/>
        <w:rPr>
          <w:rFonts w:cs="宋体"/>
          <w:b/>
          <w:bCs/>
          <w:highlight w:val="none"/>
        </w:rPr>
      </w:pPr>
      <w:r>
        <w:rPr>
          <w:rFonts w:hint="eastAsia" w:cs="宋体"/>
          <w:b/>
          <w:bCs/>
          <w:highlight w:val="none"/>
        </w:rPr>
        <w:t>四、考核结果的运用</w:t>
      </w:r>
    </w:p>
    <w:p>
      <w:pPr>
        <w:snapToGrid w:val="0"/>
        <w:spacing w:line="360" w:lineRule="auto"/>
        <w:ind w:firstLine="480" w:firstLineChars="200"/>
        <w:rPr>
          <w:rFonts w:cs="宋体"/>
          <w:highlight w:val="none"/>
        </w:rPr>
      </w:pPr>
      <w:r>
        <w:rPr>
          <w:rFonts w:hint="eastAsia" w:cs="宋体"/>
          <w:highlight w:val="none"/>
        </w:rPr>
        <w:t>1.遵守规章制度，按时上下岗，迟到早退扣1分／次。遇事请假，凡请假一天扣当天的服务费用。无故旷工追加罚款50元。</w:t>
      </w:r>
    </w:p>
    <w:p>
      <w:pPr>
        <w:snapToGrid w:val="0"/>
        <w:spacing w:line="360" w:lineRule="auto"/>
        <w:ind w:firstLine="480" w:firstLineChars="200"/>
        <w:rPr>
          <w:rFonts w:cs="宋体"/>
          <w:highlight w:val="none"/>
        </w:rPr>
      </w:pPr>
      <w:r>
        <w:rPr>
          <w:rFonts w:hint="eastAsia" w:cs="宋体"/>
          <w:highlight w:val="none"/>
        </w:rPr>
        <w:t>2.上岗时必须穿戴工作衣帽，佩戴上岗证，违者每项扣1分／次。要做到五勤：勤洗手、勤洗澡、勤理发、勤换衣服、勤剪指甲。个人卫生不合格扣1分/次。</w:t>
      </w:r>
    </w:p>
    <w:p>
      <w:pPr>
        <w:numPr>
          <w:ilvl w:val="0"/>
          <w:numId w:val="18"/>
        </w:numPr>
        <w:snapToGrid w:val="0"/>
        <w:spacing w:line="360" w:lineRule="auto"/>
        <w:ind w:firstLine="480" w:firstLineChars="200"/>
        <w:rPr>
          <w:rFonts w:cs="宋体"/>
          <w:highlight w:val="none"/>
        </w:rPr>
      </w:pPr>
      <w:r>
        <w:rPr>
          <w:rFonts w:hint="eastAsia" w:cs="宋体"/>
          <w:highlight w:val="none"/>
        </w:rPr>
        <w:t>切菜、炒菜、做饭前及上厕所后要洗手，不准随地吐痰，不准对着食物打喷嚏、挠头、拍打灰尘等。发现扣1分/次。</w:t>
      </w:r>
    </w:p>
    <w:p>
      <w:pPr>
        <w:snapToGrid w:val="0"/>
        <w:spacing w:line="360" w:lineRule="auto"/>
        <w:ind w:firstLine="480" w:firstLineChars="200"/>
        <w:rPr>
          <w:rFonts w:cs="宋体"/>
          <w:highlight w:val="none"/>
        </w:rPr>
      </w:pPr>
      <w:r>
        <w:rPr>
          <w:rFonts w:hint="eastAsia" w:cs="宋体"/>
          <w:highlight w:val="none"/>
        </w:rPr>
        <w:t>4.肉菜食品、清洗、消毒餐厨具要符合卫生要求，违反规定的视情节轻重罚款1至5分/次。</w:t>
      </w:r>
    </w:p>
    <w:p>
      <w:pPr>
        <w:snapToGrid w:val="0"/>
        <w:spacing w:line="360" w:lineRule="auto"/>
        <w:ind w:firstLine="480" w:firstLineChars="200"/>
        <w:rPr>
          <w:rFonts w:cs="宋体"/>
          <w:highlight w:val="none"/>
        </w:rPr>
      </w:pPr>
      <w:r>
        <w:rPr>
          <w:rFonts w:hint="eastAsia" w:cs="宋体"/>
          <w:highlight w:val="none"/>
        </w:rPr>
        <w:t>5.在操作中，保持地面无杂物、无积水;洗菜、切菜、蒸饭炒菜每道程序没有按时完成而导致食堂不能正常开饭的扣1至3分/次。饭夹生、过烂，面食蒸的质量很差;肉菜烹调失当、怪味，视情节轻扣1至5分/次。</w:t>
      </w:r>
    </w:p>
    <w:p>
      <w:pPr>
        <w:snapToGrid w:val="0"/>
        <w:spacing w:line="360" w:lineRule="auto"/>
        <w:ind w:firstLine="480" w:firstLineChars="200"/>
        <w:rPr>
          <w:rFonts w:cs="宋体"/>
          <w:highlight w:val="none"/>
        </w:rPr>
      </w:pPr>
      <w:r>
        <w:rPr>
          <w:rFonts w:hint="eastAsia" w:cs="宋体"/>
          <w:highlight w:val="none"/>
        </w:rPr>
        <w:t>6.服务要吃苦耐劳，闲言少叙，密切配合，搞好团结，吵架每次扣1分/次。服务态度不好，说脏话扣1分/次。</w:t>
      </w:r>
    </w:p>
    <w:p>
      <w:pPr>
        <w:snapToGrid w:val="0"/>
        <w:spacing w:line="360" w:lineRule="auto"/>
        <w:ind w:firstLine="480" w:firstLineChars="200"/>
        <w:rPr>
          <w:rFonts w:cs="宋体"/>
          <w:highlight w:val="none"/>
        </w:rPr>
      </w:pPr>
      <w:r>
        <w:rPr>
          <w:rFonts w:hint="eastAsia" w:cs="宋体"/>
          <w:highlight w:val="none"/>
        </w:rPr>
        <w:t>7.爱护公物，因操作失误或工作疏忽大意造成餐厨具、卫生用具等损坏，原材料极大浪费或重大损失的照价赔偿。</w:t>
      </w:r>
    </w:p>
    <w:p>
      <w:pPr>
        <w:snapToGrid w:val="0"/>
        <w:spacing w:line="360" w:lineRule="auto"/>
        <w:ind w:firstLine="480" w:firstLineChars="200"/>
        <w:rPr>
          <w:rFonts w:cs="宋体"/>
          <w:highlight w:val="none"/>
        </w:rPr>
      </w:pPr>
      <w:r>
        <w:rPr>
          <w:rFonts w:hint="eastAsia" w:cs="宋体"/>
          <w:highlight w:val="none"/>
        </w:rPr>
        <w:t>8.不得将食堂饭菜及其他物品等带出食堂，一经发现扣5分/次。</w:t>
      </w:r>
    </w:p>
    <w:p>
      <w:pPr>
        <w:snapToGrid w:val="0"/>
        <w:spacing w:line="360" w:lineRule="auto"/>
        <w:ind w:firstLine="480" w:firstLineChars="200"/>
        <w:rPr>
          <w:rFonts w:cs="宋体"/>
          <w:highlight w:val="none"/>
        </w:rPr>
      </w:pPr>
      <w:r>
        <w:rPr>
          <w:rFonts w:hint="eastAsia" w:cs="宋体"/>
          <w:highlight w:val="none"/>
        </w:rPr>
        <w:t>9.每餐后必须进行卫生清理。清理卫生马虎或不彻底，设备、餐厨具搽洗不干净的;没有摆放到规定的位置或摆放不规整的;各间各室、餐厅卫生等打扫后留有死角、渍污、饭菜、积水、灰尘的扣1分/次。</w:t>
      </w:r>
    </w:p>
    <w:p>
      <w:pPr>
        <w:snapToGrid w:val="0"/>
        <w:spacing w:line="360" w:lineRule="auto"/>
        <w:ind w:firstLine="480" w:firstLineChars="200"/>
        <w:rPr>
          <w:rFonts w:cs="宋体"/>
          <w:highlight w:val="none"/>
        </w:rPr>
      </w:pPr>
      <w:r>
        <w:rPr>
          <w:rFonts w:hint="eastAsia" w:cs="宋体"/>
          <w:highlight w:val="none"/>
        </w:rPr>
        <w:t>10.按时参加体检，得传染病的立即辞退。</w:t>
      </w:r>
    </w:p>
    <w:p>
      <w:pPr>
        <w:snapToGrid w:val="0"/>
        <w:spacing w:line="360" w:lineRule="auto"/>
        <w:ind w:firstLine="480" w:firstLineChars="200"/>
        <w:rPr>
          <w:rFonts w:cs="宋体"/>
          <w:highlight w:val="none"/>
        </w:rPr>
      </w:pPr>
      <w:r>
        <w:rPr>
          <w:rFonts w:hint="eastAsia" w:cs="宋体"/>
          <w:highlight w:val="none"/>
        </w:rPr>
        <w:t>11.在日常检査考核中，第一次检查结果在80分以下将对食堂餐饮服务公司进行批评教育;两次检查考核80分以下，将对食堂餐饮服务公司处罚金额2000元，并限期整改。</w:t>
      </w:r>
    </w:p>
    <w:p>
      <w:pPr>
        <w:snapToGrid w:val="0"/>
        <w:spacing w:line="360" w:lineRule="auto"/>
        <w:ind w:firstLine="480" w:firstLineChars="200"/>
        <w:rPr>
          <w:rFonts w:cs="宋体"/>
          <w:highlight w:val="none"/>
        </w:rPr>
      </w:pPr>
      <w:r>
        <w:rPr>
          <w:rFonts w:hint="eastAsia" w:cs="宋体"/>
          <w:highlight w:val="none"/>
        </w:rPr>
        <w:t>12.在满意度调査考核中，(1)当员工满意度调査低于80分，将对食堂餐饮服务公司进行警告，并限期整改;(2)当员工满意度调查低于60分，将对食堂餐饮服务公司处罚金额2000元，并责令对职工所提意见限期整改;(3)当两次满意度调査低于60分，将加大处罚力度，罚金5000元，并限期整改。</w:t>
      </w:r>
    </w:p>
    <w:p>
      <w:pPr>
        <w:snapToGrid w:val="0"/>
        <w:spacing w:line="360" w:lineRule="auto"/>
        <w:ind w:firstLine="480" w:firstLineChars="200"/>
        <w:rPr>
          <w:rFonts w:cs="宋体"/>
          <w:highlight w:val="none"/>
        </w:rPr>
      </w:pPr>
      <w:r>
        <w:rPr>
          <w:rFonts w:hint="eastAsia" w:cs="宋体"/>
          <w:highlight w:val="none"/>
        </w:rPr>
        <w:t>13、无正当理由不听从食堂负责人的安排调配的扣1分/次。月底累计所扣分数，每分按5元计算，钱从当月工资扣除。</w:t>
      </w:r>
    </w:p>
    <w:p>
      <w:pPr>
        <w:snapToGrid w:val="0"/>
        <w:spacing w:line="360" w:lineRule="auto"/>
        <w:ind w:left="480" w:leftChars="200"/>
        <w:rPr>
          <w:rFonts w:cs="宋体"/>
          <w:highlight w:val="none"/>
        </w:rPr>
      </w:pPr>
      <w:r>
        <w:rPr>
          <w:rFonts w:hint="eastAsia" w:cs="宋体"/>
          <w:highlight w:val="none"/>
        </w:rPr>
        <w:t>本办法自与中标方合订合同之日起实行，由市局机关服务中心负责解释。</w:t>
      </w:r>
    </w:p>
    <w:p>
      <w:pPr>
        <w:widowControl/>
        <w:snapToGrid w:val="0"/>
        <w:spacing w:line="360" w:lineRule="auto"/>
        <w:ind w:firstLine="470" w:firstLineChars="200"/>
        <w:jc w:val="left"/>
        <w:outlineLvl w:val="2"/>
        <w:rPr>
          <w:rFonts w:cs="宋体"/>
          <w:b/>
          <w:bCs/>
          <w:highlight w:val="none"/>
        </w:rPr>
      </w:pPr>
      <w:bookmarkStart w:id="209" w:name="_Toc31234"/>
      <w:bookmarkStart w:id="210" w:name="_Toc11414"/>
      <w:r>
        <w:rPr>
          <w:rFonts w:hint="eastAsia" w:cs="宋体"/>
          <w:b/>
          <w:bCs/>
          <w:spacing w:val="-8"/>
          <w:sz w:val="25"/>
          <w:szCs w:val="25"/>
          <w:highlight w:val="none"/>
        </w:rPr>
        <w:t>★</w:t>
      </w:r>
      <w:r>
        <w:rPr>
          <w:rFonts w:hint="eastAsia" w:cs="宋体"/>
          <w:b/>
          <w:bCs/>
          <w:highlight w:val="none"/>
        </w:rPr>
        <w:t>五、技术要求</w:t>
      </w:r>
      <w:bookmarkEnd w:id="209"/>
      <w:bookmarkEnd w:id="210"/>
    </w:p>
    <w:p>
      <w:pPr>
        <w:widowControl/>
        <w:snapToGrid w:val="0"/>
        <w:spacing w:line="360" w:lineRule="auto"/>
        <w:ind w:firstLine="480" w:firstLineChars="200"/>
        <w:jc w:val="left"/>
        <w:rPr>
          <w:rFonts w:cs="宋体"/>
          <w:highlight w:val="none"/>
        </w:rPr>
      </w:pPr>
      <w:r>
        <w:rPr>
          <w:rFonts w:hint="eastAsia" w:cs="宋体"/>
          <w:highlight w:val="none"/>
        </w:rPr>
        <w:t>（一）人员配备与岗位职责</w:t>
      </w:r>
    </w:p>
    <w:p>
      <w:pPr>
        <w:widowControl/>
        <w:snapToGrid w:val="0"/>
        <w:spacing w:line="360" w:lineRule="auto"/>
        <w:ind w:firstLine="480" w:firstLineChars="200"/>
        <w:jc w:val="left"/>
        <w:rPr>
          <w:rFonts w:cs="宋体"/>
          <w:highlight w:val="none"/>
        </w:rPr>
      </w:pPr>
      <w:r>
        <w:rPr>
          <w:rFonts w:hint="eastAsia" w:cs="宋体"/>
          <w:highlight w:val="none"/>
        </w:rPr>
        <w:t>根据本项目所需人力资源配置测算，总人数应不少于34人，其中：红案一级 6 人、红案二级2人、白案一级6人、白案二级2人、服务员10人、择洗8 人。</w:t>
      </w:r>
    </w:p>
    <w:p>
      <w:pPr>
        <w:widowControl/>
        <w:snapToGrid w:val="0"/>
        <w:spacing w:line="360" w:lineRule="auto"/>
        <w:ind w:firstLine="480" w:firstLineChars="200"/>
        <w:jc w:val="left"/>
        <w:rPr>
          <w:rFonts w:cs="宋体"/>
          <w:highlight w:val="none"/>
        </w:rPr>
      </w:pPr>
      <w:r>
        <w:rPr>
          <w:rFonts w:hint="eastAsia" w:cs="宋体"/>
          <w:highlight w:val="none"/>
        </w:rPr>
        <w:t>食堂餐饮服务人员应责任心强，工作细致，年龄在 18 至 55 岁之间，并持有健康证上岗，所有食堂服务人员必须全部具备有效期内的健康证，项目执行过程中，由供应商负责相关人员健康证的管理，保证整个项目服务期内的所有相关人员健康证的有效性。所有人员必须专职为本项目服务，不得兼职。采购人具有不定期监</w:t>
      </w:r>
      <w:r>
        <w:rPr>
          <w:rFonts w:hint="eastAsia" w:cs="宋体"/>
          <w:spacing w:val="-11"/>
          <w:highlight w:val="none"/>
        </w:rPr>
        <w:t>督抽查和考核评价权力</w:t>
      </w:r>
      <w:r>
        <w:rPr>
          <w:rFonts w:hint="eastAsia" w:cs="宋体"/>
          <w:highlight w:val="none"/>
        </w:rPr>
        <w:t>。</w:t>
      </w:r>
    </w:p>
    <w:p>
      <w:pPr>
        <w:spacing w:line="360" w:lineRule="auto"/>
        <w:rPr>
          <w:rFonts w:cs="宋体"/>
          <w:highlight w:val="none"/>
        </w:rPr>
      </w:pPr>
      <w:r>
        <w:rPr>
          <w:rFonts w:hint="eastAsia" w:cs="宋体"/>
          <w:highlight w:val="none"/>
        </w:rPr>
        <w:br w:type="page"/>
      </w:r>
    </w:p>
    <w:p>
      <w:pPr>
        <w:widowControl/>
        <w:snapToGrid w:val="0"/>
        <w:spacing w:line="312" w:lineRule="auto"/>
        <w:ind w:firstLine="480" w:firstLineChars="200"/>
        <w:jc w:val="left"/>
        <w:rPr>
          <w:rFonts w:cs="宋体"/>
          <w:highlight w:val="none"/>
        </w:rPr>
      </w:pPr>
    </w:p>
    <w:tbl>
      <w:tblPr>
        <w:tblStyle w:val="35"/>
        <w:tblpPr w:leftFromText="180" w:rightFromText="180" w:vertAnchor="text" w:horzAnchor="page" w:tblpXSpec="center" w:tblpY="-240"/>
        <w:tblOverlap w:val="never"/>
        <w:tblW w:w="105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667"/>
        <w:gridCol w:w="807"/>
        <w:gridCol w:w="3058"/>
        <w:gridCol w:w="5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exact"/>
          <w:jc w:val="center"/>
        </w:trPr>
        <w:tc>
          <w:tcPr>
            <w:tcW w:w="782" w:type="dxa"/>
            <w:noWrap/>
            <w:vAlign w:val="center"/>
          </w:tcPr>
          <w:p>
            <w:pPr>
              <w:snapToGrid w:val="0"/>
              <w:spacing w:line="312" w:lineRule="auto"/>
              <w:jc w:val="center"/>
              <w:rPr>
                <w:rFonts w:cs="宋体"/>
                <w:b/>
                <w:bCs/>
                <w:highlight w:val="none"/>
              </w:rPr>
            </w:pPr>
            <w:r>
              <w:rPr>
                <w:rFonts w:hint="eastAsia" w:cs="宋体"/>
                <w:b/>
                <w:bCs/>
                <w:highlight w:val="none"/>
              </w:rPr>
              <w:t>职务</w:t>
            </w:r>
          </w:p>
        </w:tc>
        <w:tc>
          <w:tcPr>
            <w:tcW w:w="1474" w:type="dxa"/>
            <w:gridSpan w:val="2"/>
            <w:noWrap/>
            <w:vAlign w:val="center"/>
          </w:tcPr>
          <w:p>
            <w:pPr>
              <w:snapToGrid w:val="0"/>
              <w:spacing w:line="312" w:lineRule="auto"/>
              <w:jc w:val="center"/>
              <w:rPr>
                <w:rFonts w:cs="宋体"/>
                <w:b/>
                <w:bCs/>
                <w:highlight w:val="none"/>
              </w:rPr>
            </w:pPr>
            <w:r>
              <w:rPr>
                <w:rFonts w:hint="eastAsia" w:cs="宋体"/>
                <w:b/>
                <w:bCs/>
                <w:highlight w:val="none"/>
              </w:rPr>
              <w:t>级别及人数</w:t>
            </w:r>
          </w:p>
        </w:tc>
        <w:tc>
          <w:tcPr>
            <w:tcW w:w="3058" w:type="dxa"/>
            <w:noWrap/>
            <w:vAlign w:val="center"/>
          </w:tcPr>
          <w:p>
            <w:pPr>
              <w:snapToGrid w:val="0"/>
              <w:spacing w:line="312" w:lineRule="auto"/>
              <w:jc w:val="center"/>
              <w:rPr>
                <w:rFonts w:cs="宋体"/>
                <w:b/>
                <w:bCs/>
                <w:highlight w:val="none"/>
              </w:rPr>
            </w:pPr>
            <w:r>
              <w:rPr>
                <w:rFonts w:hint="eastAsia" w:cs="宋体"/>
                <w:b/>
                <w:bCs/>
                <w:highlight w:val="none"/>
              </w:rPr>
              <w:t>岗位要求</w:t>
            </w:r>
          </w:p>
        </w:tc>
        <w:tc>
          <w:tcPr>
            <w:tcW w:w="5244" w:type="dxa"/>
            <w:noWrap/>
            <w:vAlign w:val="center"/>
          </w:tcPr>
          <w:p>
            <w:pPr>
              <w:snapToGrid w:val="0"/>
              <w:spacing w:line="312" w:lineRule="auto"/>
              <w:jc w:val="center"/>
              <w:rPr>
                <w:rFonts w:cs="宋体"/>
                <w:b/>
                <w:bCs/>
                <w:highlight w:val="none"/>
              </w:rPr>
            </w:pPr>
            <w:r>
              <w:rPr>
                <w:rFonts w:hint="eastAsia" w:cs="宋体"/>
                <w:b/>
                <w:bCs/>
                <w:highlight w:val="none"/>
              </w:rPr>
              <w:t>具体分工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exact"/>
          <w:jc w:val="center"/>
        </w:trPr>
        <w:tc>
          <w:tcPr>
            <w:tcW w:w="782" w:type="dxa"/>
            <w:vMerge w:val="restart"/>
            <w:noWrap/>
            <w:vAlign w:val="center"/>
          </w:tcPr>
          <w:p>
            <w:pPr>
              <w:snapToGrid w:val="0"/>
              <w:spacing w:line="312" w:lineRule="auto"/>
              <w:jc w:val="center"/>
              <w:rPr>
                <w:rFonts w:cs="宋体"/>
                <w:highlight w:val="none"/>
              </w:rPr>
            </w:pPr>
            <w:r>
              <w:rPr>
                <w:rFonts w:hint="eastAsia" w:cs="宋体"/>
                <w:highlight w:val="none"/>
              </w:rPr>
              <w:t>红案师</w:t>
            </w:r>
          </w:p>
        </w:tc>
        <w:tc>
          <w:tcPr>
            <w:tcW w:w="667" w:type="dxa"/>
            <w:tcBorders>
              <w:bottom w:val="single" w:color="auto" w:sz="4" w:space="0"/>
              <w:right w:val="single" w:color="auto" w:sz="4" w:space="0"/>
            </w:tcBorders>
            <w:noWrap/>
            <w:vAlign w:val="center"/>
          </w:tcPr>
          <w:p>
            <w:pPr>
              <w:snapToGrid w:val="0"/>
              <w:spacing w:line="312" w:lineRule="auto"/>
              <w:jc w:val="center"/>
              <w:rPr>
                <w:rFonts w:cs="宋体"/>
                <w:highlight w:val="none"/>
              </w:rPr>
            </w:pPr>
            <w:r>
              <w:rPr>
                <w:rFonts w:hint="eastAsia" w:cs="宋体"/>
                <w:highlight w:val="none"/>
              </w:rPr>
              <w:t>一级</w:t>
            </w:r>
          </w:p>
        </w:tc>
        <w:tc>
          <w:tcPr>
            <w:tcW w:w="807" w:type="dxa"/>
            <w:tcBorders>
              <w:left w:val="single" w:color="auto" w:sz="4" w:space="0"/>
              <w:bottom w:val="single" w:color="auto" w:sz="4" w:space="0"/>
            </w:tcBorders>
            <w:noWrap/>
            <w:vAlign w:val="center"/>
          </w:tcPr>
          <w:p>
            <w:pPr>
              <w:snapToGrid w:val="0"/>
              <w:spacing w:line="312" w:lineRule="auto"/>
              <w:jc w:val="center"/>
              <w:rPr>
                <w:rFonts w:cs="宋体"/>
                <w:highlight w:val="none"/>
              </w:rPr>
            </w:pPr>
            <w:r>
              <w:rPr>
                <w:rFonts w:hint="eastAsia" w:cs="宋体"/>
                <w:highlight w:val="none"/>
              </w:rPr>
              <w:t>6人</w:t>
            </w:r>
          </w:p>
        </w:tc>
        <w:tc>
          <w:tcPr>
            <w:tcW w:w="3058" w:type="dxa"/>
            <w:vMerge w:val="restart"/>
            <w:noWrap/>
            <w:vAlign w:val="center"/>
          </w:tcPr>
          <w:p>
            <w:pPr>
              <w:snapToGrid w:val="0"/>
              <w:spacing w:line="312" w:lineRule="auto"/>
              <w:jc w:val="left"/>
              <w:rPr>
                <w:rFonts w:cs="宋体"/>
                <w:highlight w:val="none"/>
              </w:rPr>
            </w:pPr>
            <w:r>
              <w:rPr>
                <w:rFonts w:hint="eastAsia" w:cs="宋体"/>
                <w:highlight w:val="none"/>
              </w:rPr>
              <w:t>红案一级具有5年以上饮食烹饪服务经验，红案二级具有3年以上饮食烹饪服务经验。</w:t>
            </w:r>
          </w:p>
        </w:tc>
        <w:tc>
          <w:tcPr>
            <w:tcW w:w="5244" w:type="dxa"/>
            <w:vMerge w:val="restart"/>
            <w:noWrap/>
            <w:vAlign w:val="center"/>
          </w:tcPr>
          <w:p>
            <w:pPr>
              <w:snapToGrid w:val="0"/>
              <w:spacing w:line="312" w:lineRule="auto"/>
              <w:rPr>
                <w:rFonts w:cs="宋体"/>
                <w:highlight w:val="none"/>
              </w:rPr>
            </w:pPr>
            <w:r>
              <w:rPr>
                <w:rFonts w:hint="eastAsia" w:cs="宋体"/>
                <w:highlight w:val="none"/>
              </w:rPr>
              <w:t>1.熟知厨房中各种食品的特点和工艺流程，具有较全面的食品知识,掌握炒、煎、熘、煮、烹、爆、炸等各种烹调方法,具有两种以上菜系的饮食风味烹调和原材料加工、配菜能力。</w:t>
            </w:r>
          </w:p>
          <w:p>
            <w:pPr>
              <w:snapToGrid w:val="0"/>
              <w:spacing w:line="312" w:lineRule="auto"/>
              <w:rPr>
                <w:rFonts w:cs="宋体"/>
                <w:highlight w:val="none"/>
              </w:rPr>
            </w:pPr>
            <w:r>
              <w:rPr>
                <w:rFonts w:hint="eastAsia" w:cs="宋体"/>
                <w:highlight w:val="none"/>
              </w:rPr>
              <w:t>2.负责制定红案每日菜谱、负责饭菜加工。不制作、不出售腐烂变质的食品， 发现问题及时向食堂领导汇报，不得善自处理。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exact"/>
          <w:jc w:val="center"/>
        </w:trPr>
        <w:tc>
          <w:tcPr>
            <w:tcW w:w="782" w:type="dxa"/>
            <w:vMerge w:val="continue"/>
            <w:noWrap/>
            <w:vAlign w:val="center"/>
          </w:tcPr>
          <w:p>
            <w:pPr>
              <w:snapToGrid w:val="0"/>
              <w:spacing w:line="312" w:lineRule="auto"/>
              <w:jc w:val="center"/>
              <w:rPr>
                <w:rFonts w:cs="宋体"/>
                <w:highlight w:val="none"/>
              </w:rPr>
            </w:pPr>
          </w:p>
        </w:tc>
        <w:tc>
          <w:tcPr>
            <w:tcW w:w="667" w:type="dxa"/>
            <w:tcBorders>
              <w:top w:val="single" w:color="auto" w:sz="4" w:space="0"/>
              <w:right w:val="single" w:color="auto" w:sz="4" w:space="0"/>
            </w:tcBorders>
            <w:noWrap/>
            <w:vAlign w:val="center"/>
          </w:tcPr>
          <w:p>
            <w:pPr>
              <w:snapToGrid w:val="0"/>
              <w:spacing w:line="312" w:lineRule="auto"/>
              <w:jc w:val="center"/>
              <w:rPr>
                <w:rFonts w:cs="宋体"/>
                <w:highlight w:val="none"/>
              </w:rPr>
            </w:pPr>
            <w:r>
              <w:rPr>
                <w:rFonts w:hint="eastAsia" w:cs="宋体"/>
                <w:highlight w:val="none"/>
              </w:rPr>
              <w:t>二级</w:t>
            </w:r>
          </w:p>
        </w:tc>
        <w:tc>
          <w:tcPr>
            <w:tcW w:w="807" w:type="dxa"/>
            <w:tcBorders>
              <w:top w:val="single" w:color="auto" w:sz="4" w:space="0"/>
              <w:left w:val="single" w:color="auto" w:sz="4" w:space="0"/>
            </w:tcBorders>
            <w:noWrap/>
            <w:vAlign w:val="center"/>
          </w:tcPr>
          <w:p>
            <w:pPr>
              <w:snapToGrid w:val="0"/>
              <w:spacing w:line="312" w:lineRule="auto"/>
              <w:jc w:val="center"/>
              <w:rPr>
                <w:rFonts w:cs="宋体"/>
                <w:highlight w:val="none"/>
              </w:rPr>
            </w:pPr>
            <w:r>
              <w:rPr>
                <w:rFonts w:hint="eastAsia" w:cs="宋体"/>
                <w:highlight w:val="none"/>
              </w:rPr>
              <w:t>2人</w:t>
            </w:r>
          </w:p>
        </w:tc>
        <w:tc>
          <w:tcPr>
            <w:tcW w:w="3058" w:type="dxa"/>
            <w:vMerge w:val="continue"/>
            <w:noWrap/>
            <w:vAlign w:val="center"/>
          </w:tcPr>
          <w:p>
            <w:pPr>
              <w:snapToGrid w:val="0"/>
              <w:spacing w:line="312" w:lineRule="auto"/>
              <w:jc w:val="left"/>
              <w:rPr>
                <w:rFonts w:cs="宋体"/>
                <w:highlight w:val="none"/>
              </w:rPr>
            </w:pPr>
          </w:p>
        </w:tc>
        <w:tc>
          <w:tcPr>
            <w:tcW w:w="5244" w:type="dxa"/>
            <w:vMerge w:val="continue"/>
            <w:noWrap/>
            <w:vAlign w:val="center"/>
          </w:tcPr>
          <w:p>
            <w:pPr>
              <w:snapToGrid w:val="0"/>
              <w:spacing w:line="312" w:lineRule="auto"/>
              <w:rPr>
                <w:rFonts w:cs="宋体"/>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exact"/>
          <w:jc w:val="center"/>
        </w:trPr>
        <w:tc>
          <w:tcPr>
            <w:tcW w:w="782" w:type="dxa"/>
            <w:vMerge w:val="restart"/>
            <w:noWrap/>
            <w:vAlign w:val="center"/>
          </w:tcPr>
          <w:p>
            <w:pPr>
              <w:snapToGrid w:val="0"/>
              <w:spacing w:line="312" w:lineRule="auto"/>
              <w:jc w:val="center"/>
              <w:rPr>
                <w:rFonts w:cs="宋体"/>
                <w:highlight w:val="none"/>
              </w:rPr>
            </w:pPr>
            <w:r>
              <w:rPr>
                <w:rFonts w:hint="eastAsia" w:cs="宋体"/>
                <w:highlight w:val="none"/>
              </w:rPr>
              <w:t>白案师</w:t>
            </w:r>
          </w:p>
        </w:tc>
        <w:tc>
          <w:tcPr>
            <w:tcW w:w="667" w:type="dxa"/>
            <w:tcBorders>
              <w:bottom w:val="single" w:color="auto" w:sz="4" w:space="0"/>
              <w:right w:val="single" w:color="auto" w:sz="4" w:space="0"/>
            </w:tcBorders>
            <w:noWrap/>
            <w:vAlign w:val="center"/>
          </w:tcPr>
          <w:p>
            <w:pPr>
              <w:snapToGrid w:val="0"/>
              <w:spacing w:line="312" w:lineRule="auto"/>
              <w:jc w:val="center"/>
              <w:rPr>
                <w:rFonts w:cs="宋体"/>
                <w:highlight w:val="none"/>
              </w:rPr>
            </w:pPr>
            <w:r>
              <w:rPr>
                <w:rFonts w:hint="eastAsia" w:cs="宋体"/>
                <w:highlight w:val="none"/>
              </w:rPr>
              <w:t>一级</w:t>
            </w:r>
          </w:p>
        </w:tc>
        <w:tc>
          <w:tcPr>
            <w:tcW w:w="807" w:type="dxa"/>
            <w:tcBorders>
              <w:left w:val="single" w:color="auto" w:sz="4" w:space="0"/>
              <w:bottom w:val="single" w:color="auto" w:sz="4" w:space="0"/>
            </w:tcBorders>
            <w:noWrap/>
            <w:vAlign w:val="center"/>
          </w:tcPr>
          <w:p>
            <w:pPr>
              <w:snapToGrid w:val="0"/>
              <w:spacing w:line="312" w:lineRule="auto"/>
              <w:jc w:val="center"/>
              <w:rPr>
                <w:rFonts w:cs="宋体"/>
                <w:highlight w:val="none"/>
              </w:rPr>
            </w:pPr>
            <w:r>
              <w:rPr>
                <w:rFonts w:hint="eastAsia" w:cs="宋体"/>
                <w:highlight w:val="none"/>
              </w:rPr>
              <w:t>6人</w:t>
            </w:r>
          </w:p>
        </w:tc>
        <w:tc>
          <w:tcPr>
            <w:tcW w:w="3058" w:type="dxa"/>
            <w:vMerge w:val="restart"/>
            <w:noWrap/>
            <w:vAlign w:val="center"/>
          </w:tcPr>
          <w:p>
            <w:pPr>
              <w:snapToGrid w:val="0"/>
              <w:spacing w:line="312" w:lineRule="auto"/>
              <w:rPr>
                <w:rFonts w:cs="宋体"/>
                <w:highlight w:val="none"/>
              </w:rPr>
            </w:pPr>
            <w:r>
              <w:rPr>
                <w:rFonts w:hint="eastAsia" w:cs="宋体"/>
                <w:highlight w:val="none"/>
              </w:rPr>
              <w:t>白案一级具有5年以上服务经验，白案二级具有3年以上服务经验。</w:t>
            </w:r>
          </w:p>
          <w:p>
            <w:pPr>
              <w:snapToGrid w:val="0"/>
              <w:spacing w:line="312" w:lineRule="auto"/>
              <w:rPr>
                <w:rFonts w:cs="宋体"/>
                <w:highlight w:val="none"/>
              </w:rPr>
            </w:pPr>
          </w:p>
        </w:tc>
        <w:tc>
          <w:tcPr>
            <w:tcW w:w="5244" w:type="dxa"/>
            <w:vMerge w:val="restart"/>
            <w:noWrap/>
            <w:vAlign w:val="center"/>
          </w:tcPr>
          <w:p>
            <w:pPr>
              <w:snapToGrid w:val="0"/>
              <w:spacing w:line="312" w:lineRule="auto"/>
              <w:rPr>
                <w:rFonts w:cs="宋体"/>
                <w:highlight w:val="none"/>
              </w:rPr>
            </w:pPr>
            <w:r>
              <w:rPr>
                <w:rFonts w:hint="eastAsia" w:cs="宋体"/>
                <w:highlight w:val="none"/>
              </w:rPr>
              <w:t>1.有独立完成煎、炸、煮、蒸、中西面点、烘烤技能操作的能力。</w:t>
            </w:r>
          </w:p>
          <w:p>
            <w:pPr>
              <w:snapToGrid w:val="0"/>
              <w:spacing w:line="312" w:lineRule="auto"/>
              <w:rPr>
                <w:rFonts w:cs="宋体"/>
                <w:highlight w:val="none"/>
              </w:rPr>
            </w:pPr>
            <w:r>
              <w:rPr>
                <w:rFonts w:hint="eastAsia" w:cs="宋体"/>
                <w:highlight w:val="none"/>
              </w:rPr>
              <w:t>2.提供早餐餐品，负责面点制作，做好食堂服务等。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exact"/>
          <w:jc w:val="center"/>
        </w:trPr>
        <w:tc>
          <w:tcPr>
            <w:tcW w:w="782" w:type="dxa"/>
            <w:vMerge w:val="continue"/>
            <w:noWrap/>
            <w:vAlign w:val="center"/>
          </w:tcPr>
          <w:p>
            <w:pPr>
              <w:snapToGrid w:val="0"/>
              <w:spacing w:line="312" w:lineRule="auto"/>
              <w:jc w:val="center"/>
              <w:rPr>
                <w:rFonts w:cs="宋体"/>
                <w:highlight w:val="none"/>
              </w:rPr>
            </w:pPr>
          </w:p>
        </w:tc>
        <w:tc>
          <w:tcPr>
            <w:tcW w:w="667" w:type="dxa"/>
            <w:tcBorders>
              <w:top w:val="single" w:color="auto" w:sz="4" w:space="0"/>
              <w:right w:val="single" w:color="auto" w:sz="4" w:space="0"/>
            </w:tcBorders>
            <w:noWrap/>
            <w:vAlign w:val="center"/>
          </w:tcPr>
          <w:p>
            <w:pPr>
              <w:snapToGrid w:val="0"/>
              <w:spacing w:line="312" w:lineRule="auto"/>
              <w:jc w:val="center"/>
              <w:rPr>
                <w:rFonts w:cs="宋体"/>
                <w:highlight w:val="none"/>
              </w:rPr>
            </w:pPr>
            <w:r>
              <w:rPr>
                <w:rFonts w:hint="eastAsia" w:cs="宋体"/>
                <w:highlight w:val="none"/>
              </w:rPr>
              <w:t>二级</w:t>
            </w:r>
          </w:p>
        </w:tc>
        <w:tc>
          <w:tcPr>
            <w:tcW w:w="807" w:type="dxa"/>
            <w:tcBorders>
              <w:top w:val="single" w:color="auto" w:sz="4" w:space="0"/>
              <w:left w:val="single" w:color="auto" w:sz="4" w:space="0"/>
            </w:tcBorders>
            <w:noWrap/>
            <w:vAlign w:val="center"/>
          </w:tcPr>
          <w:p>
            <w:pPr>
              <w:snapToGrid w:val="0"/>
              <w:spacing w:line="312" w:lineRule="auto"/>
              <w:jc w:val="center"/>
              <w:rPr>
                <w:rFonts w:cs="宋体"/>
                <w:highlight w:val="none"/>
              </w:rPr>
            </w:pPr>
            <w:r>
              <w:rPr>
                <w:rFonts w:hint="eastAsia" w:cs="宋体"/>
                <w:highlight w:val="none"/>
              </w:rPr>
              <w:t>2人</w:t>
            </w:r>
          </w:p>
        </w:tc>
        <w:tc>
          <w:tcPr>
            <w:tcW w:w="3058" w:type="dxa"/>
            <w:vMerge w:val="continue"/>
            <w:noWrap/>
            <w:vAlign w:val="center"/>
          </w:tcPr>
          <w:p>
            <w:pPr>
              <w:snapToGrid w:val="0"/>
              <w:spacing w:line="312" w:lineRule="auto"/>
              <w:jc w:val="left"/>
              <w:rPr>
                <w:rFonts w:cs="宋体"/>
                <w:highlight w:val="none"/>
              </w:rPr>
            </w:pPr>
          </w:p>
        </w:tc>
        <w:tc>
          <w:tcPr>
            <w:tcW w:w="5244" w:type="dxa"/>
            <w:vMerge w:val="continue"/>
            <w:noWrap/>
            <w:vAlign w:val="center"/>
          </w:tcPr>
          <w:p>
            <w:pPr>
              <w:snapToGrid w:val="0"/>
              <w:spacing w:line="312" w:lineRule="auto"/>
              <w:rPr>
                <w:rFonts w:cs="宋体"/>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exact"/>
          <w:jc w:val="center"/>
        </w:trPr>
        <w:tc>
          <w:tcPr>
            <w:tcW w:w="782" w:type="dxa"/>
            <w:noWrap/>
            <w:vAlign w:val="center"/>
          </w:tcPr>
          <w:p>
            <w:pPr>
              <w:snapToGrid w:val="0"/>
              <w:spacing w:line="312" w:lineRule="auto"/>
              <w:jc w:val="center"/>
              <w:rPr>
                <w:rFonts w:cs="宋体"/>
                <w:highlight w:val="none"/>
              </w:rPr>
            </w:pPr>
            <w:r>
              <w:rPr>
                <w:rFonts w:hint="eastAsia" w:cs="宋体"/>
                <w:highlight w:val="none"/>
              </w:rPr>
              <w:t>服务员</w:t>
            </w:r>
          </w:p>
        </w:tc>
        <w:tc>
          <w:tcPr>
            <w:tcW w:w="1474" w:type="dxa"/>
            <w:gridSpan w:val="2"/>
            <w:noWrap/>
            <w:vAlign w:val="center"/>
          </w:tcPr>
          <w:p>
            <w:pPr>
              <w:snapToGrid w:val="0"/>
              <w:spacing w:line="312" w:lineRule="auto"/>
              <w:jc w:val="center"/>
              <w:rPr>
                <w:rFonts w:cs="宋体"/>
                <w:highlight w:val="none"/>
              </w:rPr>
            </w:pPr>
            <w:r>
              <w:rPr>
                <w:rFonts w:hint="eastAsia" w:cs="宋体"/>
                <w:highlight w:val="none"/>
              </w:rPr>
              <w:t>10人</w:t>
            </w:r>
          </w:p>
        </w:tc>
        <w:tc>
          <w:tcPr>
            <w:tcW w:w="3058" w:type="dxa"/>
            <w:vMerge w:val="restart"/>
            <w:noWrap/>
            <w:vAlign w:val="center"/>
          </w:tcPr>
          <w:p>
            <w:pPr>
              <w:snapToGrid w:val="0"/>
              <w:spacing w:line="312" w:lineRule="auto"/>
              <w:jc w:val="left"/>
              <w:rPr>
                <w:rFonts w:cs="宋体"/>
                <w:highlight w:val="none"/>
              </w:rPr>
            </w:pPr>
            <w:r>
              <w:rPr>
                <w:rFonts w:hint="eastAsia" w:cs="宋体"/>
                <w:highlight w:val="none"/>
              </w:rPr>
              <w:t>在 18 至 55 岁之间，并持有健康证上岗。</w:t>
            </w:r>
          </w:p>
        </w:tc>
        <w:tc>
          <w:tcPr>
            <w:tcW w:w="5244" w:type="dxa"/>
            <w:vMerge w:val="restart"/>
            <w:noWrap/>
            <w:vAlign w:val="center"/>
          </w:tcPr>
          <w:p>
            <w:pPr>
              <w:snapToGrid w:val="0"/>
              <w:spacing w:line="312" w:lineRule="auto"/>
              <w:rPr>
                <w:rFonts w:cs="宋体"/>
                <w:highlight w:val="none"/>
              </w:rPr>
            </w:pPr>
            <w:r>
              <w:rPr>
                <w:rFonts w:hint="eastAsia" w:cs="宋体"/>
                <w:highlight w:val="none"/>
              </w:rPr>
              <w:t>按厨师配菜要求择洗菜品、做好食堂清洁卫生，做好工作餐、客餐服务、餐前的摆放服务以及餐后清洗服务等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exact"/>
          <w:jc w:val="center"/>
        </w:trPr>
        <w:tc>
          <w:tcPr>
            <w:tcW w:w="782" w:type="dxa"/>
            <w:noWrap/>
            <w:vAlign w:val="center"/>
          </w:tcPr>
          <w:p>
            <w:pPr>
              <w:snapToGrid w:val="0"/>
              <w:spacing w:line="312" w:lineRule="auto"/>
              <w:jc w:val="center"/>
              <w:rPr>
                <w:rFonts w:cs="宋体"/>
                <w:highlight w:val="none"/>
              </w:rPr>
            </w:pPr>
            <w:r>
              <w:rPr>
                <w:rFonts w:hint="eastAsia" w:cs="宋体"/>
                <w:highlight w:val="none"/>
              </w:rPr>
              <w:t>择洗</w:t>
            </w:r>
          </w:p>
        </w:tc>
        <w:tc>
          <w:tcPr>
            <w:tcW w:w="1474" w:type="dxa"/>
            <w:gridSpan w:val="2"/>
            <w:noWrap/>
            <w:vAlign w:val="center"/>
          </w:tcPr>
          <w:p>
            <w:pPr>
              <w:snapToGrid w:val="0"/>
              <w:spacing w:line="312" w:lineRule="auto"/>
              <w:jc w:val="center"/>
              <w:rPr>
                <w:rFonts w:cs="宋体"/>
                <w:highlight w:val="none"/>
              </w:rPr>
            </w:pPr>
            <w:r>
              <w:rPr>
                <w:rFonts w:hint="eastAsia" w:cs="宋体"/>
                <w:highlight w:val="none"/>
              </w:rPr>
              <w:t>8人</w:t>
            </w:r>
          </w:p>
        </w:tc>
        <w:tc>
          <w:tcPr>
            <w:tcW w:w="3058" w:type="dxa"/>
            <w:vMerge w:val="continue"/>
            <w:noWrap/>
            <w:vAlign w:val="center"/>
          </w:tcPr>
          <w:p>
            <w:pPr>
              <w:snapToGrid w:val="0"/>
              <w:spacing w:line="312" w:lineRule="auto"/>
              <w:jc w:val="left"/>
              <w:rPr>
                <w:rFonts w:cs="宋体"/>
                <w:highlight w:val="none"/>
              </w:rPr>
            </w:pPr>
          </w:p>
        </w:tc>
        <w:tc>
          <w:tcPr>
            <w:tcW w:w="5244" w:type="dxa"/>
            <w:vMerge w:val="continue"/>
            <w:noWrap/>
            <w:vAlign w:val="center"/>
          </w:tcPr>
          <w:p>
            <w:pPr>
              <w:snapToGrid w:val="0"/>
              <w:spacing w:line="312" w:lineRule="auto"/>
              <w:rPr>
                <w:rFonts w:cs="宋体"/>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exact"/>
          <w:jc w:val="center"/>
        </w:trPr>
        <w:tc>
          <w:tcPr>
            <w:tcW w:w="10558" w:type="dxa"/>
            <w:gridSpan w:val="5"/>
            <w:noWrap/>
            <w:vAlign w:val="center"/>
          </w:tcPr>
          <w:p>
            <w:pPr>
              <w:widowControl/>
              <w:snapToGrid w:val="0"/>
              <w:spacing w:line="312" w:lineRule="auto"/>
              <w:jc w:val="left"/>
              <w:rPr>
                <w:rFonts w:cs="宋体"/>
                <w:highlight w:val="none"/>
              </w:rPr>
            </w:pPr>
            <w:r>
              <w:rPr>
                <w:rFonts w:hint="eastAsia" w:cs="宋体"/>
                <w:highlight w:val="none"/>
              </w:rPr>
              <w:t>备注：1、所有餐饮服务人员须持有饮食行业健康证</w:t>
            </w:r>
            <w:r>
              <w:rPr>
                <w:rFonts w:hint="eastAsia" w:cs="宋体"/>
                <w:color w:val="000000"/>
                <w:kern w:val="0"/>
                <w:highlight w:val="none"/>
              </w:rPr>
              <w:t>，</w:t>
            </w:r>
            <w:r>
              <w:rPr>
                <w:rFonts w:hint="eastAsia" w:cs="宋体"/>
                <w:highlight w:val="none"/>
              </w:rPr>
              <w:t>且在进驻服务地点前必须在县市级及以上医院进行一次身体检查并达到合格。</w:t>
            </w:r>
          </w:p>
          <w:p>
            <w:pPr>
              <w:widowControl/>
              <w:snapToGrid w:val="0"/>
              <w:spacing w:line="312" w:lineRule="auto"/>
              <w:ind w:firstLine="720" w:firstLineChars="300"/>
              <w:jc w:val="left"/>
              <w:rPr>
                <w:rFonts w:cs="宋体"/>
                <w:highlight w:val="none"/>
              </w:rPr>
            </w:pPr>
            <w:r>
              <w:rPr>
                <w:rFonts w:hint="eastAsia" w:cs="宋体"/>
                <w:highlight w:val="none"/>
              </w:rPr>
              <w:t>2、多样菜式管理：以人体对营养的综合需求为准则，结合季节变化和人群特点，制定档次不同、风味多样的菜谱选择使用，以满足业主方员工的口味，并定期或不定期征求员工意见，加以改进和完善。</w:t>
            </w:r>
          </w:p>
        </w:tc>
      </w:tr>
    </w:tbl>
    <w:p>
      <w:pPr>
        <w:widowControl/>
        <w:snapToGrid w:val="0"/>
        <w:spacing w:line="360" w:lineRule="auto"/>
        <w:ind w:firstLine="480" w:firstLineChars="200"/>
        <w:jc w:val="left"/>
        <w:rPr>
          <w:rFonts w:cs="宋体"/>
          <w:highlight w:val="none"/>
        </w:rPr>
      </w:pPr>
      <w:r>
        <w:rPr>
          <w:rFonts w:hint="eastAsia" w:cs="宋体"/>
          <w:highlight w:val="none"/>
        </w:rPr>
        <w:t xml:space="preserve">（二）膳食供应标准（业主方有权按实际情况作出调整） </w:t>
      </w:r>
    </w:p>
    <w:p>
      <w:pPr>
        <w:widowControl/>
        <w:snapToGrid w:val="0"/>
        <w:spacing w:line="360" w:lineRule="auto"/>
        <w:ind w:firstLine="480" w:firstLineChars="200"/>
        <w:jc w:val="left"/>
        <w:rPr>
          <w:rFonts w:cs="宋体"/>
          <w:highlight w:val="none"/>
        </w:rPr>
      </w:pPr>
      <w:r>
        <w:rPr>
          <w:rFonts w:hint="eastAsia" w:cs="宋体"/>
          <w:highlight w:val="none"/>
        </w:rPr>
        <w:t xml:space="preserve">早餐：包子、馒头、花卷、豆浆、牛奶、鸡蛋、油条、粥类、汤粉类、蔬菜等。 </w:t>
      </w:r>
    </w:p>
    <w:p>
      <w:pPr>
        <w:widowControl/>
        <w:snapToGrid w:val="0"/>
        <w:spacing w:line="360" w:lineRule="auto"/>
        <w:ind w:firstLine="480" w:firstLineChars="200"/>
        <w:jc w:val="left"/>
        <w:rPr>
          <w:rFonts w:cs="宋体"/>
          <w:highlight w:val="none"/>
        </w:rPr>
      </w:pPr>
      <w:r>
        <w:rPr>
          <w:rFonts w:hint="eastAsia" w:cs="宋体"/>
          <w:highlight w:val="none"/>
        </w:rPr>
        <w:t>中餐：中餐要求4个主菜（主荤、半荤半素、素菜）、凉菜、主食及汤、粥等食品。</w:t>
      </w:r>
    </w:p>
    <w:p>
      <w:pPr>
        <w:widowControl/>
        <w:snapToGrid w:val="0"/>
        <w:spacing w:line="360" w:lineRule="auto"/>
        <w:ind w:firstLine="480" w:firstLineChars="200"/>
        <w:jc w:val="left"/>
        <w:rPr>
          <w:rFonts w:cs="宋体"/>
          <w:highlight w:val="none"/>
        </w:rPr>
      </w:pPr>
      <w:r>
        <w:rPr>
          <w:rFonts w:hint="eastAsia" w:cs="宋体"/>
          <w:highlight w:val="none"/>
        </w:rPr>
        <w:t xml:space="preserve"> 食堂应合理地安排好每天的用餐量，按照勤俭节约的原则合理使用食材，防止浪费。菜谱每月 4 套，每周 1 套，提前公布菜谱，厨师人员应多途径学习烹饪工艺，定期创新，要求用膳菜肴式样品种要丰富多样，营养搭配科学合理，做到色香味美。</w:t>
      </w:r>
    </w:p>
    <w:p>
      <w:pPr>
        <w:snapToGrid w:val="0"/>
        <w:spacing w:line="360" w:lineRule="auto"/>
        <w:ind w:firstLine="480" w:firstLineChars="200"/>
        <w:rPr>
          <w:rFonts w:cs="宋体"/>
          <w:color w:val="000000"/>
          <w:highlight w:val="none"/>
        </w:rPr>
      </w:pPr>
      <w:r>
        <w:rPr>
          <w:rFonts w:hint="eastAsia" w:cs="宋体"/>
          <w:color w:val="000000"/>
          <w:highlight w:val="none"/>
        </w:rPr>
        <w:t>厨师要定期听取就餐人员意见，并结合不同的口味进行菜品创新、调剂品种多样的早点和菜肴。除了保证职工日常工作自助餐外，能根据需要及时提供会议及接待自助餐、公务接待用餐和接待分餐等多种形式的桌餐，厨师必须定期进行轮岗，进行人员培训。如遇会议就餐人数较多不能保障时，必须调派人员提供饮食保障。</w:t>
      </w:r>
    </w:p>
    <w:p>
      <w:pPr>
        <w:widowControl/>
        <w:snapToGrid w:val="0"/>
        <w:spacing w:line="360" w:lineRule="auto"/>
        <w:ind w:firstLine="480" w:firstLineChars="200"/>
        <w:jc w:val="left"/>
        <w:rPr>
          <w:rFonts w:cs="宋体"/>
          <w:highlight w:val="none"/>
        </w:rPr>
      </w:pPr>
      <w:r>
        <w:rPr>
          <w:rFonts w:hint="eastAsia" w:cs="宋体"/>
          <w:highlight w:val="none"/>
        </w:rPr>
        <w:t xml:space="preserve"> （三）卫生管理要求 </w:t>
      </w:r>
    </w:p>
    <w:p>
      <w:pPr>
        <w:widowControl/>
        <w:snapToGrid w:val="0"/>
        <w:spacing w:line="360" w:lineRule="auto"/>
        <w:ind w:firstLine="480" w:firstLineChars="200"/>
        <w:jc w:val="left"/>
        <w:rPr>
          <w:rFonts w:cs="宋体"/>
          <w:highlight w:val="none"/>
        </w:rPr>
      </w:pPr>
      <w:r>
        <w:rPr>
          <w:rFonts w:hint="eastAsia" w:cs="宋体"/>
          <w:highlight w:val="none"/>
        </w:rPr>
        <w:t>1、食堂管理实行“食堂管理员负责制”，由食堂管理员对职工食堂物资采购、饭菜质量、卫生状况、就餐环境、员工配备、坚持定期体检等情况全面负责，并对发生的问题承担相应的责任。</w:t>
      </w:r>
    </w:p>
    <w:p>
      <w:pPr>
        <w:widowControl/>
        <w:snapToGrid w:val="0"/>
        <w:spacing w:line="360" w:lineRule="auto"/>
        <w:ind w:firstLine="480" w:firstLineChars="200"/>
        <w:jc w:val="left"/>
        <w:rPr>
          <w:rFonts w:cs="宋体"/>
          <w:highlight w:val="none"/>
        </w:rPr>
      </w:pPr>
      <w:r>
        <w:rPr>
          <w:rFonts w:hint="eastAsia" w:cs="宋体"/>
          <w:highlight w:val="none"/>
        </w:rPr>
        <w:t>2、就餐大厅保持明亮整洁，餐桌餐椅随时清理，做到表面无油渍、无灰尘并摆放整齐。地面保持洁净干爽，每天至少要清扫、拖洗两次，门窗墙壁干净无油污、无灰尘，无垃圾杂物；每周大扫除一次，每月大检查一次，不定期展开消灭蚊子、苍蝇、老鼠，采取有效措施，将餐厅害虫污染减低到最低限度。</w:t>
      </w:r>
    </w:p>
    <w:p>
      <w:pPr>
        <w:widowControl/>
        <w:snapToGrid w:val="0"/>
        <w:spacing w:line="360" w:lineRule="auto"/>
        <w:ind w:firstLine="480" w:firstLineChars="200"/>
        <w:jc w:val="left"/>
        <w:rPr>
          <w:rFonts w:cs="宋体"/>
          <w:highlight w:val="none"/>
        </w:rPr>
      </w:pPr>
      <w:r>
        <w:rPr>
          <w:rFonts w:hint="eastAsia" w:cs="宋体"/>
          <w:highlight w:val="none"/>
        </w:rPr>
        <w:t>3、厨房操作间内设备、设施与用具等应实行“定置管理”，做到摆放整齐有序，无油腻、无灰尘、无蜘蛛网，地面做到无污水、无杂物；每周大扫除一次，每月大检查一次，餐具使用后要清洗干净，不能有洗涤用品残留，未经消毒不得使用。</w:t>
      </w:r>
    </w:p>
    <w:p>
      <w:pPr>
        <w:widowControl/>
        <w:snapToGrid w:val="0"/>
        <w:spacing w:line="360" w:lineRule="auto"/>
        <w:ind w:firstLine="480" w:firstLineChars="200"/>
        <w:jc w:val="left"/>
        <w:rPr>
          <w:rFonts w:cs="宋体"/>
          <w:highlight w:val="none"/>
        </w:rPr>
      </w:pPr>
      <w:r>
        <w:rPr>
          <w:rFonts w:hint="eastAsia" w:cs="宋体"/>
          <w:highlight w:val="none"/>
        </w:rPr>
        <w:t>4、严格执行食品卫生标准，食品、副产品、蔬菜、水产品、肉类、食用油、调味品等均保证干净，严禁使用过期食物，认真配合做好食品安全快检相关服务。</w:t>
      </w:r>
    </w:p>
    <w:p>
      <w:pPr>
        <w:widowControl/>
        <w:snapToGrid w:val="0"/>
        <w:spacing w:line="360" w:lineRule="auto"/>
        <w:ind w:firstLine="480" w:firstLineChars="200"/>
        <w:jc w:val="left"/>
        <w:rPr>
          <w:rFonts w:cs="宋体"/>
          <w:highlight w:val="none"/>
        </w:rPr>
      </w:pPr>
      <w:r>
        <w:rPr>
          <w:rFonts w:hint="eastAsia" w:cs="宋体"/>
          <w:highlight w:val="none"/>
        </w:rPr>
        <w:t>5、食堂服务人员必须讲究个人卫生，勤剪指甲、勤理发、不得留长发、长指甲，不戴戒指、手链等饰品，仪容端正，充满朝气。厨师服务时穿工作服，戴工作帽，着装整洁干净。操作前洗净双手，保证食品清洁卫生。坚持定期体检，生病时应及时告知管理员并立即就医，不准带病上岗。</w:t>
      </w:r>
    </w:p>
    <w:p>
      <w:pPr>
        <w:widowControl/>
        <w:snapToGrid w:val="0"/>
        <w:spacing w:line="360" w:lineRule="auto"/>
        <w:ind w:firstLine="480" w:firstLineChars="200"/>
        <w:jc w:val="left"/>
        <w:rPr>
          <w:rFonts w:cs="宋体"/>
          <w:highlight w:val="none"/>
        </w:rPr>
      </w:pPr>
      <w:r>
        <w:rPr>
          <w:rFonts w:hint="eastAsia" w:cs="宋体"/>
          <w:highlight w:val="none"/>
        </w:rPr>
        <w:t xml:space="preserve"> （四）安全管理要求 </w:t>
      </w:r>
    </w:p>
    <w:p>
      <w:pPr>
        <w:widowControl/>
        <w:snapToGrid w:val="0"/>
        <w:spacing w:line="360" w:lineRule="auto"/>
        <w:ind w:firstLine="480" w:firstLineChars="200"/>
        <w:jc w:val="left"/>
        <w:rPr>
          <w:rFonts w:cs="宋体"/>
          <w:highlight w:val="none"/>
        </w:rPr>
      </w:pPr>
      <w:r>
        <w:rPr>
          <w:rFonts w:hint="eastAsia" w:cs="宋体"/>
          <w:highlight w:val="none"/>
        </w:rPr>
        <w:t>1、食堂管理必须制定全面的《食堂卫生安全制度》，包含食品卫生、环境卫生、设备卫生、个人卫生等方面内容，并严格执行。</w:t>
      </w:r>
    </w:p>
    <w:p>
      <w:pPr>
        <w:widowControl/>
        <w:snapToGrid w:val="0"/>
        <w:spacing w:line="360" w:lineRule="auto"/>
        <w:ind w:firstLine="480" w:firstLineChars="200"/>
        <w:jc w:val="left"/>
        <w:rPr>
          <w:rFonts w:cs="宋体"/>
          <w:highlight w:val="none"/>
        </w:rPr>
      </w:pPr>
      <w:r>
        <w:rPr>
          <w:rFonts w:hint="eastAsia" w:cs="宋体"/>
          <w:highlight w:val="none"/>
        </w:rPr>
        <w:t xml:space="preserve">2、结合饮食服务的特点，建立和健全《食堂各种工种操作规范》、《厨房设备操作规范》、《员工岗位职责》等规章制度并严格遵守。 </w:t>
      </w:r>
    </w:p>
    <w:p>
      <w:pPr>
        <w:widowControl/>
        <w:snapToGrid w:val="0"/>
        <w:spacing w:line="360" w:lineRule="auto"/>
        <w:ind w:firstLine="480" w:firstLineChars="200"/>
        <w:jc w:val="left"/>
        <w:rPr>
          <w:rFonts w:cs="宋体"/>
          <w:highlight w:val="none"/>
        </w:rPr>
      </w:pPr>
      <w:r>
        <w:rPr>
          <w:rFonts w:hint="eastAsia" w:cs="宋体"/>
          <w:highlight w:val="none"/>
        </w:rPr>
        <w:t xml:space="preserve">3、制定并落实其他安全管理制度包括防火防盗防破坏，确保下班后或设备使用完后关气、关电、关水、关门，防止发生人身设备安全事故以及火灾偷盗事故。 </w:t>
      </w:r>
    </w:p>
    <w:p>
      <w:pPr>
        <w:widowControl/>
        <w:snapToGrid w:val="0"/>
        <w:spacing w:line="360" w:lineRule="auto"/>
        <w:ind w:firstLine="480" w:firstLineChars="200"/>
        <w:jc w:val="left"/>
        <w:rPr>
          <w:rFonts w:cs="宋体"/>
          <w:highlight w:val="none"/>
        </w:rPr>
      </w:pPr>
      <w:r>
        <w:rPr>
          <w:rFonts w:hint="eastAsia" w:cs="宋体"/>
          <w:highlight w:val="none"/>
        </w:rPr>
        <w:t xml:space="preserve">（五）节能管理要求 </w:t>
      </w:r>
    </w:p>
    <w:p>
      <w:pPr>
        <w:widowControl/>
        <w:snapToGrid w:val="0"/>
        <w:spacing w:line="360" w:lineRule="auto"/>
        <w:ind w:firstLine="480" w:firstLineChars="200"/>
        <w:jc w:val="left"/>
        <w:rPr>
          <w:rFonts w:cs="宋体"/>
          <w:highlight w:val="none"/>
        </w:rPr>
      </w:pPr>
      <w:r>
        <w:rPr>
          <w:rFonts w:hint="eastAsia" w:cs="宋体"/>
          <w:highlight w:val="none"/>
        </w:rPr>
        <w:t xml:space="preserve">1、餐厅在准备早餐、中餐期间要根据季节温度合理开启空调，充分利用自然光，及时开关照明设备，就餐完毕后及时关闭所有空调电灯。 </w:t>
      </w:r>
    </w:p>
    <w:p>
      <w:pPr>
        <w:widowControl/>
        <w:snapToGrid w:val="0"/>
        <w:spacing w:line="360" w:lineRule="auto"/>
        <w:ind w:firstLine="480" w:firstLineChars="200"/>
        <w:jc w:val="left"/>
        <w:rPr>
          <w:rFonts w:cs="宋体"/>
          <w:highlight w:val="none"/>
        </w:rPr>
      </w:pPr>
      <w:r>
        <w:rPr>
          <w:rFonts w:hint="eastAsia" w:cs="宋体"/>
          <w:highlight w:val="none"/>
        </w:rPr>
        <w:t xml:space="preserve">2、严禁“跑冒漏滴”现象发生，做到厨房在光线良好情况下不开灯，更衣间随手关灯，原料和餐具清洗完后应立即关闭水源。 </w:t>
      </w:r>
    </w:p>
    <w:p>
      <w:pPr>
        <w:widowControl/>
        <w:snapToGrid w:val="0"/>
        <w:spacing w:line="360" w:lineRule="auto"/>
        <w:ind w:firstLine="480" w:firstLineChars="200"/>
        <w:jc w:val="left"/>
        <w:rPr>
          <w:rFonts w:cs="宋体"/>
          <w:highlight w:val="none"/>
        </w:rPr>
      </w:pPr>
      <w:r>
        <w:rPr>
          <w:rFonts w:hint="eastAsia" w:cs="宋体"/>
          <w:highlight w:val="none"/>
        </w:rPr>
        <w:t xml:space="preserve">（六）其他要求 </w:t>
      </w:r>
    </w:p>
    <w:p>
      <w:pPr>
        <w:widowControl/>
        <w:snapToGrid w:val="0"/>
        <w:spacing w:line="360" w:lineRule="auto"/>
        <w:ind w:firstLine="480" w:firstLineChars="200"/>
        <w:jc w:val="left"/>
        <w:rPr>
          <w:rFonts w:cs="宋体"/>
          <w:highlight w:val="none"/>
        </w:rPr>
      </w:pPr>
      <w:r>
        <w:rPr>
          <w:rFonts w:hint="eastAsia" w:cs="宋体"/>
          <w:highlight w:val="none"/>
        </w:rPr>
        <w:t xml:space="preserve">1、提供业主方临时要求的膳食服务。 </w:t>
      </w:r>
    </w:p>
    <w:p>
      <w:pPr>
        <w:widowControl/>
        <w:snapToGrid w:val="0"/>
        <w:spacing w:line="360" w:lineRule="auto"/>
        <w:ind w:firstLine="480" w:firstLineChars="200"/>
        <w:jc w:val="left"/>
        <w:rPr>
          <w:rFonts w:cs="宋体"/>
          <w:highlight w:val="none"/>
        </w:rPr>
      </w:pPr>
      <w:r>
        <w:rPr>
          <w:rFonts w:hint="eastAsia" w:cs="宋体"/>
          <w:highlight w:val="none"/>
        </w:rPr>
        <w:t xml:space="preserve">2、中标人应灵活服务，在传统和特殊节假日时，结合业主方要求提供各类特色小吃、饮品的制作加工。 </w:t>
      </w:r>
    </w:p>
    <w:p>
      <w:pPr>
        <w:widowControl/>
        <w:snapToGrid w:val="0"/>
        <w:spacing w:line="360" w:lineRule="auto"/>
        <w:ind w:firstLine="480" w:firstLineChars="200"/>
        <w:jc w:val="left"/>
        <w:rPr>
          <w:rFonts w:cs="宋体"/>
          <w:highlight w:val="none"/>
        </w:rPr>
      </w:pPr>
      <w:r>
        <w:rPr>
          <w:rFonts w:hint="eastAsia" w:cs="宋体"/>
          <w:highlight w:val="none"/>
        </w:rPr>
        <w:t xml:space="preserve">3、根据业主方要求制作外带食品加工。 </w:t>
      </w:r>
    </w:p>
    <w:p>
      <w:pPr>
        <w:widowControl/>
        <w:snapToGrid w:val="0"/>
        <w:spacing w:line="360" w:lineRule="auto"/>
        <w:ind w:firstLine="480" w:firstLineChars="200"/>
        <w:jc w:val="left"/>
        <w:rPr>
          <w:rFonts w:cs="宋体"/>
          <w:highlight w:val="none"/>
        </w:rPr>
      </w:pPr>
      <w:r>
        <w:rPr>
          <w:rFonts w:hint="eastAsia" w:cs="宋体"/>
          <w:highlight w:val="none"/>
        </w:rPr>
        <w:t xml:space="preserve">4、中标方服务人员住宿自行安排，每日伙食可在业主方职工就餐完毕后统一到职工餐厅就餐，不得另炒另煮。 </w:t>
      </w:r>
    </w:p>
    <w:p>
      <w:pPr>
        <w:widowControl/>
        <w:snapToGrid w:val="0"/>
        <w:spacing w:line="360" w:lineRule="auto"/>
        <w:ind w:firstLine="470" w:firstLineChars="200"/>
        <w:jc w:val="left"/>
        <w:outlineLvl w:val="2"/>
        <w:rPr>
          <w:rFonts w:cs="宋体"/>
          <w:b/>
          <w:bCs/>
          <w:highlight w:val="none"/>
        </w:rPr>
      </w:pPr>
      <w:bookmarkStart w:id="211" w:name="_Toc26302"/>
      <w:bookmarkStart w:id="212" w:name="_Toc9092"/>
      <w:r>
        <w:rPr>
          <w:rFonts w:hint="eastAsia" w:cs="宋体"/>
          <w:b/>
          <w:bCs/>
          <w:spacing w:val="-8"/>
          <w:sz w:val="25"/>
          <w:szCs w:val="25"/>
          <w:highlight w:val="none"/>
        </w:rPr>
        <w:t>★</w:t>
      </w:r>
      <w:r>
        <w:rPr>
          <w:rFonts w:hint="eastAsia" w:cs="宋体"/>
          <w:b/>
          <w:bCs/>
          <w:highlight w:val="none"/>
        </w:rPr>
        <w:t>六、其他要求</w:t>
      </w:r>
      <w:bookmarkEnd w:id="211"/>
      <w:bookmarkEnd w:id="212"/>
    </w:p>
    <w:p>
      <w:pPr>
        <w:widowControl/>
        <w:snapToGrid w:val="0"/>
        <w:spacing w:line="360" w:lineRule="auto"/>
        <w:ind w:firstLine="480" w:firstLineChars="200"/>
        <w:jc w:val="left"/>
        <w:rPr>
          <w:rFonts w:cs="宋体"/>
          <w:highlight w:val="none"/>
        </w:rPr>
      </w:pPr>
      <w:r>
        <w:rPr>
          <w:rFonts w:hint="eastAsia" w:cs="宋体"/>
          <w:highlight w:val="none"/>
        </w:rPr>
        <w:t xml:space="preserve">（一）违规及损失处理 </w:t>
      </w:r>
    </w:p>
    <w:p>
      <w:pPr>
        <w:widowControl/>
        <w:snapToGrid w:val="0"/>
        <w:spacing w:line="360" w:lineRule="auto"/>
        <w:ind w:firstLine="480" w:firstLineChars="200"/>
        <w:jc w:val="left"/>
        <w:rPr>
          <w:rFonts w:cs="宋体"/>
          <w:highlight w:val="none"/>
        </w:rPr>
      </w:pPr>
      <w:r>
        <w:rPr>
          <w:rFonts w:hint="eastAsia" w:cs="宋体"/>
          <w:highlight w:val="none"/>
        </w:rPr>
        <w:t xml:space="preserve">中标方提供的服务人员安全责任均由中标方负责与业主方无关。 </w:t>
      </w:r>
    </w:p>
    <w:p>
      <w:pPr>
        <w:widowControl/>
        <w:snapToGrid w:val="0"/>
        <w:spacing w:line="360" w:lineRule="auto"/>
        <w:ind w:firstLine="480" w:firstLineChars="200"/>
        <w:jc w:val="left"/>
        <w:rPr>
          <w:rFonts w:cs="宋体"/>
          <w:highlight w:val="none"/>
        </w:rPr>
      </w:pPr>
      <w:r>
        <w:rPr>
          <w:rFonts w:hint="eastAsia" w:cs="宋体"/>
          <w:highlight w:val="none"/>
        </w:rPr>
        <w:t xml:space="preserve">中标方服务人员有以下违规情况的，业主方有权追究中标方责任的： </w:t>
      </w:r>
    </w:p>
    <w:p>
      <w:pPr>
        <w:widowControl/>
        <w:snapToGrid w:val="0"/>
        <w:spacing w:line="360" w:lineRule="auto"/>
        <w:ind w:firstLine="480" w:firstLineChars="200"/>
        <w:jc w:val="left"/>
        <w:rPr>
          <w:rFonts w:cs="宋体"/>
          <w:highlight w:val="none"/>
        </w:rPr>
      </w:pPr>
      <w:r>
        <w:rPr>
          <w:rFonts w:hint="eastAsia" w:cs="宋体"/>
          <w:highlight w:val="none"/>
        </w:rPr>
        <w:t xml:space="preserve">1、业主方提出整改要求3次，整改仍不到位的； </w:t>
      </w:r>
    </w:p>
    <w:p>
      <w:pPr>
        <w:widowControl/>
        <w:snapToGrid w:val="0"/>
        <w:spacing w:line="360" w:lineRule="auto"/>
        <w:ind w:firstLine="480" w:firstLineChars="200"/>
        <w:jc w:val="left"/>
        <w:rPr>
          <w:rFonts w:cs="宋体"/>
          <w:highlight w:val="none"/>
        </w:rPr>
      </w:pPr>
      <w:r>
        <w:rPr>
          <w:rFonts w:hint="eastAsia" w:cs="宋体"/>
          <w:highlight w:val="none"/>
        </w:rPr>
        <w:t xml:space="preserve">2、违反业主方劳动纪律、规章制度的； </w:t>
      </w:r>
    </w:p>
    <w:p>
      <w:pPr>
        <w:widowControl/>
        <w:snapToGrid w:val="0"/>
        <w:spacing w:line="360" w:lineRule="auto"/>
        <w:ind w:firstLine="480" w:firstLineChars="200"/>
        <w:jc w:val="left"/>
        <w:rPr>
          <w:rFonts w:cs="宋体"/>
          <w:highlight w:val="none"/>
        </w:rPr>
      </w:pPr>
      <w:r>
        <w:rPr>
          <w:rFonts w:hint="eastAsia" w:cs="宋体"/>
          <w:highlight w:val="none"/>
        </w:rPr>
        <w:t xml:space="preserve">3、服务失职、营私舞弊、公报私囊、有贪腐情况的； </w:t>
      </w:r>
    </w:p>
    <w:p>
      <w:pPr>
        <w:widowControl/>
        <w:snapToGrid w:val="0"/>
        <w:spacing w:line="360" w:lineRule="auto"/>
        <w:ind w:firstLine="480" w:firstLineChars="200"/>
        <w:jc w:val="left"/>
        <w:rPr>
          <w:rFonts w:cs="宋体"/>
          <w:highlight w:val="none"/>
        </w:rPr>
      </w:pPr>
      <w:r>
        <w:rPr>
          <w:rFonts w:hint="eastAsia" w:cs="宋体"/>
          <w:highlight w:val="none"/>
        </w:rPr>
        <w:t xml:space="preserve">4、被依法追究刑事责任的； </w:t>
      </w:r>
    </w:p>
    <w:p>
      <w:pPr>
        <w:widowControl/>
        <w:snapToGrid w:val="0"/>
        <w:spacing w:line="360" w:lineRule="auto"/>
        <w:ind w:firstLine="480" w:firstLineChars="200"/>
        <w:jc w:val="left"/>
        <w:rPr>
          <w:rFonts w:cs="宋体"/>
          <w:highlight w:val="none"/>
        </w:rPr>
      </w:pPr>
      <w:r>
        <w:rPr>
          <w:rFonts w:hint="eastAsia" w:cs="宋体"/>
          <w:highlight w:val="none"/>
        </w:rPr>
        <w:t xml:space="preserve">5、业主方界定的其他违规事宜。 </w:t>
      </w:r>
    </w:p>
    <w:p>
      <w:pPr>
        <w:widowControl/>
        <w:snapToGrid w:val="0"/>
        <w:spacing w:line="360" w:lineRule="auto"/>
        <w:ind w:firstLine="480" w:firstLineChars="200"/>
        <w:jc w:val="left"/>
        <w:rPr>
          <w:rFonts w:cs="宋体"/>
          <w:highlight w:val="none"/>
        </w:rPr>
      </w:pPr>
      <w:r>
        <w:rPr>
          <w:rFonts w:hint="eastAsia" w:cs="宋体"/>
          <w:highlight w:val="none"/>
        </w:rPr>
        <w:t xml:space="preserve">（二）服务承诺 </w:t>
      </w:r>
    </w:p>
    <w:p>
      <w:pPr>
        <w:widowControl/>
        <w:snapToGrid w:val="0"/>
        <w:spacing w:line="360" w:lineRule="auto"/>
        <w:ind w:firstLine="480" w:firstLineChars="200"/>
        <w:jc w:val="left"/>
        <w:rPr>
          <w:rFonts w:cs="宋体"/>
          <w:highlight w:val="none"/>
        </w:rPr>
      </w:pPr>
      <w:r>
        <w:rPr>
          <w:rFonts w:hint="eastAsia" w:cs="宋体"/>
          <w:highlight w:val="none"/>
        </w:rPr>
        <w:t xml:space="preserve">1、坚决维护业主方的利益，认真履行与业主方签订的《食堂餐饮服务合同》中所有义务，竭力为改善业主方员工的膳食水平而努力。 </w:t>
      </w:r>
    </w:p>
    <w:p>
      <w:pPr>
        <w:widowControl/>
        <w:snapToGrid w:val="0"/>
        <w:spacing w:line="360" w:lineRule="auto"/>
        <w:ind w:firstLine="480" w:firstLineChars="200"/>
        <w:jc w:val="left"/>
        <w:rPr>
          <w:rFonts w:cs="宋体"/>
          <w:highlight w:val="none"/>
        </w:rPr>
      </w:pPr>
      <w:r>
        <w:rPr>
          <w:rFonts w:hint="eastAsia" w:cs="宋体"/>
          <w:highlight w:val="none"/>
        </w:rPr>
        <w:t xml:space="preserve">2、坚持食品安全第一、卫生第一、服务第一、诚信第一的服务理念。 </w:t>
      </w:r>
    </w:p>
    <w:p>
      <w:pPr>
        <w:widowControl/>
        <w:snapToGrid w:val="0"/>
        <w:spacing w:line="360" w:lineRule="auto"/>
        <w:ind w:firstLine="480" w:firstLineChars="200"/>
        <w:jc w:val="left"/>
        <w:rPr>
          <w:rFonts w:cs="宋体"/>
          <w:highlight w:val="none"/>
        </w:rPr>
      </w:pPr>
      <w:r>
        <w:rPr>
          <w:rFonts w:hint="eastAsia" w:cs="宋体"/>
          <w:highlight w:val="none"/>
        </w:rPr>
        <w:t xml:space="preserve">3、坚决服从业主方主管部门的领导，协助业主方对购入材料的数量和质量进行严格的把关。 </w:t>
      </w:r>
    </w:p>
    <w:p>
      <w:pPr>
        <w:widowControl/>
        <w:snapToGrid w:val="0"/>
        <w:spacing w:line="360" w:lineRule="auto"/>
        <w:ind w:firstLine="480" w:firstLineChars="200"/>
        <w:jc w:val="left"/>
        <w:rPr>
          <w:rFonts w:cs="宋体"/>
          <w:highlight w:val="none"/>
        </w:rPr>
      </w:pPr>
      <w:r>
        <w:rPr>
          <w:rFonts w:hint="eastAsia" w:cs="宋体"/>
          <w:highlight w:val="none"/>
        </w:rPr>
        <w:t xml:space="preserve">4、自觉接受食品卫生监督部门及业主方对膳食的日常监督、检查，及时处理有关质量、卫生、服务等方面的有效投诉，服从业主方专管人员的管理。 </w:t>
      </w:r>
    </w:p>
    <w:p>
      <w:pPr>
        <w:widowControl/>
        <w:snapToGrid w:val="0"/>
        <w:spacing w:line="360" w:lineRule="auto"/>
        <w:ind w:firstLine="480" w:firstLineChars="200"/>
        <w:jc w:val="left"/>
        <w:rPr>
          <w:rFonts w:cs="宋体"/>
          <w:highlight w:val="none"/>
        </w:rPr>
      </w:pPr>
      <w:r>
        <w:rPr>
          <w:rFonts w:hint="eastAsia" w:cs="宋体"/>
          <w:highlight w:val="none"/>
        </w:rPr>
        <w:t xml:space="preserve">5、所有餐饮服务人员统一着装，随时保持服装的干净整洁。 </w:t>
      </w:r>
    </w:p>
    <w:p>
      <w:pPr>
        <w:widowControl/>
        <w:snapToGrid w:val="0"/>
        <w:spacing w:line="360" w:lineRule="auto"/>
        <w:ind w:firstLine="480" w:firstLineChars="200"/>
        <w:jc w:val="left"/>
        <w:rPr>
          <w:rFonts w:cs="宋体"/>
          <w:highlight w:val="none"/>
        </w:rPr>
      </w:pPr>
      <w:r>
        <w:rPr>
          <w:rFonts w:hint="eastAsia" w:cs="宋体"/>
          <w:highlight w:val="none"/>
        </w:rPr>
        <w:t xml:space="preserve">6、对所有厨具、餐具随时保证干净、清洁，清洗后严格进行消毒处理。 </w:t>
      </w:r>
    </w:p>
    <w:p>
      <w:pPr>
        <w:widowControl/>
        <w:snapToGrid w:val="0"/>
        <w:spacing w:line="360" w:lineRule="auto"/>
        <w:ind w:firstLine="480" w:firstLineChars="200"/>
        <w:jc w:val="left"/>
        <w:rPr>
          <w:rFonts w:cs="宋体"/>
          <w:highlight w:val="none"/>
        </w:rPr>
      </w:pPr>
      <w:r>
        <w:rPr>
          <w:rFonts w:hint="eastAsia" w:cs="宋体"/>
          <w:highlight w:val="none"/>
        </w:rPr>
        <w:t xml:space="preserve">（三）售后服务及质量保证 </w:t>
      </w:r>
    </w:p>
    <w:p>
      <w:pPr>
        <w:widowControl/>
        <w:snapToGrid w:val="0"/>
        <w:spacing w:line="360" w:lineRule="auto"/>
        <w:ind w:firstLine="480" w:firstLineChars="200"/>
        <w:jc w:val="left"/>
        <w:rPr>
          <w:rFonts w:cs="宋体"/>
          <w:highlight w:val="none"/>
        </w:rPr>
      </w:pPr>
      <w:r>
        <w:rPr>
          <w:rFonts w:hint="eastAsia" w:cs="宋体"/>
          <w:highlight w:val="none"/>
        </w:rPr>
        <w:t xml:space="preserve">1、中标方负责食堂生产及服务、管理、食品加工流程、食品卫生安全、食堂卫生，并接受业主方对中标方生产加工环节的监督。 </w:t>
      </w:r>
    </w:p>
    <w:p>
      <w:pPr>
        <w:widowControl/>
        <w:snapToGrid w:val="0"/>
        <w:spacing w:line="360" w:lineRule="auto"/>
        <w:ind w:firstLine="480" w:firstLineChars="200"/>
        <w:jc w:val="left"/>
        <w:rPr>
          <w:rFonts w:cs="宋体"/>
          <w:highlight w:val="none"/>
        </w:rPr>
      </w:pPr>
      <w:r>
        <w:rPr>
          <w:rFonts w:hint="eastAsia" w:cs="宋体"/>
          <w:highlight w:val="none"/>
        </w:rPr>
        <w:t xml:space="preserve">2、中标方建立健全各项规章制度、岗位责任制和操作规程，并严格按制度和操作规程服务，以就餐者满意为服务宗旨。 </w:t>
      </w:r>
    </w:p>
    <w:p>
      <w:pPr>
        <w:widowControl/>
        <w:snapToGrid w:val="0"/>
        <w:spacing w:line="360" w:lineRule="auto"/>
        <w:ind w:firstLine="480" w:firstLineChars="200"/>
        <w:jc w:val="left"/>
        <w:rPr>
          <w:rFonts w:cs="宋体"/>
          <w:highlight w:val="none"/>
        </w:rPr>
      </w:pPr>
      <w:r>
        <w:rPr>
          <w:rFonts w:hint="eastAsia" w:cs="宋体"/>
          <w:highlight w:val="none"/>
        </w:rPr>
        <w:t xml:space="preserve">3、中标方严格执行业主方的相关管理制度，服从业主方的统一管理，主动接受业主方的管理、检查、监督。 </w:t>
      </w:r>
    </w:p>
    <w:p>
      <w:pPr>
        <w:widowControl/>
        <w:snapToGrid w:val="0"/>
        <w:spacing w:line="360" w:lineRule="auto"/>
        <w:ind w:firstLine="480" w:firstLineChars="200"/>
        <w:jc w:val="left"/>
        <w:rPr>
          <w:rFonts w:cs="宋体"/>
          <w:highlight w:val="none"/>
        </w:rPr>
      </w:pPr>
      <w:r>
        <w:rPr>
          <w:rFonts w:hint="eastAsia" w:cs="宋体"/>
          <w:highlight w:val="none"/>
        </w:rPr>
        <w:t xml:space="preserve">4、中标方按业主方的安排进行每日伙食品种安排。每周日主厨必须将下一周的菜单提供给业主方审核，每日伙食的原材料采购清单必须在前一天下午下班之前交给业主方食堂主管人员安排采购，并协助业主方库管人员做好原材料的验收、入库等服务。 </w:t>
      </w:r>
    </w:p>
    <w:p>
      <w:pPr>
        <w:widowControl/>
        <w:snapToGrid w:val="0"/>
        <w:spacing w:line="360" w:lineRule="auto"/>
        <w:ind w:firstLine="480" w:firstLineChars="200"/>
        <w:jc w:val="left"/>
        <w:rPr>
          <w:rFonts w:cs="宋体"/>
          <w:highlight w:val="none"/>
        </w:rPr>
      </w:pPr>
      <w:r>
        <w:rPr>
          <w:rFonts w:hint="eastAsia" w:cs="宋体"/>
          <w:highlight w:val="none"/>
        </w:rPr>
        <w:t xml:space="preserve">5、中标方有权拒绝使用供应商提供的过期、腐烂、霉变等不符合质量要求的原材料，并及时报告业主方，对供应商存在的违规违纪现象及时报告业主方；对业主方非专管人员的意见和建议及时报告管理部门。 </w:t>
      </w:r>
    </w:p>
    <w:p>
      <w:pPr>
        <w:widowControl/>
        <w:snapToGrid w:val="0"/>
        <w:spacing w:line="360" w:lineRule="auto"/>
        <w:ind w:firstLine="480" w:firstLineChars="200"/>
        <w:jc w:val="left"/>
        <w:rPr>
          <w:rFonts w:cs="宋体"/>
          <w:highlight w:val="none"/>
        </w:rPr>
      </w:pPr>
      <w:r>
        <w:rPr>
          <w:rFonts w:hint="eastAsia" w:cs="宋体"/>
          <w:highlight w:val="none"/>
        </w:rPr>
        <w:t>6、中标方自行与所提供的服务人员签订劳动合同，并按《中华人民共和国</w:t>
      </w:r>
      <w:bookmarkStart w:id="213" w:name="_GoBack"/>
      <w:r>
        <w:rPr>
          <w:rFonts w:hint="eastAsia" w:cs="宋体"/>
          <w:highlight w:val="none"/>
        </w:rPr>
        <w:t>民法</w:t>
      </w:r>
      <w:bookmarkEnd w:id="213"/>
      <w:r>
        <w:rPr>
          <w:rFonts w:hint="eastAsia" w:cs="宋体"/>
          <w:highlight w:val="none"/>
        </w:rPr>
        <w:t xml:space="preserve">典》的规定，承担所提供的服务人员各类社会保险及各种福利等，并监督员工遵守业主方的各项管理规章制度。 </w:t>
      </w:r>
    </w:p>
    <w:p>
      <w:pPr>
        <w:widowControl/>
        <w:snapToGrid w:val="0"/>
        <w:spacing w:line="360" w:lineRule="auto"/>
        <w:ind w:firstLine="480" w:firstLineChars="200"/>
        <w:jc w:val="left"/>
        <w:rPr>
          <w:rFonts w:cs="宋体"/>
          <w:highlight w:val="none"/>
        </w:rPr>
      </w:pPr>
      <w:r>
        <w:rPr>
          <w:rFonts w:hint="eastAsia" w:cs="宋体"/>
          <w:highlight w:val="none"/>
        </w:rPr>
        <w:t xml:space="preserve">7、未经业主方书面同意，中标方不得擅自对房屋、设备设施做任何改动。 </w:t>
      </w:r>
    </w:p>
    <w:p>
      <w:pPr>
        <w:widowControl/>
        <w:snapToGrid w:val="0"/>
        <w:spacing w:line="360" w:lineRule="auto"/>
        <w:ind w:firstLine="480" w:firstLineChars="200"/>
        <w:jc w:val="left"/>
        <w:rPr>
          <w:rFonts w:cs="宋体"/>
          <w:highlight w:val="none"/>
        </w:rPr>
      </w:pPr>
      <w:r>
        <w:rPr>
          <w:rFonts w:hint="eastAsia" w:cs="宋体"/>
          <w:highlight w:val="none"/>
        </w:rPr>
        <w:t xml:space="preserve">8、未经业主方书面同意，中标方不得擅自对《食堂服务人员岗位设置表》上的服务人员进行调离、减少。 </w:t>
      </w:r>
    </w:p>
    <w:p>
      <w:pPr>
        <w:widowControl/>
        <w:snapToGrid w:val="0"/>
        <w:spacing w:line="360" w:lineRule="auto"/>
        <w:ind w:firstLine="480" w:firstLineChars="200"/>
        <w:jc w:val="left"/>
        <w:rPr>
          <w:rFonts w:cs="宋体"/>
          <w:highlight w:val="none"/>
        </w:rPr>
      </w:pPr>
      <w:r>
        <w:rPr>
          <w:rFonts w:hint="eastAsia" w:cs="宋体"/>
          <w:highlight w:val="none"/>
        </w:rPr>
        <w:t xml:space="preserve">9、确保《食堂服务人员岗位设置表》中相应服务人员在岗，不得擅离职守，迟到早退。若遇特殊情况有食堂服务人员临时不能到位中标方应从外抽调人员补齐。对缺岗、迟到、早退等现象业主方有权对中标方进行处罚，若屡次（超过3次（含3次）不改业主方有权解除合同并追究中标方相关责任。 </w:t>
      </w:r>
    </w:p>
    <w:p>
      <w:pPr>
        <w:widowControl/>
        <w:snapToGrid w:val="0"/>
        <w:spacing w:line="360" w:lineRule="auto"/>
        <w:ind w:firstLine="480" w:firstLineChars="200"/>
        <w:jc w:val="left"/>
        <w:rPr>
          <w:rFonts w:cs="宋体"/>
          <w:highlight w:val="none"/>
        </w:rPr>
      </w:pPr>
      <w:r>
        <w:rPr>
          <w:rFonts w:hint="eastAsia" w:cs="宋体"/>
          <w:highlight w:val="none"/>
        </w:rPr>
        <w:t xml:space="preserve">10、中标方必须严格遵守国家暂住人口、消防安全、食品卫生安全等方面的管理。 </w:t>
      </w:r>
    </w:p>
    <w:p>
      <w:pPr>
        <w:widowControl/>
        <w:snapToGrid w:val="0"/>
        <w:spacing w:line="360" w:lineRule="auto"/>
        <w:ind w:firstLine="480" w:firstLineChars="200"/>
        <w:jc w:val="left"/>
        <w:rPr>
          <w:rFonts w:cs="宋体"/>
          <w:highlight w:val="none"/>
        </w:rPr>
      </w:pPr>
      <w:r>
        <w:rPr>
          <w:rFonts w:hint="eastAsia" w:cs="宋体"/>
          <w:highlight w:val="none"/>
        </w:rPr>
        <w:t xml:space="preserve">11、中标方的食堂服务人员必须持健康证上岗，并报业主方备案。按业主方要求统一着装，如发现员工中有传染病或有违法行为应及时调离岗位并接受业主方提出的处理意见。 </w:t>
      </w:r>
    </w:p>
    <w:p>
      <w:pPr>
        <w:widowControl/>
        <w:snapToGrid w:val="0"/>
        <w:spacing w:line="360" w:lineRule="auto"/>
        <w:ind w:firstLine="480" w:firstLineChars="200"/>
        <w:jc w:val="left"/>
        <w:rPr>
          <w:rFonts w:cs="宋体"/>
          <w:highlight w:val="none"/>
        </w:rPr>
      </w:pPr>
      <w:r>
        <w:rPr>
          <w:rFonts w:hint="eastAsia" w:cs="宋体"/>
          <w:highlight w:val="none"/>
        </w:rPr>
        <w:t xml:space="preserve">12、中标方应妥善保管、维护业主方提供的设施、设备；如因中标方原因造成的食品安全事故、生产安全事故、工伤事故、消防安全事故等，由中标方承担全部法律责任及赔偿责任。 </w:t>
      </w:r>
    </w:p>
    <w:p>
      <w:pPr>
        <w:widowControl/>
        <w:snapToGrid w:val="0"/>
        <w:spacing w:line="360" w:lineRule="auto"/>
        <w:ind w:firstLine="480" w:firstLineChars="200"/>
        <w:jc w:val="left"/>
        <w:rPr>
          <w:rFonts w:cs="宋体"/>
          <w:highlight w:val="none"/>
        </w:rPr>
      </w:pPr>
      <w:r>
        <w:rPr>
          <w:rFonts w:hint="eastAsia" w:cs="宋体"/>
          <w:highlight w:val="none"/>
        </w:rPr>
        <w:t xml:space="preserve">13、中标方食堂服务人员在服务期间非因业主方原因所发生的一切事故，均由中标方承担全部法律责任及赔偿责任。 </w:t>
      </w:r>
    </w:p>
    <w:p>
      <w:pPr>
        <w:widowControl/>
        <w:snapToGrid w:val="0"/>
        <w:spacing w:line="360" w:lineRule="auto"/>
        <w:ind w:firstLine="480" w:firstLineChars="200"/>
        <w:jc w:val="left"/>
        <w:rPr>
          <w:rFonts w:cs="宋体"/>
          <w:highlight w:val="none"/>
        </w:rPr>
      </w:pPr>
      <w:r>
        <w:rPr>
          <w:rFonts w:hint="eastAsia" w:cs="宋体"/>
          <w:highlight w:val="none"/>
        </w:rPr>
        <w:t xml:space="preserve">14、本着相互信任，相互理解的原则，双方遇事要多沟通。 </w:t>
      </w:r>
    </w:p>
    <w:p>
      <w:pPr>
        <w:snapToGrid w:val="0"/>
        <w:spacing w:before="81" w:line="360" w:lineRule="auto"/>
        <w:ind w:right="822"/>
        <w:rPr>
          <w:rFonts w:cs="宋体"/>
          <w:highlight w:val="none"/>
        </w:rPr>
      </w:pPr>
      <w:r>
        <w:rPr>
          <w:rFonts w:hint="eastAsia" w:cs="宋体"/>
          <w:b/>
          <w:bCs/>
          <w:spacing w:val="-8"/>
          <w:highlight w:val="none"/>
        </w:rPr>
        <w:t>注：以上打★内容均为实质性要求，不允许负偏离。若出现负偏离，将作</w:t>
      </w:r>
      <w:r>
        <w:rPr>
          <w:rFonts w:hint="eastAsia" w:cs="宋体"/>
          <w:b/>
          <w:bCs/>
          <w:spacing w:val="-13"/>
          <w:highlight w:val="none"/>
        </w:rPr>
        <w:t>为无效响应理。</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script"/>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12"/>
      <w:rPr>
        <w:rFonts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left"/>
      <w:rPr>
        <w:rFonts w:ascii="Times New Roman" w:hAnsi="Times New Roman"/>
        <w:b/>
        <w:bC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10" w:lineRule="auto"/>
      <w:rPr>
        <w:rFonts w:ascii="Times New Roman" w:hAnsi="Times New Roman"/>
        <w:sz w:val="21"/>
        <w:szCs w:val="21"/>
      </w:rPr>
    </w:pPr>
  </w:p>
  <w:p>
    <w:pPr>
      <w:spacing w:before="72" w:line="163" w:lineRule="auto"/>
      <w:ind w:left="6190"/>
      <w:rPr>
        <w:rFonts w:ascii="Times New Roman" w:hAnsi="Times New Roman" w:eastAsia="Times New Roman"/>
        <w:sz w:val="25"/>
        <w:szCs w:val="2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1AD87"/>
    <w:multiLevelType w:val="singleLevel"/>
    <w:tmpl w:val="85B1AD87"/>
    <w:lvl w:ilvl="0" w:tentative="0">
      <w:start w:val="1"/>
      <w:numFmt w:val="decimal"/>
      <w:pStyle w:val="7"/>
      <w:lvlText w:val="%1."/>
      <w:lvlJc w:val="left"/>
      <w:pPr>
        <w:tabs>
          <w:tab w:val="left" w:pos="780"/>
        </w:tabs>
        <w:ind w:left="780" w:hanging="360"/>
      </w:pPr>
    </w:lvl>
  </w:abstractNum>
  <w:abstractNum w:abstractNumId="1">
    <w:nsid w:val="95A0CA17"/>
    <w:multiLevelType w:val="singleLevel"/>
    <w:tmpl w:val="95A0CA17"/>
    <w:lvl w:ilvl="0" w:tentative="0">
      <w:start w:val="1"/>
      <w:numFmt w:val="decimal"/>
      <w:suff w:val="nothing"/>
      <w:lvlText w:val="（%1）"/>
      <w:lvlJc w:val="left"/>
    </w:lvl>
  </w:abstractNum>
  <w:abstractNum w:abstractNumId="2">
    <w:nsid w:val="AE5FBD0F"/>
    <w:multiLevelType w:val="singleLevel"/>
    <w:tmpl w:val="AE5FBD0F"/>
    <w:lvl w:ilvl="0" w:tentative="0">
      <w:start w:val="1"/>
      <w:numFmt w:val="chineseCounting"/>
      <w:suff w:val="nothing"/>
      <w:lvlText w:val="（%1）"/>
      <w:lvlJc w:val="left"/>
      <w:pPr>
        <w:ind w:left="0" w:firstLine="420"/>
      </w:pPr>
      <w:rPr>
        <w:rFonts w:hint="eastAsia"/>
      </w:rPr>
    </w:lvl>
  </w:abstractNum>
  <w:abstractNum w:abstractNumId="3">
    <w:nsid w:val="B30753DC"/>
    <w:multiLevelType w:val="singleLevel"/>
    <w:tmpl w:val="B30753DC"/>
    <w:lvl w:ilvl="0" w:tentative="0">
      <w:start w:val="1"/>
      <w:numFmt w:val="chineseCounting"/>
      <w:suff w:val="nothing"/>
      <w:lvlText w:val="（%1）"/>
      <w:lvlJc w:val="left"/>
      <w:pPr>
        <w:ind w:left="0" w:firstLine="420"/>
      </w:pPr>
      <w:rPr>
        <w:rFonts w:hint="eastAsia"/>
      </w:rPr>
    </w:lvl>
  </w:abstractNum>
  <w:abstractNum w:abstractNumId="4">
    <w:nsid w:val="B5000428"/>
    <w:multiLevelType w:val="singleLevel"/>
    <w:tmpl w:val="B5000428"/>
    <w:lvl w:ilvl="0" w:tentative="0">
      <w:start w:val="3"/>
      <w:numFmt w:val="decimal"/>
      <w:lvlText w:val="%1."/>
      <w:lvlJc w:val="left"/>
      <w:pPr>
        <w:tabs>
          <w:tab w:val="left" w:pos="312"/>
        </w:tabs>
      </w:pPr>
    </w:lvl>
  </w:abstractNum>
  <w:abstractNum w:abstractNumId="5">
    <w:nsid w:val="C3EC983B"/>
    <w:multiLevelType w:val="singleLevel"/>
    <w:tmpl w:val="C3EC983B"/>
    <w:lvl w:ilvl="0" w:tentative="0">
      <w:start w:val="1"/>
      <w:numFmt w:val="decimal"/>
      <w:suff w:val="nothing"/>
      <w:lvlText w:val="%1．"/>
      <w:lvlJc w:val="left"/>
      <w:pPr>
        <w:ind w:left="0" w:firstLine="400"/>
      </w:pPr>
      <w:rPr>
        <w:rFonts w:hint="default"/>
      </w:rPr>
    </w:lvl>
  </w:abstractNum>
  <w:abstractNum w:abstractNumId="6">
    <w:nsid w:val="CEAFA545"/>
    <w:multiLevelType w:val="singleLevel"/>
    <w:tmpl w:val="CEAFA545"/>
    <w:lvl w:ilvl="0" w:tentative="0">
      <w:start w:val="1"/>
      <w:numFmt w:val="chineseCounting"/>
      <w:suff w:val="nothing"/>
      <w:lvlText w:val="（%1）"/>
      <w:lvlJc w:val="left"/>
      <w:pPr>
        <w:ind w:left="0" w:firstLine="420"/>
      </w:pPr>
      <w:rPr>
        <w:rFonts w:hint="eastAsia"/>
      </w:rPr>
    </w:lvl>
  </w:abstractNum>
  <w:abstractNum w:abstractNumId="7">
    <w:nsid w:val="D26E7428"/>
    <w:multiLevelType w:val="singleLevel"/>
    <w:tmpl w:val="D26E7428"/>
    <w:lvl w:ilvl="0" w:tentative="0">
      <w:start w:val="1"/>
      <w:numFmt w:val="decimal"/>
      <w:suff w:val="nothing"/>
      <w:lvlText w:val="（%1）"/>
      <w:lvlJc w:val="left"/>
    </w:lvl>
  </w:abstractNum>
  <w:abstractNum w:abstractNumId="8">
    <w:nsid w:val="DE0EB41C"/>
    <w:multiLevelType w:val="singleLevel"/>
    <w:tmpl w:val="DE0EB41C"/>
    <w:lvl w:ilvl="0" w:tentative="0">
      <w:start w:val="1"/>
      <w:numFmt w:val="decimal"/>
      <w:suff w:val="nothing"/>
      <w:lvlText w:val="（%1）"/>
      <w:lvlJc w:val="left"/>
    </w:lvl>
  </w:abstractNum>
  <w:abstractNum w:abstractNumId="9">
    <w:nsid w:val="E2122D66"/>
    <w:multiLevelType w:val="singleLevel"/>
    <w:tmpl w:val="E2122D66"/>
    <w:lvl w:ilvl="0" w:tentative="0">
      <w:start w:val="1"/>
      <w:numFmt w:val="chineseCounting"/>
      <w:suff w:val="nothing"/>
      <w:lvlText w:val="（%1）"/>
      <w:lvlJc w:val="left"/>
      <w:pPr>
        <w:ind w:left="0" w:firstLine="420"/>
      </w:pPr>
      <w:rPr>
        <w:rFonts w:hint="eastAsia"/>
      </w:rPr>
    </w:lvl>
  </w:abstractNum>
  <w:abstractNum w:abstractNumId="10">
    <w:nsid w:val="FF02C794"/>
    <w:multiLevelType w:val="singleLevel"/>
    <w:tmpl w:val="FF02C794"/>
    <w:lvl w:ilvl="0" w:tentative="0">
      <w:start w:val="3"/>
      <w:numFmt w:val="decimal"/>
      <w:suff w:val="nothing"/>
      <w:lvlText w:val="%1、"/>
      <w:lvlJc w:val="left"/>
    </w:lvl>
  </w:abstractNum>
  <w:abstractNum w:abstractNumId="11">
    <w:nsid w:val="11072AB6"/>
    <w:multiLevelType w:val="singleLevel"/>
    <w:tmpl w:val="11072AB6"/>
    <w:lvl w:ilvl="0" w:tentative="0">
      <w:start w:val="3"/>
      <w:numFmt w:val="decimal"/>
      <w:suff w:val="nothing"/>
      <w:lvlText w:val="%1、"/>
      <w:lvlJc w:val="left"/>
    </w:lvl>
  </w:abstractNum>
  <w:abstractNum w:abstractNumId="12">
    <w:nsid w:val="1A8D28D4"/>
    <w:multiLevelType w:val="singleLevel"/>
    <w:tmpl w:val="1A8D28D4"/>
    <w:lvl w:ilvl="0" w:tentative="0">
      <w:start w:val="1"/>
      <w:numFmt w:val="chineseCounting"/>
      <w:suff w:val="nothing"/>
      <w:lvlText w:val="（%1）"/>
      <w:lvlJc w:val="left"/>
      <w:pPr>
        <w:ind w:left="0" w:firstLine="420"/>
      </w:pPr>
      <w:rPr>
        <w:rFonts w:hint="eastAsia"/>
      </w:rPr>
    </w:lvl>
  </w:abstractNum>
  <w:abstractNum w:abstractNumId="13">
    <w:nsid w:val="288F8751"/>
    <w:multiLevelType w:val="singleLevel"/>
    <w:tmpl w:val="288F8751"/>
    <w:lvl w:ilvl="0" w:tentative="0">
      <w:start w:val="1"/>
      <w:numFmt w:val="chineseCounting"/>
      <w:suff w:val="nothing"/>
      <w:lvlText w:val="（%1）"/>
      <w:lvlJc w:val="left"/>
      <w:pPr>
        <w:ind w:left="0" w:firstLine="420"/>
      </w:pPr>
      <w:rPr>
        <w:rFonts w:hint="eastAsia"/>
      </w:rPr>
    </w:lvl>
  </w:abstractNum>
  <w:abstractNum w:abstractNumId="14">
    <w:nsid w:val="47AA1FA0"/>
    <w:multiLevelType w:val="singleLevel"/>
    <w:tmpl w:val="47AA1FA0"/>
    <w:lvl w:ilvl="0" w:tentative="0">
      <w:start w:val="1"/>
      <w:numFmt w:val="chineseCounting"/>
      <w:suff w:val="nothing"/>
      <w:lvlText w:val="（%1）"/>
      <w:lvlJc w:val="left"/>
      <w:pPr>
        <w:ind w:left="0" w:firstLine="420"/>
      </w:pPr>
      <w:rPr>
        <w:rFonts w:hint="eastAsia"/>
      </w:rPr>
    </w:lvl>
  </w:abstractNum>
  <w:abstractNum w:abstractNumId="15">
    <w:nsid w:val="58B47630"/>
    <w:multiLevelType w:val="singleLevel"/>
    <w:tmpl w:val="58B47630"/>
    <w:lvl w:ilvl="0" w:tentative="0">
      <w:start w:val="1"/>
      <w:numFmt w:val="chineseCounting"/>
      <w:suff w:val="nothing"/>
      <w:lvlText w:val="（%1）"/>
      <w:lvlJc w:val="left"/>
      <w:pPr>
        <w:ind w:left="0" w:firstLine="420"/>
      </w:pPr>
      <w:rPr>
        <w:rFonts w:hint="eastAsia"/>
      </w:rPr>
    </w:lvl>
  </w:abstractNum>
  <w:abstractNum w:abstractNumId="16">
    <w:nsid w:val="5D10586C"/>
    <w:multiLevelType w:val="singleLevel"/>
    <w:tmpl w:val="5D10586C"/>
    <w:lvl w:ilvl="0" w:tentative="0">
      <w:start w:val="1"/>
      <w:numFmt w:val="chineseCounting"/>
      <w:suff w:val="nothing"/>
      <w:lvlText w:val="（%1）"/>
      <w:lvlJc w:val="left"/>
      <w:pPr>
        <w:ind w:left="0" w:firstLine="420"/>
      </w:pPr>
      <w:rPr>
        <w:rFonts w:hint="eastAsia"/>
      </w:rPr>
    </w:lvl>
  </w:abstractNum>
  <w:abstractNum w:abstractNumId="17">
    <w:nsid w:val="72421871"/>
    <w:multiLevelType w:val="singleLevel"/>
    <w:tmpl w:val="72421871"/>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8"/>
  </w:num>
  <w:num w:numId="4">
    <w:abstractNumId w:val="7"/>
  </w:num>
  <w:num w:numId="5">
    <w:abstractNumId w:val="6"/>
  </w:num>
  <w:num w:numId="6">
    <w:abstractNumId w:val="14"/>
  </w:num>
  <w:num w:numId="7">
    <w:abstractNumId w:val="3"/>
  </w:num>
  <w:num w:numId="8">
    <w:abstractNumId w:val="16"/>
  </w:num>
  <w:num w:numId="9">
    <w:abstractNumId w:val="2"/>
  </w:num>
  <w:num w:numId="10">
    <w:abstractNumId w:val="17"/>
  </w:num>
  <w:num w:numId="11">
    <w:abstractNumId w:val="5"/>
  </w:num>
  <w:num w:numId="12">
    <w:abstractNumId w:val="12"/>
  </w:num>
  <w:num w:numId="13">
    <w:abstractNumId w:val="13"/>
  </w:num>
  <w:num w:numId="14">
    <w:abstractNumId w:val="9"/>
  </w:num>
  <w:num w:numId="15">
    <w:abstractNumId w:val="15"/>
  </w:num>
  <w:num w:numId="16">
    <w:abstractNumId w:val="1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6a286ce5-81b5-4fe2-ba1a-9ab178ab2744"/>
  </w:docVars>
  <w:rsids>
    <w:rsidRoot w:val="227726E5"/>
    <w:rsid w:val="000210D8"/>
    <w:rsid w:val="000D03BB"/>
    <w:rsid w:val="001B6B7C"/>
    <w:rsid w:val="002A074A"/>
    <w:rsid w:val="003D1B60"/>
    <w:rsid w:val="004669E7"/>
    <w:rsid w:val="00550806"/>
    <w:rsid w:val="0067462E"/>
    <w:rsid w:val="00675481"/>
    <w:rsid w:val="00963FBC"/>
    <w:rsid w:val="009F149A"/>
    <w:rsid w:val="00BF52BD"/>
    <w:rsid w:val="00C476AF"/>
    <w:rsid w:val="00DB6EC2"/>
    <w:rsid w:val="00DE482C"/>
    <w:rsid w:val="00E52F76"/>
    <w:rsid w:val="00ED5986"/>
    <w:rsid w:val="00F045D2"/>
    <w:rsid w:val="00F95944"/>
    <w:rsid w:val="010008C4"/>
    <w:rsid w:val="012E251C"/>
    <w:rsid w:val="0145402C"/>
    <w:rsid w:val="0184160E"/>
    <w:rsid w:val="01A73D87"/>
    <w:rsid w:val="01C10F14"/>
    <w:rsid w:val="01DB6127"/>
    <w:rsid w:val="01EE7C08"/>
    <w:rsid w:val="01FB40D3"/>
    <w:rsid w:val="020C0D2B"/>
    <w:rsid w:val="0224362A"/>
    <w:rsid w:val="022C78EE"/>
    <w:rsid w:val="02306473"/>
    <w:rsid w:val="023B66F4"/>
    <w:rsid w:val="027A666A"/>
    <w:rsid w:val="028E4F47"/>
    <w:rsid w:val="029D33DC"/>
    <w:rsid w:val="02A97FD3"/>
    <w:rsid w:val="035D43E1"/>
    <w:rsid w:val="036D2DAF"/>
    <w:rsid w:val="036E446E"/>
    <w:rsid w:val="03960557"/>
    <w:rsid w:val="03AF33C7"/>
    <w:rsid w:val="03DA48E8"/>
    <w:rsid w:val="03FA20DB"/>
    <w:rsid w:val="040000C7"/>
    <w:rsid w:val="041D47D5"/>
    <w:rsid w:val="04245B63"/>
    <w:rsid w:val="0430031C"/>
    <w:rsid w:val="04471852"/>
    <w:rsid w:val="047B14FB"/>
    <w:rsid w:val="047D7A83"/>
    <w:rsid w:val="047F723D"/>
    <w:rsid w:val="04AB3B8E"/>
    <w:rsid w:val="04ED23F9"/>
    <w:rsid w:val="050D2A9B"/>
    <w:rsid w:val="0523406D"/>
    <w:rsid w:val="054E5609"/>
    <w:rsid w:val="05685F23"/>
    <w:rsid w:val="057E74F5"/>
    <w:rsid w:val="05AB7BBE"/>
    <w:rsid w:val="05BC4CCB"/>
    <w:rsid w:val="05C80770"/>
    <w:rsid w:val="05E15C31"/>
    <w:rsid w:val="060E19D4"/>
    <w:rsid w:val="06287461"/>
    <w:rsid w:val="062F7121"/>
    <w:rsid w:val="06316315"/>
    <w:rsid w:val="06481185"/>
    <w:rsid w:val="066D1AB1"/>
    <w:rsid w:val="067D3DF4"/>
    <w:rsid w:val="068414A6"/>
    <w:rsid w:val="068648B3"/>
    <w:rsid w:val="06DA69AD"/>
    <w:rsid w:val="06F35831"/>
    <w:rsid w:val="07E00A0F"/>
    <w:rsid w:val="07E31891"/>
    <w:rsid w:val="07F730C0"/>
    <w:rsid w:val="08057A5A"/>
    <w:rsid w:val="080717AD"/>
    <w:rsid w:val="082F0F7A"/>
    <w:rsid w:val="085B32F8"/>
    <w:rsid w:val="085F360E"/>
    <w:rsid w:val="08F97134"/>
    <w:rsid w:val="090468D2"/>
    <w:rsid w:val="09AB2883"/>
    <w:rsid w:val="09DB2C4D"/>
    <w:rsid w:val="09E518F1"/>
    <w:rsid w:val="09E91933"/>
    <w:rsid w:val="0A1A3FBC"/>
    <w:rsid w:val="0A242217"/>
    <w:rsid w:val="0A2A0561"/>
    <w:rsid w:val="0A410AF1"/>
    <w:rsid w:val="0A6A0048"/>
    <w:rsid w:val="0A7F68DD"/>
    <w:rsid w:val="0A826892"/>
    <w:rsid w:val="0A99133A"/>
    <w:rsid w:val="0AA0673D"/>
    <w:rsid w:val="0AB21F41"/>
    <w:rsid w:val="0B071D3B"/>
    <w:rsid w:val="0B41524D"/>
    <w:rsid w:val="0B732F2C"/>
    <w:rsid w:val="0B9A495D"/>
    <w:rsid w:val="0BEF5C9E"/>
    <w:rsid w:val="0BFB5CEE"/>
    <w:rsid w:val="0C032502"/>
    <w:rsid w:val="0C0A3890"/>
    <w:rsid w:val="0C0A675F"/>
    <w:rsid w:val="0C210BDA"/>
    <w:rsid w:val="0C395F24"/>
    <w:rsid w:val="0C4D5E73"/>
    <w:rsid w:val="0C550884"/>
    <w:rsid w:val="0C5745FC"/>
    <w:rsid w:val="0CD56232"/>
    <w:rsid w:val="0CF4009D"/>
    <w:rsid w:val="0CFD0B96"/>
    <w:rsid w:val="0D1628D9"/>
    <w:rsid w:val="0D352EC6"/>
    <w:rsid w:val="0D4E1EA3"/>
    <w:rsid w:val="0D58687D"/>
    <w:rsid w:val="0D6E42F3"/>
    <w:rsid w:val="0D702E76"/>
    <w:rsid w:val="0D786F20"/>
    <w:rsid w:val="0D7D0092"/>
    <w:rsid w:val="0DB53CD0"/>
    <w:rsid w:val="0DFA1880"/>
    <w:rsid w:val="0E250E55"/>
    <w:rsid w:val="0E7771D7"/>
    <w:rsid w:val="0E8417E5"/>
    <w:rsid w:val="0EAF4BC3"/>
    <w:rsid w:val="0F1C63B4"/>
    <w:rsid w:val="0F5F5E91"/>
    <w:rsid w:val="0F9811B3"/>
    <w:rsid w:val="0FB81855"/>
    <w:rsid w:val="0FB8763D"/>
    <w:rsid w:val="0FFF1232"/>
    <w:rsid w:val="101B44A3"/>
    <w:rsid w:val="102902A4"/>
    <w:rsid w:val="10635C65"/>
    <w:rsid w:val="109202F8"/>
    <w:rsid w:val="10A15E89"/>
    <w:rsid w:val="10C61D50"/>
    <w:rsid w:val="10D4446D"/>
    <w:rsid w:val="111B1EAF"/>
    <w:rsid w:val="113D64B6"/>
    <w:rsid w:val="11904D01"/>
    <w:rsid w:val="119F4A7B"/>
    <w:rsid w:val="11A51171"/>
    <w:rsid w:val="11FC011F"/>
    <w:rsid w:val="120664A5"/>
    <w:rsid w:val="1227133C"/>
    <w:rsid w:val="122F22A3"/>
    <w:rsid w:val="12493A33"/>
    <w:rsid w:val="125735A8"/>
    <w:rsid w:val="12706417"/>
    <w:rsid w:val="12710E53"/>
    <w:rsid w:val="132A0CBC"/>
    <w:rsid w:val="134C29E0"/>
    <w:rsid w:val="1361772B"/>
    <w:rsid w:val="136D04A3"/>
    <w:rsid w:val="13755250"/>
    <w:rsid w:val="139A7BF0"/>
    <w:rsid w:val="13DB5B12"/>
    <w:rsid w:val="13F07810"/>
    <w:rsid w:val="144E09DA"/>
    <w:rsid w:val="1455167B"/>
    <w:rsid w:val="14926B19"/>
    <w:rsid w:val="14A405FA"/>
    <w:rsid w:val="14BC76F2"/>
    <w:rsid w:val="15023C9F"/>
    <w:rsid w:val="15AC7766"/>
    <w:rsid w:val="16191663"/>
    <w:rsid w:val="161B666D"/>
    <w:rsid w:val="1626576B"/>
    <w:rsid w:val="16300563"/>
    <w:rsid w:val="16360BC6"/>
    <w:rsid w:val="1638724C"/>
    <w:rsid w:val="164A5664"/>
    <w:rsid w:val="167F30CD"/>
    <w:rsid w:val="16E66CA8"/>
    <w:rsid w:val="170859CA"/>
    <w:rsid w:val="172D0D7B"/>
    <w:rsid w:val="178A289D"/>
    <w:rsid w:val="17EB1D7F"/>
    <w:rsid w:val="180A2E6A"/>
    <w:rsid w:val="181028E7"/>
    <w:rsid w:val="18493992"/>
    <w:rsid w:val="18702CCD"/>
    <w:rsid w:val="188624F1"/>
    <w:rsid w:val="18C272A1"/>
    <w:rsid w:val="18F953B8"/>
    <w:rsid w:val="192E42C7"/>
    <w:rsid w:val="19BE5CBA"/>
    <w:rsid w:val="1A295829"/>
    <w:rsid w:val="1A6515CA"/>
    <w:rsid w:val="1A703458"/>
    <w:rsid w:val="1A7840BB"/>
    <w:rsid w:val="1AB41575"/>
    <w:rsid w:val="1AB86BAD"/>
    <w:rsid w:val="1AE57555"/>
    <w:rsid w:val="1AE856E5"/>
    <w:rsid w:val="1B004C08"/>
    <w:rsid w:val="1B180477"/>
    <w:rsid w:val="1B281F85"/>
    <w:rsid w:val="1B3C15F9"/>
    <w:rsid w:val="1BAA0BEC"/>
    <w:rsid w:val="1BC34A50"/>
    <w:rsid w:val="1BC752FA"/>
    <w:rsid w:val="1BDC5123"/>
    <w:rsid w:val="1C606B66"/>
    <w:rsid w:val="1C771265"/>
    <w:rsid w:val="1CB645F0"/>
    <w:rsid w:val="1CB92472"/>
    <w:rsid w:val="1D3377CB"/>
    <w:rsid w:val="1D562F59"/>
    <w:rsid w:val="1D9A259A"/>
    <w:rsid w:val="1DAD7C73"/>
    <w:rsid w:val="1DCE63FD"/>
    <w:rsid w:val="1DE25D6B"/>
    <w:rsid w:val="1E2A6014"/>
    <w:rsid w:val="1E58492F"/>
    <w:rsid w:val="1E650DFA"/>
    <w:rsid w:val="1E875215"/>
    <w:rsid w:val="1E9D7F7A"/>
    <w:rsid w:val="1F0028D1"/>
    <w:rsid w:val="1F1A2F77"/>
    <w:rsid w:val="1F1A5B7D"/>
    <w:rsid w:val="1F572E39"/>
    <w:rsid w:val="1F9C4CF0"/>
    <w:rsid w:val="1FBD7929"/>
    <w:rsid w:val="1FCD6C57"/>
    <w:rsid w:val="1FF64400"/>
    <w:rsid w:val="20036B1D"/>
    <w:rsid w:val="202D76F6"/>
    <w:rsid w:val="20390790"/>
    <w:rsid w:val="207215AC"/>
    <w:rsid w:val="209704FB"/>
    <w:rsid w:val="20A51982"/>
    <w:rsid w:val="20A756FA"/>
    <w:rsid w:val="20B05AB9"/>
    <w:rsid w:val="20DD2A63"/>
    <w:rsid w:val="20F876B3"/>
    <w:rsid w:val="20FB0D9A"/>
    <w:rsid w:val="21274A8D"/>
    <w:rsid w:val="212D20A3"/>
    <w:rsid w:val="213D605E"/>
    <w:rsid w:val="21543A6A"/>
    <w:rsid w:val="215D1AC5"/>
    <w:rsid w:val="215F4227"/>
    <w:rsid w:val="217F6E19"/>
    <w:rsid w:val="21B24356"/>
    <w:rsid w:val="21C5052E"/>
    <w:rsid w:val="21E32762"/>
    <w:rsid w:val="22010E3A"/>
    <w:rsid w:val="221D181A"/>
    <w:rsid w:val="2225042B"/>
    <w:rsid w:val="22582EC6"/>
    <w:rsid w:val="227726E5"/>
    <w:rsid w:val="22837D01"/>
    <w:rsid w:val="228637FA"/>
    <w:rsid w:val="22885BF9"/>
    <w:rsid w:val="22B94C28"/>
    <w:rsid w:val="22F20B8D"/>
    <w:rsid w:val="23107D1D"/>
    <w:rsid w:val="231E0C58"/>
    <w:rsid w:val="23436F00"/>
    <w:rsid w:val="2351194D"/>
    <w:rsid w:val="23694EE9"/>
    <w:rsid w:val="23A81EB5"/>
    <w:rsid w:val="23CE7442"/>
    <w:rsid w:val="240D3AC6"/>
    <w:rsid w:val="242F0861"/>
    <w:rsid w:val="24575689"/>
    <w:rsid w:val="24682A58"/>
    <w:rsid w:val="248364FB"/>
    <w:rsid w:val="24AA7567"/>
    <w:rsid w:val="24E0742D"/>
    <w:rsid w:val="252E16F5"/>
    <w:rsid w:val="255676EF"/>
    <w:rsid w:val="25987D07"/>
    <w:rsid w:val="25D85D70"/>
    <w:rsid w:val="260333D3"/>
    <w:rsid w:val="26325A66"/>
    <w:rsid w:val="26727FA6"/>
    <w:rsid w:val="26864004"/>
    <w:rsid w:val="26B24DF9"/>
    <w:rsid w:val="26C16DEA"/>
    <w:rsid w:val="26C2328E"/>
    <w:rsid w:val="26E50D2A"/>
    <w:rsid w:val="27072EEB"/>
    <w:rsid w:val="27221F7E"/>
    <w:rsid w:val="274C6FFB"/>
    <w:rsid w:val="2767173F"/>
    <w:rsid w:val="27736336"/>
    <w:rsid w:val="278E4F1E"/>
    <w:rsid w:val="27B53A26"/>
    <w:rsid w:val="27BB1438"/>
    <w:rsid w:val="27C13EDC"/>
    <w:rsid w:val="27CC5A46"/>
    <w:rsid w:val="27E014F2"/>
    <w:rsid w:val="27E2170E"/>
    <w:rsid w:val="27F154AD"/>
    <w:rsid w:val="27FC155E"/>
    <w:rsid w:val="27FC27CF"/>
    <w:rsid w:val="28133675"/>
    <w:rsid w:val="283C7070"/>
    <w:rsid w:val="289008AE"/>
    <w:rsid w:val="28996270"/>
    <w:rsid w:val="28B648A7"/>
    <w:rsid w:val="28C66939"/>
    <w:rsid w:val="28C75D08"/>
    <w:rsid w:val="28F17E5A"/>
    <w:rsid w:val="295201CD"/>
    <w:rsid w:val="29657F00"/>
    <w:rsid w:val="29787C34"/>
    <w:rsid w:val="29CC4423"/>
    <w:rsid w:val="2A067935"/>
    <w:rsid w:val="2A0C65CE"/>
    <w:rsid w:val="2A0E2346"/>
    <w:rsid w:val="2A13241B"/>
    <w:rsid w:val="2A151926"/>
    <w:rsid w:val="2A416565"/>
    <w:rsid w:val="2A616490"/>
    <w:rsid w:val="2A701253"/>
    <w:rsid w:val="2A781EB5"/>
    <w:rsid w:val="2A9221FA"/>
    <w:rsid w:val="2AF27EBA"/>
    <w:rsid w:val="2B481888"/>
    <w:rsid w:val="2B6F150A"/>
    <w:rsid w:val="2B7C45EA"/>
    <w:rsid w:val="2C101890"/>
    <w:rsid w:val="2C183950"/>
    <w:rsid w:val="2C3209AA"/>
    <w:rsid w:val="2C335B5A"/>
    <w:rsid w:val="2C980EBB"/>
    <w:rsid w:val="2C9A6113"/>
    <w:rsid w:val="2CD51841"/>
    <w:rsid w:val="2CD624D9"/>
    <w:rsid w:val="2D0A159E"/>
    <w:rsid w:val="2D12214D"/>
    <w:rsid w:val="2D286E61"/>
    <w:rsid w:val="2D483DC1"/>
    <w:rsid w:val="2D55028C"/>
    <w:rsid w:val="2DBB0A37"/>
    <w:rsid w:val="2DCF44E2"/>
    <w:rsid w:val="2DD37B2E"/>
    <w:rsid w:val="2DDD6BFF"/>
    <w:rsid w:val="2DE24215"/>
    <w:rsid w:val="2DF07DB4"/>
    <w:rsid w:val="2DF816E2"/>
    <w:rsid w:val="2E093550"/>
    <w:rsid w:val="2E1A01D2"/>
    <w:rsid w:val="2E5C3FC8"/>
    <w:rsid w:val="2E5E3791"/>
    <w:rsid w:val="2E644C2A"/>
    <w:rsid w:val="2E7F7CB6"/>
    <w:rsid w:val="2ECB2EFB"/>
    <w:rsid w:val="2EE6563F"/>
    <w:rsid w:val="2EE91DEC"/>
    <w:rsid w:val="2F0A3A24"/>
    <w:rsid w:val="2F171C9D"/>
    <w:rsid w:val="2F193C67"/>
    <w:rsid w:val="2F346BC5"/>
    <w:rsid w:val="2F56121E"/>
    <w:rsid w:val="2F603644"/>
    <w:rsid w:val="2FD162F0"/>
    <w:rsid w:val="2FED67F0"/>
    <w:rsid w:val="300F1252"/>
    <w:rsid w:val="301B5882"/>
    <w:rsid w:val="303B19BB"/>
    <w:rsid w:val="30562C99"/>
    <w:rsid w:val="306A2A83"/>
    <w:rsid w:val="306A5958"/>
    <w:rsid w:val="30907F59"/>
    <w:rsid w:val="310E0E7D"/>
    <w:rsid w:val="316C114C"/>
    <w:rsid w:val="316D2048"/>
    <w:rsid w:val="31905D36"/>
    <w:rsid w:val="31AF7290"/>
    <w:rsid w:val="31EC1292"/>
    <w:rsid w:val="32242981"/>
    <w:rsid w:val="32A9073B"/>
    <w:rsid w:val="32D81743"/>
    <w:rsid w:val="32DA06A1"/>
    <w:rsid w:val="32F04CDF"/>
    <w:rsid w:val="33291F9F"/>
    <w:rsid w:val="333D3C9C"/>
    <w:rsid w:val="33423DE0"/>
    <w:rsid w:val="336254B1"/>
    <w:rsid w:val="3381680B"/>
    <w:rsid w:val="339F04B3"/>
    <w:rsid w:val="33D068BE"/>
    <w:rsid w:val="34180991"/>
    <w:rsid w:val="345E3ECA"/>
    <w:rsid w:val="348334BA"/>
    <w:rsid w:val="34CA155F"/>
    <w:rsid w:val="35246EC1"/>
    <w:rsid w:val="35441312"/>
    <w:rsid w:val="35540C3D"/>
    <w:rsid w:val="35B2271F"/>
    <w:rsid w:val="35BF3846"/>
    <w:rsid w:val="36032F7B"/>
    <w:rsid w:val="36154A5C"/>
    <w:rsid w:val="36260A17"/>
    <w:rsid w:val="362B4280"/>
    <w:rsid w:val="364771DF"/>
    <w:rsid w:val="36721EAF"/>
    <w:rsid w:val="36AA789A"/>
    <w:rsid w:val="36C5247C"/>
    <w:rsid w:val="36C7303A"/>
    <w:rsid w:val="36F11025"/>
    <w:rsid w:val="372E7693"/>
    <w:rsid w:val="37397DA9"/>
    <w:rsid w:val="376C6029"/>
    <w:rsid w:val="3770058A"/>
    <w:rsid w:val="37710FF7"/>
    <w:rsid w:val="37976071"/>
    <w:rsid w:val="37B5307D"/>
    <w:rsid w:val="37C530CB"/>
    <w:rsid w:val="37C93D50"/>
    <w:rsid w:val="38637D01"/>
    <w:rsid w:val="38786CAE"/>
    <w:rsid w:val="388163D9"/>
    <w:rsid w:val="38B467AE"/>
    <w:rsid w:val="38BF587F"/>
    <w:rsid w:val="38D201A2"/>
    <w:rsid w:val="38EC46E7"/>
    <w:rsid w:val="38F512A1"/>
    <w:rsid w:val="392F6E44"/>
    <w:rsid w:val="393C7DC4"/>
    <w:rsid w:val="397E31A6"/>
    <w:rsid w:val="399B5556"/>
    <w:rsid w:val="39BC3D54"/>
    <w:rsid w:val="39E1222C"/>
    <w:rsid w:val="3A245EA1"/>
    <w:rsid w:val="3A445910"/>
    <w:rsid w:val="3A4B6C9E"/>
    <w:rsid w:val="3A5E69D2"/>
    <w:rsid w:val="3A850402"/>
    <w:rsid w:val="3AA47EC1"/>
    <w:rsid w:val="3AF364B7"/>
    <w:rsid w:val="3B1E77A1"/>
    <w:rsid w:val="3B466B72"/>
    <w:rsid w:val="3B4734EC"/>
    <w:rsid w:val="3B583D69"/>
    <w:rsid w:val="3B7010B2"/>
    <w:rsid w:val="3BA26D92"/>
    <w:rsid w:val="3C5472C0"/>
    <w:rsid w:val="3C5A766D"/>
    <w:rsid w:val="3C8F7316"/>
    <w:rsid w:val="3C992249"/>
    <w:rsid w:val="3CBB45AF"/>
    <w:rsid w:val="3CE27D8E"/>
    <w:rsid w:val="3D672041"/>
    <w:rsid w:val="3D740C53"/>
    <w:rsid w:val="3DD84CED"/>
    <w:rsid w:val="3DE511B8"/>
    <w:rsid w:val="3DFC0A87"/>
    <w:rsid w:val="3E285C74"/>
    <w:rsid w:val="3E3D10AA"/>
    <w:rsid w:val="3E421533"/>
    <w:rsid w:val="3E493AB1"/>
    <w:rsid w:val="3E502AD5"/>
    <w:rsid w:val="3E7760E0"/>
    <w:rsid w:val="3E8F1850"/>
    <w:rsid w:val="3E9260D6"/>
    <w:rsid w:val="3EEB64C0"/>
    <w:rsid w:val="3F0B4C4E"/>
    <w:rsid w:val="3F4A07A2"/>
    <w:rsid w:val="3F680864"/>
    <w:rsid w:val="3F7647BE"/>
    <w:rsid w:val="3FA550A3"/>
    <w:rsid w:val="3FB753AD"/>
    <w:rsid w:val="3FE5028A"/>
    <w:rsid w:val="3FEB25B5"/>
    <w:rsid w:val="3FFD0A3B"/>
    <w:rsid w:val="403B1563"/>
    <w:rsid w:val="404D2E17"/>
    <w:rsid w:val="405759DA"/>
    <w:rsid w:val="4057639D"/>
    <w:rsid w:val="40664832"/>
    <w:rsid w:val="40765A20"/>
    <w:rsid w:val="40851632"/>
    <w:rsid w:val="40A62E81"/>
    <w:rsid w:val="40B85ED8"/>
    <w:rsid w:val="40C7080B"/>
    <w:rsid w:val="40F57964"/>
    <w:rsid w:val="41013F36"/>
    <w:rsid w:val="41245722"/>
    <w:rsid w:val="41B617E9"/>
    <w:rsid w:val="4202058A"/>
    <w:rsid w:val="427B3BD4"/>
    <w:rsid w:val="427F1BDB"/>
    <w:rsid w:val="42D812EB"/>
    <w:rsid w:val="42EA54EA"/>
    <w:rsid w:val="42FF4201"/>
    <w:rsid w:val="430345BA"/>
    <w:rsid w:val="4326474D"/>
    <w:rsid w:val="433062D1"/>
    <w:rsid w:val="43486471"/>
    <w:rsid w:val="43A10A30"/>
    <w:rsid w:val="43A51B15"/>
    <w:rsid w:val="43A87D09"/>
    <w:rsid w:val="43B458B4"/>
    <w:rsid w:val="43D9356D"/>
    <w:rsid w:val="43EC504E"/>
    <w:rsid w:val="44101485"/>
    <w:rsid w:val="443F5AC6"/>
    <w:rsid w:val="445B21D4"/>
    <w:rsid w:val="44C45FCB"/>
    <w:rsid w:val="450C2D66"/>
    <w:rsid w:val="453A52BD"/>
    <w:rsid w:val="45596713"/>
    <w:rsid w:val="45967CB0"/>
    <w:rsid w:val="45AF27D7"/>
    <w:rsid w:val="45FA6330"/>
    <w:rsid w:val="460C72C5"/>
    <w:rsid w:val="46565349"/>
    <w:rsid w:val="465A6BE7"/>
    <w:rsid w:val="466022E5"/>
    <w:rsid w:val="467A1037"/>
    <w:rsid w:val="46BA58D8"/>
    <w:rsid w:val="46FB7F8A"/>
    <w:rsid w:val="47190850"/>
    <w:rsid w:val="473C009B"/>
    <w:rsid w:val="4740402F"/>
    <w:rsid w:val="47590C4D"/>
    <w:rsid w:val="479E26CA"/>
    <w:rsid w:val="47A93662"/>
    <w:rsid w:val="47DB5B06"/>
    <w:rsid w:val="47DF1EF6"/>
    <w:rsid w:val="47ED3A8B"/>
    <w:rsid w:val="481F6949"/>
    <w:rsid w:val="48324F9F"/>
    <w:rsid w:val="48343468"/>
    <w:rsid w:val="483B44AA"/>
    <w:rsid w:val="483B47F6"/>
    <w:rsid w:val="48401E0D"/>
    <w:rsid w:val="486D24D6"/>
    <w:rsid w:val="48951133"/>
    <w:rsid w:val="48B56357"/>
    <w:rsid w:val="48BC3E9B"/>
    <w:rsid w:val="48BC5937"/>
    <w:rsid w:val="48CA7C8C"/>
    <w:rsid w:val="48E465FA"/>
    <w:rsid w:val="49060960"/>
    <w:rsid w:val="490C7F41"/>
    <w:rsid w:val="495A5150"/>
    <w:rsid w:val="49AE2DA6"/>
    <w:rsid w:val="49B52386"/>
    <w:rsid w:val="49B60D79"/>
    <w:rsid w:val="49CA3A8D"/>
    <w:rsid w:val="49CE4453"/>
    <w:rsid w:val="49E41883"/>
    <w:rsid w:val="49F904C5"/>
    <w:rsid w:val="49FE3D2D"/>
    <w:rsid w:val="4A280725"/>
    <w:rsid w:val="4A322279"/>
    <w:rsid w:val="4A506004"/>
    <w:rsid w:val="4A563B69"/>
    <w:rsid w:val="4A887BBB"/>
    <w:rsid w:val="4A946440"/>
    <w:rsid w:val="4A9D2228"/>
    <w:rsid w:val="4AC97E97"/>
    <w:rsid w:val="4B0B4660"/>
    <w:rsid w:val="4B7C7600"/>
    <w:rsid w:val="4BD03DBE"/>
    <w:rsid w:val="4BEF7DD1"/>
    <w:rsid w:val="4C0D1AB5"/>
    <w:rsid w:val="4C19436A"/>
    <w:rsid w:val="4C2832E3"/>
    <w:rsid w:val="4C2C2DD4"/>
    <w:rsid w:val="4C416153"/>
    <w:rsid w:val="4C6E0880"/>
    <w:rsid w:val="4C73080C"/>
    <w:rsid w:val="4C9149E5"/>
    <w:rsid w:val="4CE90CC5"/>
    <w:rsid w:val="4D1B0752"/>
    <w:rsid w:val="4D2832EB"/>
    <w:rsid w:val="4D5A571F"/>
    <w:rsid w:val="4D6A2B8E"/>
    <w:rsid w:val="4D6C2F10"/>
    <w:rsid w:val="4D7F313C"/>
    <w:rsid w:val="4D880385"/>
    <w:rsid w:val="4D9329DF"/>
    <w:rsid w:val="4DC25072"/>
    <w:rsid w:val="4DFE60AA"/>
    <w:rsid w:val="4E0336C0"/>
    <w:rsid w:val="4E0F66EE"/>
    <w:rsid w:val="4E140C20"/>
    <w:rsid w:val="4E404914"/>
    <w:rsid w:val="4E7B3B9E"/>
    <w:rsid w:val="4E832A53"/>
    <w:rsid w:val="4EA2509B"/>
    <w:rsid w:val="4EA529C9"/>
    <w:rsid w:val="4EA74993"/>
    <w:rsid w:val="4EB175C0"/>
    <w:rsid w:val="4ED908C5"/>
    <w:rsid w:val="4EDB63EB"/>
    <w:rsid w:val="4EE74D90"/>
    <w:rsid w:val="4EF13E61"/>
    <w:rsid w:val="4F652159"/>
    <w:rsid w:val="4FB31116"/>
    <w:rsid w:val="4FFC7A3E"/>
    <w:rsid w:val="5015592D"/>
    <w:rsid w:val="50546455"/>
    <w:rsid w:val="50624906"/>
    <w:rsid w:val="506F7733"/>
    <w:rsid w:val="50887115"/>
    <w:rsid w:val="50B921EC"/>
    <w:rsid w:val="50E13A61"/>
    <w:rsid w:val="51273B6A"/>
    <w:rsid w:val="512D6CA6"/>
    <w:rsid w:val="51387B25"/>
    <w:rsid w:val="51960CEF"/>
    <w:rsid w:val="519A1675"/>
    <w:rsid w:val="51BF3DA2"/>
    <w:rsid w:val="51EE28D9"/>
    <w:rsid w:val="51FF4AE6"/>
    <w:rsid w:val="52065E75"/>
    <w:rsid w:val="52505342"/>
    <w:rsid w:val="52707792"/>
    <w:rsid w:val="52B84125"/>
    <w:rsid w:val="52E8648C"/>
    <w:rsid w:val="53566988"/>
    <w:rsid w:val="535F3A8F"/>
    <w:rsid w:val="537C5E39"/>
    <w:rsid w:val="53803A05"/>
    <w:rsid w:val="53C102A5"/>
    <w:rsid w:val="53C37E9A"/>
    <w:rsid w:val="53D40A2D"/>
    <w:rsid w:val="53DD49B3"/>
    <w:rsid w:val="53E358CB"/>
    <w:rsid w:val="53E47AF0"/>
    <w:rsid w:val="542919A7"/>
    <w:rsid w:val="5452339C"/>
    <w:rsid w:val="54756820"/>
    <w:rsid w:val="547D1CF3"/>
    <w:rsid w:val="54B03E76"/>
    <w:rsid w:val="54BF230B"/>
    <w:rsid w:val="54C94F38"/>
    <w:rsid w:val="54CA12A9"/>
    <w:rsid w:val="54E270C5"/>
    <w:rsid w:val="552D21D3"/>
    <w:rsid w:val="55427024"/>
    <w:rsid w:val="5583158B"/>
    <w:rsid w:val="559612BE"/>
    <w:rsid w:val="55B654BC"/>
    <w:rsid w:val="55B94FAC"/>
    <w:rsid w:val="55BC36B8"/>
    <w:rsid w:val="561B17C3"/>
    <w:rsid w:val="562B6B84"/>
    <w:rsid w:val="56446392"/>
    <w:rsid w:val="56505911"/>
    <w:rsid w:val="56517321"/>
    <w:rsid w:val="567E247E"/>
    <w:rsid w:val="568A42C6"/>
    <w:rsid w:val="568B52A7"/>
    <w:rsid w:val="56C43C09"/>
    <w:rsid w:val="56C500AD"/>
    <w:rsid w:val="57051220"/>
    <w:rsid w:val="570C5CDB"/>
    <w:rsid w:val="57174680"/>
    <w:rsid w:val="572A7F10"/>
    <w:rsid w:val="577218B7"/>
    <w:rsid w:val="577E200A"/>
    <w:rsid w:val="57A75A04"/>
    <w:rsid w:val="57B47A99"/>
    <w:rsid w:val="57E55786"/>
    <w:rsid w:val="57F14ED1"/>
    <w:rsid w:val="583D1EC5"/>
    <w:rsid w:val="58450B68"/>
    <w:rsid w:val="58515970"/>
    <w:rsid w:val="5867225C"/>
    <w:rsid w:val="586E02D0"/>
    <w:rsid w:val="58BE05E1"/>
    <w:rsid w:val="58C06A9A"/>
    <w:rsid w:val="58D42829"/>
    <w:rsid w:val="590F2FD0"/>
    <w:rsid w:val="591B7986"/>
    <w:rsid w:val="591F1946"/>
    <w:rsid w:val="59266DFD"/>
    <w:rsid w:val="594352B9"/>
    <w:rsid w:val="598B6C60"/>
    <w:rsid w:val="59AF294E"/>
    <w:rsid w:val="59BB12F3"/>
    <w:rsid w:val="59C42947"/>
    <w:rsid w:val="59D466BA"/>
    <w:rsid w:val="59E00D5A"/>
    <w:rsid w:val="59E023C6"/>
    <w:rsid w:val="59EC3BB9"/>
    <w:rsid w:val="5A4A2677"/>
    <w:rsid w:val="5A623D66"/>
    <w:rsid w:val="5A8E1D43"/>
    <w:rsid w:val="5ABA77FD"/>
    <w:rsid w:val="5AD563E4"/>
    <w:rsid w:val="5AEB18AD"/>
    <w:rsid w:val="5AEB3E5A"/>
    <w:rsid w:val="5B174C4F"/>
    <w:rsid w:val="5B597015"/>
    <w:rsid w:val="5B9444F1"/>
    <w:rsid w:val="5B995664"/>
    <w:rsid w:val="5C296E7F"/>
    <w:rsid w:val="5C501309"/>
    <w:rsid w:val="5C553C81"/>
    <w:rsid w:val="5C5F68AD"/>
    <w:rsid w:val="5C7F0CFE"/>
    <w:rsid w:val="5CA40764"/>
    <w:rsid w:val="5CC13910"/>
    <w:rsid w:val="5D157638"/>
    <w:rsid w:val="5D3C6BEF"/>
    <w:rsid w:val="5D637A40"/>
    <w:rsid w:val="5D6B74D4"/>
    <w:rsid w:val="5DB449D7"/>
    <w:rsid w:val="5DC70453"/>
    <w:rsid w:val="5E074AB8"/>
    <w:rsid w:val="5E6F231D"/>
    <w:rsid w:val="5EC7073A"/>
    <w:rsid w:val="5EE71853"/>
    <w:rsid w:val="5F1F2324"/>
    <w:rsid w:val="5F590EF3"/>
    <w:rsid w:val="5F681F1D"/>
    <w:rsid w:val="5F764577"/>
    <w:rsid w:val="5F7905CB"/>
    <w:rsid w:val="5F7C1A71"/>
    <w:rsid w:val="5FD2383A"/>
    <w:rsid w:val="5FD64C3D"/>
    <w:rsid w:val="600F223D"/>
    <w:rsid w:val="604069F6"/>
    <w:rsid w:val="60566219"/>
    <w:rsid w:val="608763D3"/>
    <w:rsid w:val="60996106"/>
    <w:rsid w:val="60A46F85"/>
    <w:rsid w:val="60C51BF1"/>
    <w:rsid w:val="60E43825"/>
    <w:rsid w:val="61614E76"/>
    <w:rsid w:val="616C7377"/>
    <w:rsid w:val="618163CD"/>
    <w:rsid w:val="623C143F"/>
    <w:rsid w:val="62444614"/>
    <w:rsid w:val="62574B27"/>
    <w:rsid w:val="62894684"/>
    <w:rsid w:val="62960B4F"/>
    <w:rsid w:val="62A019CE"/>
    <w:rsid w:val="62A0552A"/>
    <w:rsid w:val="62D13F91"/>
    <w:rsid w:val="62E93375"/>
    <w:rsid w:val="62F67840"/>
    <w:rsid w:val="631450D2"/>
    <w:rsid w:val="631D0BEE"/>
    <w:rsid w:val="631F28F3"/>
    <w:rsid w:val="63224191"/>
    <w:rsid w:val="63612F0B"/>
    <w:rsid w:val="63776102"/>
    <w:rsid w:val="63816F00"/>
    <w:rsid w:val="63822E81"/>
    <w:rsid w:val="63B76FCF"/>
    <w:rsid w:val="63EE0517"/>
    <w:rsid w:val="647A3D7D"/>
    <w:rsid w:val="64833FCA"/>
    <w:rsid w:val="64AC17B9"/>
    <w:rsid w:val="64CC5F47"/>
    <w:rsid w:val="64DE2339"/>
    <w:rsid w:val="65387AD4"/>
    <w:rsid w:val="654E3963"/>
    <w:rsid w:val="656960A7"/>
    <w:rsid w:val="657D1B52"/>
    <w:rsid w:val="65876E75"/>
    <w:rsid w:val="65882DCF"/>
    <w:rsid w:val="65CB2E66"/>
    <w:rsid w:val="65E16585"/>
    <w:rsid w:val="6695111E"/>
    <w:rsid w:val="66CD5B94"/>
    <w:rsid w:val="66F105F1"/>
    <w:rsid w:val="67140C0C"/>
    <w:rsid w:val="672A3F5C"/>
    <w:rsid w:val="6753700F"/>
    <w:rsid w:val="676E209B"/>
    <w:rsid w:val="678A67A9"/>
    <w:rsid w:val="67B6396A"/>
    <w:rsid w:val="67C65A33"/>
    <w:rsid w:val="67DD4B2A"/>
    <w:rsid w:val="67EE0FC7"/>
    <w:rsid w:val="68050144"/>
    <w:rsid w:val="6847745D"/>
    <w:rsid w:val="68582403"/>
    <w:rsid w:val="685B2959"/>
    <w:rsid w:val="685C1120"/>
    <w:rsid w:val="687E630D"/>
    <w:rsid w:val="68A33FC6"/>
    <w:rsid w:val="68AA5354"/>
    <w:rsid w:val="68C006D4"/>
    <w:rsid w:val="68C55CEA"/>
    <w:rsid w:val="68ED6FEF"/>
    <w:rsid w:val="68FB170C"/>
    <w:rsid w:val="692844CB"/>
    <w:rsid w:val="6942733B"/>
    <w:rsid w:val="69692B1A"/>
    <w:rsid w:val="69B12E3A"/>
    <w:rsid w:val="69D112C7"/>
    <w:rsid w:val="69EC32FE"/>
    <w:rsid w:val="69F523FA"/>
    <w:rsid w:val="69F66377"/>
    <w:rsid w:val="6A537326"/>
    <w:rsid w:val="6A6165D5"/>
    <w:rsid w:val="6A6A3D76"/>
    <w:rsid w:val="6AD00976"/>
    <w:rsid w:val="6AEF74BC"/>
    <w:rsid w:val="6B032AFA"/>
    <w:rsid w:val="6B1C5A6F"/>
    <w:rsid w:val="6B287A18"/>
    <w:rsid w:val="6B403D4E"/>
    <w:rsid w:val="6B7E4876"/>
    <w:rsid w:val="6B804F99"/>
    <w:rsid w:val="6BD1485D"/>
    <w:rsid w:val="6BE40B7D"/>
    <w:rsid w:val="6C034C46"/>
    <w:rsid w:val="6C392068"/>
    <w:rsid w:val="6C420B21"/>
    <w:rsid w:val="6C5532C3"/>
    <w:rsid w:val="6C755AA6"/>
    <w:rsid w:val="6C8D7497"/>
    <w:rsid w:val="6CA1081C"/>
    <w:rsid w:val="6CA50A00"/>
    <w:rsid w:val="6CC83FFB"/>
    <w:rsid w:val="6CC91B21"/>
    <w:rsid w:val="6D2F109B"/>
    <w:rsid w:val="6D356715"/>
    <w:rsid w:val="6D3836D1"/>
    <w:rsid w:val="6D765805"/>
    <w:rsid w:val="6D8048D6"/>
    <w:rsid w:val="6D8A1E9B"/>
    <w:rsid w:val="6D9B170F"/>
    <w:rsid w:val="6D9E2FAE"/>
    <w:rsid w:val="6DBE1582"/>
    <w:rsid w:val="6DD34202"/>
    <w:rsid w:val="6DD84DB2"/>
    <w:rsid w:val="6DE05374"/>
    <w:rsid w:val="6DFD5F26"/>
    <w:rsid w:val="6E0549CA"/>
    <w:rsid w:val="6E241705"/>
    <w:rsid w:val="6E2B2A93"/>
    <w:rsid w:val="6EBE6D82"/>
    <w:rsid w:val="6EC01CE8"/>
    <w:rsid w:val="6F1352D6"/>
    <w:rsid w:val="6F526261"/>
    <w:rsid w:val="6F991C7F"/>
    <w:rsid w:val="6FA50623"/>
    <w:rsid w:val="6FC767EC"/>
    <w:rsid w:val="6FD131C7"/>
    <w:rsid w:val="6FD26F3F"/>
    <w:rsid w:val="6FE32AAB"/>
    <w:rsid w:val="6FE5761E"/>
    <w:rsid w:val="70180D6C"/>
    <w:rsid w:val="706202C3"/>
    <w:rsid w:val="7073539A"/>
    <w:rsid w:val="70771865"/>
    <w:rsid w:val="707D6EAA"/>
    <w:rsid w:val="708F3550"/>
    <w:rsid w:val="70BD374B"/>
    <w:rsid w:val="70F3716D"/>
    <w:rsid w:val="710E21F8"/>
    <w:rsid w:val="71123A97"/>
    <w:rsid w:val="71185FB7"/>
    <w:rsid w:val="712E63F7"/>
    <w:rsid w:val="715220E5"/>
    <w:rsid w:val="71602887"/>
    <w:rsid w:val="71706A0F"/>
    <w:rsid w:val="71754026"/>
    <w:rsid w:val="71816E6E"/>
    <w:rsid w:val="71C91A73"/>
    <w:rsid w:val="71FD677A"/>
    <w:rsid w:val="721B2843"/>
    <w:rsid w:val="723A2BE4"/>
    <w:rsid w:val="72A577D6"/>
    <w:rsid w:val="72A66B8C"/>
    <w:rsid w:val="72AB13CD"/>
    <w:rsid w:val="72B34E05"/>
    <w:rsid w:val="72E651DB"/>
    <w:rsid w:val="73163E8B"/>
    <w:rsid w:val="732D2E0A"/>
    <w:rsid w:val="734273A9"/>
    <w:rsid w:val="73504D4A"/>
    <w:rsid w:val="73522870"/>
    <w:rsid w:val="73740E55"/>
    <w:rsid w:val="737A6252"/>
    <w:rsid w:val="739F6935"/>
    <w:rsid w:val="73EF6311"/>
    <w:rsid w:val="74017DF2"/>
    <w:rsid w:val="74100036"/>
    <w:rsid w:val="74253AE1"/>
    <w:rsid w:val="743106D8"/>
    <w:rsid w:val="74955D2B"/>
    <w:rsid w:val="74A215D5"/>
    <w:rsid w:val="74AF784E"/>
    <w:rsid w:val="7516591D"/>
    <w:rsid w:val="75330480"/>
    <w:rsid w:val="755B7CB2"/>
    <w:rsid w:val="75722525"/>
    <w:rsid w:val="758B02BC"/>
    <w:rsid w:val="759233F8"/>
    <w:rsid w:val="75DB4D9F"/>
    <w:rsid w:val="76004806"/>
    <w:rsid w:val="760342F6"/>
    <w:rsid w:val="7610431D"/>
    <w:rsid w:val="763044F2"/>
    <w:rsid w:val="766537ED"/>
    <w:rsid w:val="768C42EB"/>
    <w:rsid w:val="76FA21CF"/>
    <w:rsid w:val="770B3462"/>
    <w:rsid w:val="77170059"/>
    <w:rsid w:val="772B7660"/>
    <w:rsid w:val="77400C32"/>
    <w:rsid w:val="77754D7F"/>
    <w:rsid w:val="778139C7"/>
    <w:rsid w:val="77A318EC"/>
    <w:rsid w:val="77A60777"/>
    <w:rsid w:val="77C80128"/>
    <w:rsid w:val="781C0323"/>
    <w:rsid w:val="78236589"/>
    <w:rsid w:val="78872FBC"/>
    <w:rsid w:val="788E2390"/>
    <w:rsid w:val="789E013A"/>
    <w:rsid w:val="78AD248D"/>
    <w:rsid w:val="78CD2A29"/>
    <w:rsid w:val="78D56A89"/>
    <w:rsid w:val="79206F6D"/>
    <w:rsid w:val="79336085"/>
    <w:rsid w:val="795D1F6F"/>
    <w:rsid w:val="797B38AA"/>
    <w:rsid w:val="7997722F"/>
    <w:rsid w:val="79AE27CB"/>
    <w:rsid w:val="7A0B76AE"/>
    <w:rsid w:val="7A146AD1"/>
    <w:rsid w:val="7A2F56B9"/>
    <w:rsid w:val="7A4F7B0A"/>
    <w:rsid w:val="7A9E639B"/>
    <w:rsid w:val="7ACE655D"/>
    <w:rsid w:val="7AE448F9"/>
    <w:rsid w:val="7AF406B1"/>
    <w:rsid w:val="7AF62F71"/>
    <w:rsid w:val="7BA07EF1"/>
    <w:rsid w:val="7BC2255D"/>
    <w:rsid w:val="7C0D6D22"/>
    <w:rsid w:val="7C26489A"/>
    <w:rsid w:val="7C683105"/>
    <w:rsid w:val="7C844214"/>
    <w:rsid w:val="7CA852AF"/>
    <w:rsid w:val="7CEF3F9C"/>
    <w:rsid w:val="7D3D633F"/>
    <w:rsid w:val="7D513B99"/>
    <w:rsid w:val="7D6878F6"/>
    <w:rsid w:val="7D807FDA"/>
    <w:rsid w:val="7DBA60F6"/>
    <w:rsid w:val="7DD520D4"/>
    <w:rsid w:val="7DE37223"/>
    <w:rsid w:val="7DEC499A"/>
    <w:rsid w:val="7DF914EC"/>
    <w:rsid w:val="7DFF53A3"/>
    <w:rsid w:val="7E0230E5"/>
    <w:rsid w:val="7E1621A7"/>
    <w:rsid w:val="7E3F017E"/>
    <w:rsid w:val="7E512C87"/>
    <w:rsid w:val="7E5B2B33"/>
    <w:rsid w:val="7E790FBB"/>
    <w:rsid w:val="7E885398"/>
    <w:rsid w:val="7E9F26E2"/>
    <w:rsid w:val="7EAA3560"/>
    <w:rsid w:val="7EAF501B"/>
    <w:rsid w:val="7EE2719E"/>
    <w:rsid w:val="7F0C5FC9"/>
    <w:rsid w:val="7F492D2C"/>
    <w:rsid w:val="7F607653"/>
    <w:rsid w:val="7F765B38"/>
    <w:rsid w:val="7FCD2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link w:val="26"/>
    <w:qFormat/>
    <w:uiPriority w:val="0"/>
    <w:pPr>
      <w:keepNext/>
      <w:keepLines/>
      <w:autoSpaceDE w:val="0"/>
      <w:autoSpaceDN w:val="0"/>
      <w:spacing w:line="360" w:lineRule="auto"/>
      <w:jc w:val="center"/>
      <w:outlineLvl w:val="0"/>
    </w:pPr>
    <w:rPr>
      <w:rFonts w:eastAsia="仿宋"/>
      <w:b/>
      <w:snapToGrid w:val="0"/>
      <w:color w:val="000000"/>
      <w:kern w:val="44"/>
      <w:sz w:val="36"/>
      <w:szCs w:val="20"/>
    </w:rPr>
  </w:style>
  <w:style w:type="paragraph" w:styleId="3">
    <w:name w:val="heading 2"/>
    <w:basedOn w:val="1"/>
    <w:next w:val="1"/>
    <w:link w:val="29"/>
    <w:semiHidden/>
    <w:unhideWhenUsed/>
    <w:qFormat/>
    <w:uiPriority w:val="0"/>
    <w:pPr>
      <w:keepNext/>
      <w:keepLines/>
      <w:autoSpaceDE w:val="0"/>
      <w:autoSpaceDN w:val="0"/>
      <w:spacing w:line="360" w:lineRule="auto"/>
      <w:outlineLvl w:val="1"/>
    </w:pPr>
    <w:rPr>
      <w:rFonts w:ascii="Arial" w:hAnsi="Arial" w:eastAsia="仿宋" w:cs="Arial"/>
      <w:b/>
      <w:snapToGrid w:val="0"/>
      <w:color w:val="000000"/>
      <w:kern w:val="0"/>
      <w:sz w:val="28"/>
      <w:szCs w:val="20"/>
    </w:rPr>
  </w:style>
  <w:style w:type="paragraph" w:styleId="4">
    <w:name w:val="heading 3"/>
    <w:basedOn w:val="1"/>
    <w:next w:val="1"/>
    <w:link w:val="28"/>
    <w:unhideWhenUsed/>
    <w:qFormat/>
    <w:uiPriority w:val="0"/>
    <w:pPr>
      <w:keepNext/>
      <w:keepLines/>
      <w:autoSpaceDE w:val="0"/>
      <w:autoSpaceDN w:val="0"/>
      <w:spacing w:line="360" w:lineRule="auto"/>
      <w:outlineLvl w:val="2"/>
    </w:pPr>
    <w:rPr>
      <w:rFonts w:ascii="仿宋" w:hAnsi="仿宋" w:eastAsia="华文中宋"/>
      <w:b/>
      <w:szCs w:val="20"/>
      <w:u w:val="single"/>
    </w:rPr>
  </w:style>
  <w:style w:type="paragraph" w:styleId="5">
    <w:name w:val="heading 4"/>
    <w:basedOn w:val="1"/>
    <w:next w:val="1"/>
    <w:unhideWhenUsed/>
    <w:qFormat/>
    <w:uiPriority w:val="0"/>
    <w:pPr>
      <w:keepNext/>
      <w:keepLines/>
      <w:spacing w:line="360" w:lineRule="auto"/>
      <w:outlineLvl w:val="3"/>
    </w:pPr>
    <w:rPr>
      <w:rFonts w:ascii="仿宋_GB2312" w:hAnsi="仿宋_GB2312"/>
      <w:b/>
      <w:sz w:val="28"/>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cs="宋体"/>
      <w:kern w:val="0"/>
    </w:rPr>
  </w:style>
  <w:style w:type="paragraph" w:styleId="9">
    <w:name w:val="Normal Indent"/>
    <w:basedOn w:val="1"/>
    <w:qFormat/>
    <w:uiPriority w:val="0"/>
    <w:pPr>
      <w:ind w:firstLine="420" w:firstLineChars="200"/>
    </w:pPr>
  </w:style>
  <w:style w:type="paragraph" w:styleId="10">
    <w:name w:val="annotation text"/>
    <w:basedOn w:val="1"/>
    <w:qFormat/>
    <w:uiPriority w:val="99"/>
    <w:pPr>
      <w:jc w:val="left"/>
    </w:pPr>
    <w:rPr>
      <w:kern w:val="0"/>
      <w:sz w:val="20"/>
      <w:szCs w:val="20"/>
    </w:rPr>
  </w:style>
  <w:style w:type="paragraph" w:styleId="11">
    <w:name w:val="Body Text"/>
    <w:basedOn w:val="1"/>
    <w:qFormat/>
    <w:uiPriority w:val="0"/>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hAnsi="Courier New" w:cs="Courier New"/>
      <w:szCs w:val="21"/>
    </w:rPr>
  </w:style>
  <w:style w:type="paragraph" w:styleId="14">
    <w:name w:val="footer"/>
    <w:basedOn w:val="1"/>
    <w:next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Title"/>
    <w:basedOn w:val="1"/>
    <w:qFormat/>
    <w:uiPriority w:val="0"/>
    <w:pPr>
      <w:jc w:val="center"/>
      <w:outlineLvl w:val="0"/>
    </w:pPr>
    <w:rPr>
      <w:rFonts w:ascii="Arial" w:hAnsi="Arial"/>
      <w:b/>
      <w:sz w:val="32"/>
    </w:rPr>
  </w:style>
  <w:style w:type="paragraph" w:styleId="19">
    <w:name w:val="Body Text First Indent"/>
    <w:basedOn w:val="11"/>
    <w:qFormat/>
    <w:uiPriority w:val="0"/>
    <w:pPr>
      <w:ind w:left="730" w:firstLine="420" w:firstLineChars="100"/>
    </w:pPr>
    <w:rPr>
      <w:sz w:val="23"/>
      <w:szCs w:val="23"/>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99"/>
  </w:style>
  <w:style w:type="character" w:styleId="25">
    <w:name w:val="Hyperlink"/>
    <w:unhideWhenUsed/>
    <w:qFormat/>
    <w:uiPriority w:val="99"/>
    <w:rPr>
      <w:color w:val="0000FF"/>
      <w:u w:val="single"/>
    </w:rPr>
  </w:style>
  <w:style w:type="character" w:customStyle="1" w:styleId="26">
    <w:name w:val="标题 1 Char"/>
    <w:basedOn w:val="22"/>
    <w:link w:val="2"/>
    <w:qFormat/>
    <w:uiPriority w:val="0"/>
    <w:rPr>
      <w:rFonts w:ascii="宋体" w:hAnsi="宋体" w:eastAsia="仿宋" w:cs="Times New Roman"/>
      <w:b/>
      <w:snapToGrid w:val="0"/>
      <w:color w:val="000000"/>
      <w:kern w:val="44"/>
      <w:sz w:val="32"/>
      <w:szCs w:val="20"/>
    </w:rPr>
  </w:style>
  <w:style w:type="character" w:customStyle="1" w:styleId="27">
    <w:name w:val="标题 2 Char"/>
    <w:link w:val="3"/>
    <w:qFormat/>
    <w:locked/>
    <w:uiPriority w:val="99"/>
    <w:rPr>
      <w:rFonts w:ascii="Cambria" w:hAnsi="Cambria"/>
      <w:b/>
      <w:bCs/>
      <w:kern w:val="0"/>
      <w:sz w:val="32"/>
      <w:szCs w:val="32"/>
    </w:rPr>
  </w:style>
  <w:style w:type="character" w:customStyle="1" w:styleId="28">
    <w:name w:val="标题 3 Char"/>
    <w:basedOn w:val="22"/>
    <w:link w:val="4"/>
    <w:qFormat/>
    <w:uiPriority w:val="9"/>
    <w:rPr>
      <w:rFonts w:ascii="仿宋" w:hAnsi="仿宋" w:eastAsia="华文中宋" w:cs="Times New Roman"/>
      <w:b/>
      <w:sz w:val="24"/>
      <w:szCs w:val="20"/>
      <w:u w:val="single"/>
    </w:rPr>
  </w:style>
  <w:style w:type="character" w:customStyle="1" w:styleId="29">
    <w:name w:val="标题 2 字符1"/>
    <w:link w:val="3"/>
    <w:qFormat/>
    <w:uiPriority w:val="0"/>
    <w:rPr>
      <w:rFonts w:ascii="Arial" w:hAnsi="Arial" w:eastAsia="华文中宋" w:cs="Arial"/>
      <w:b/>
      <w:snapToGrid w:val="0"/>
      <w:color w:val="000000"/>
      <w:kern w:val="0"/>
      <w:sz w:val="30"/>
      <w:szCs w:val="20"/>
    </w:rPr>
  </w:style>
  <w:style w:type="paragraph" w:customStyle="1" w:styleId="3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ull3"/>
    <w:qFormat/>
    <w:uiPriority w:val="0"/>
    <w:rPr>
      <w:rFonts w:hint="eastAsia" w:ascii="Calibri" w:hAnsi="Calibri" w:eastAsia="宋体" w:cs="Times New Roman"/>
      <w:lang w:val="en-US" w:eastAsia="zh-CN" w:bidi="ar-SA"/>
    </w:rPr>
  </w:style>
  <w:style w:type="paragraph" w:customStyle="1" w:styleId="32">
    <w:name w:val="样式1"/>
    <w:basedOn w:val="1"/>
    <w:qFormat/>
    <w:uiPriority w:val="0"/>
    <w:pPr>
      <w:jc w:val="center"/>
    </w:pPr>
    <w:rPr>
      <w:rFonts w:eastAsia="方正大标宋简体"/>
      <w:sz w:val="52"/>
    </w:rPr>
  </w:style>
  <w:style w:type="paragraph" w:customStyle="1" w:styleId="3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34">
    <w:name w:val="列出段落3"/>
    <w:basedOn w:val="1"/>
    <w:unhideWhenUsed/>
    <w:qFormat/>
    <w:uiPriority w:val="99"/>
    <w:pPr>
      <w:ind w:firstLine="420" w:firstLineChars="200"/>
    </w:p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1630</Words>
  <Characters>1837</Characters>
  <Lines>47</Lines>
  <Paragraphs>91</Paragraphs>
  <TotalTime>292</TotalTime>
  <ScaleCrop>false</ScaleCrop>
  <LinksUpToDate>false</LinksUpToDate>
  <CharactersWithSpaces>1889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2024-04-16T01:16:00Z</dcterms:created>
  <dc:creator>中采招标</dc:creator>
  <cp:lastModifiedBy>李亚东</cp:lastModifiedBy>
  <cp:lastPrinted>2025-08-08T01:42:00Z</cp:lastPrinted>
  <dcterms:modified xsi:type="dcterms:W3CDTF">2025-08-15T03:31:08Z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DD0B8F03EF4C4FB68D5F05456BAE9B45_13</vt:lpwstr>
  </property>
  <property fmtid="{D5CDD505-2E9C-101B-9397-08002B2CF9AE}" pid="4" name="KSOTemplateDocerSaveRecord">
    <vt:lpwstr>eyJoZGlkIjoiMjgzZjFjOTI3YjE3MmFmNmI4ZTViNWRjZTRlNTRmMWUiLCJ1c2VySWQiOiI0Mzg5NTk5OTIifQ==</vt:lpwstr>
  </property>
</Properties>
</file>