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4"/>
        <w:tblpPr w:leftFromText="180" w:rightFromText="180" w:vertAnchor="page" w:horzAnchor="margin" w:tblpXSpec="center" w:tblpY="22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</w:rPr>
        <w:t>国家税务总局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  <w:lang w:val="en-US" w:eastAsia="zh-CN"/>
        </w:rPr>
        <w:t>鄂州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</w:rPr>
        <w:t>市税务局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  <w:lang w:eastAsia="zh-CN"/>
        </w:rPr>
        <w:t>临空经济区税务分局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</w:rPr>
        <w:t>政府信息公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6"/>
          <w:szCs w:val="36"/>
          <w:lang w:eastAsia="zh-CN"/>
        </w:rPr>
        <w:t>开申请表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07E05528"/>
    <w:rsid w:val="1F3F7570"/>
    <w:rsid w:val="202F0B07"/>
    <w:rsid w:val="271A505C"/>
    <w:rsid w:val="78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4</TotalTime>
  <ScaleCrop>false</ScaleCrop>
  <LinksUpToDate>false</LinksUpToDate>
  <CharactersWithSpaces>352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程念如</cp:lastModifiedBy>
  <cp:lastPrinted>2017-09-18T07:39:00Z</cp:lastPrinted>
  <dcterms:modified xsi:type="dcterms:W3CDTF">2025-07-09T02:41:02Z</dcterms:modified>
  <dc:title>政府信息公开申请文书及表格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