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6E6E6" w:sz="4" w:space="0"/>
          <w:right w:val="none" w:color="auto" w:sz="0" w:space="0"/>
        </w:pBdr>
        <w:shd w:val="clear" w:fill="FFFFFF"/>
        <w:spacing w:before="0" w:beforeAutospacing="0" w:after="0" w:afterAutospacing="0" w:line="53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税务检查频次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43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一税务机关年度内对同一户纳税人税务检查原则上不超过一次，根据投诉举报、转办交办、风险扫描等掌握新的涉税违法线索、再次发现税款流失风险，或者需要执行国际条约、审计调查取证、异地协助调查等情形实施行政检查的除外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62B9A"/>
    <w:rsid w:val="4433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2025-07-01T02:10:00Z</dcterms:created>
  <dc:creator>Administrator</dc:creator>
  <cp:lastModifiedBy>熊艳丽</cp:lastModifiedBy>
  <dcterms:modified xsi:type="dcterms:W3CDTF">2025-07-01T03:41:39Z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eyJoZGlkIjoiM2YwMzA1YWJhMTU5NWU3NTBkMjFjZDRhYzMyMzU3ZmUifQ==</vt:lpwstr>
  </property>
  <property fmtid="{D5CDD505-2E9C-101B-9397-08002B2CF9AE}" pid="4" name="ICV">
    <vt:lpwstr>C080872D0A8A40AD8E669C4167CEB545_12</vt:lpwstr>
  </property>
</Properties>
</file>