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4AA6">
      <w:pPr>
        <w:pStyle w:val="19"/>
        <w:jc w:val="both"/>
        <w:rPr>
          <w:rFonts w:hint="eastAsia" w:ascii="黑体" w:hAnsi="黑体" w:eastAsia="黑体" w:cs="黑体"/>
          <w:sz w:val="36"/>
          <w:szCs w:val="36"/>
          <w:lang w:eastAsia="zh-CN"/>
        </w:rPr>
      </w:pPr>
      <w:r>
        <w:rPr>
          <w:rFonts w:hint="eastAsia" w:ascii="黑体" w:hAnsi="黑体" w:eastAsia="黑体" w:cs="黑体"/>
          <w:sz w:val="36"/>
          <w:szCs w:val="36"/>
          <w:lang w:eastAsia="zh-CN"/>
        </w:rPr>
        <w:t>“开业第一课”温馨提醒之新办纳税人这些事项必知</w:t>
      </w:r>
    </w:p>
    <w:p w14:paraId="32DDEA09">
      <w:pPr>
        <w:pStyle w:val="19"/>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为深入推进“便民办税春风行动”，持续优化税收营商环境，帮助新办纳税人稳健迈出“开业第一步”，国家税务总局鄂州市税务局梳理了新办纳税人必知事项，请您查收！</w:t>
      </w:r>
    </w:p>
    <w:p w14:paraId="3B518546">
      <w:pPr>
        <w:pStyle w:val="19"/>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新办</w:t>
      </w:r>
      <w:r>
        <w:rPr>
          <w:rFonts w:hint="eastAsia" w:ascii="黑体" w:hAnsi="黑体" w:eastAsia="黑体" w:cs="黑体"/>
          <w:sz w:val="32"/>
          <w:szCs w:val="32"/>
          <w:lang w:eastAsia="zh-CN"/>
        </w:rPr>
        <w:t>纳税人开业事项办理指引</w:t>
      </w:r>
    </w:p>
    <w:p w14:paraId="0B58CDCA">
      <w:pPr>
        <w:pStyle w:val="19"/>
        <w:ind w:firstLine="640" w:firstLineChars="200"/>
        <w:jc w:val="both"/>
        <w:rPr>
          <w:rFonts w:hint="eastAsia" w:ascii="仿宋" w:hAnsi="仿宋" w:eastAsia="仿宋" w:cs="仿宋"/>
          <w:sz w:val="32"/>
          <w:szCs w:val="32"/>
        </w:rPr>
      </w:pPr>
      <w:r>
        <w:rPr>
          <w:rFonts w:hint="eastAsia" w:ascii="仿宋" w:hAnsi="仿宋" w:eastAsia="仿宋" w:cs="仿宋"/>
          <w:sz w:val="32"/>
          <w:szCs w:val="32"/>
        </w:rPr>
        <w:t>纳税人在市场监督管理部门设立登记后，可通过</w:t>
      </w:r>
      <w:r>
        <w:rPr>
          <w:rFonts w:hint="eastAsia" w:ascii="仿宋" w:hAnsi="仿宋" w:eastAsia="仿宋" w:cs="仿宋"/>
          <w:sz w:val="32"/>
          <w:szCs w:val="32"/>
          <w:lang w:eastAsia="zh-CN"/>
        </w:rPr>
        <w:t>湖北省</w:t>
      </w:r>
      <w:r>
        <w:rPr>
          <w:rFonts w:hint="eastAsia" w:ascii="仿宋" w:hAnsi="仿宋" w:eastAsia="仿宋" w:cs="仿宋"/>
          <w:sz w:val="32"/>
          <w:szCs w:val="32"/>
        </w:rPr>
        <w:t>电子税务局办理相关涉税事项。</w:t>
      </w:r>
    </w:p>
    <w:p w14:paraId="679392C4">
      <w:pPr>
        <w:pStyle w:val="19"/>
        <w:numPr>
          <w:ilvl w:val="0"/>
          <w:numId w:val="0"/>
        </w:num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（一）智能开业</w:t>
      </w:r>
    </w:p>
    <w:p w14:paraId="405D0F76">
      <w:pPr>
        <w:pStyle w:val="19"/>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在市场监督管理部门办理统一社会信用代码注册登记的纳税人，符合智能开业条件的，会收到短信并告知账号密码。法定代表人或财务负责人以“企业业务”身份登录</w:t>
      </w:r>
      <w:r>
        <w:rPr>
          <w:rFonts w:hint="eastAsia" w:ascii="仿宋" w:hAnsi="仿宋" w:eastAsia="仿宋" w:cs="仿宋"/>
          <w:sz w:val="32"/>
          <w:szCs w:val="32"/>
          <w:lang w:eastAsia="zh-CN"/>
        </w:rPr>
        <w:t>湖北省</w:t>
      </w:r>
      <w:r>
        <w:rPr>
          <w:rFonts w:hint="eastAsia" w:ascii="仿宋" w:hAnsi="仿宋" w:eastAsia="仿宋" w:cs="仿宋"/>
          <w:sz w:val="32"/>
          <w:szCs w:val="32"/>
        </w:rPr>
        <w:t>电子税务局，根据系统弹出的“新办智能开业”服务提醒对纳税人基本信息、地址信息等预填信息进行确认。</w:t>
      </w:r>
    </w:p>
    <w:p w14:paraId="00116F61">
      <w:pPr>
        <w:pStyle w:val="19"/>
        <w:numPr>
          <w:ilvl w:val="0"/>
          <w:numId w:val="0"/>
        </w:num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一般开业</w:t>
      </w:r>
    </w:p>
    <w:p w14:paraId="515620CE">
      <w:pPr>
        <w:pStyle w:val="19"/>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不符合智能开业的，</w:t>
      </w:r>
      <w:r>
        <w:rPr>
          <w:rFonts w:hint="eastAsia" w:ascii="仿宋" w:hAnsi="仿宋" w:eastAsia="仿宋" w:cs="仿宋"/>
          <w:sz w:val="32"/>
          <w:szCs w:val="32"/>
        </w:rPr>
        <w:t>法定代表人或财务负责人以“自然人业务”身份登录电子税务局，点击“我要办税”</w:t>
      </w:r>
      <w:r>
        <w:rPr>
          <w:rFonts w:hint="eastAsia" w:ascii="仿宋" w:hAnsi="仿宋" w:eastAsia="仿宋" w:cs="仿宋"/>
          <w:sz w:val="32"/>
          <w:szCs w:val="32"/>
          <w:lang w:eastAsia="zh-CN"/>
        </w:rPr>
        <w:t>—</w:t>
      </w:r>
      <w:r>
        <w:rPr>
          <w:rFonts w:hint="eastAsia" w:ascii="仿宋" w:hAnsi="仿宋" w:eastAsia="仿宋" w:cs="仿宋"/>
          <w:sz w:val="32"/>
          <w:szCs w:val="32"/>
        </w:rPr>
        <w:t>“综合信息报告”</w:t>
      </w:r>
      <w:r>
        <w:rPr>
          <w:rFonts w:hint="eastAsia" w:ascii="仿宋" w:hAnsi="仿宋" w:eastAsia="仿宋" w:cs="仿宋"/>
          <w:sz w:val="32"/>
          <w:szCs w:val="32"/>
          <w:lang w:eastAsia="zh-CN"/>
        </w:rPr>
        <w:t>—</w:t>
      </w:r>
      <w:r>
        <w:rPr>
          <w:rFonts w:hint="eastAsia" w:ascii="仿宋" w:hAnsi="仿宋" w:eastAsia="仿宋" w:cs="仿宋"/>
          <w:sz w:val="32"/>
          <w:szCs w:val="32"/>
        </w:rPr>
        <w:t>“新办纳税人开业”，根据系统要求完成信息确认。</w:t>
      </w:r>
    </w:p>
    <w:p w14:paraId="78D04D79">
      <w:pPr>
        <w:pStyle w:val="19"/>
        <w:numPr>
          <w:ilvl w:val="0"/>
          <w:numId w:val="0"/>
        </w:num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套餐</w:t>
      </w:r>
      <w:r>
        <w:rPr>
          <w:rFonts w:hint="eastAsia" w:ascii="仿宋" w:hAnsi="仿宋" w:eastAsia="仿宋" w:cs="仿宋"/>
          <w:b/>
          <w:bCs/>
          <w:sz w:val="32"/>
          <w:szCs w:val="32"/>
          <w:lang w:eastAsia="zh-CN"/>
        </w:rPr>
        <w:t>式服务</w:t>
      </w:r>
    </w:p>
    <w:p w14:paraId="6E180309">
      <w:pPr>
        <w:pStyle w:val="19"/>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新办开业完成后，您可以继续在电子税务局办理新办纳税人套餐业务。</w:t>
      </w:r>
    </w:p>
    <w:p w14:paraId="6E297EEE">
      <w:pPr>
        <w:pStyle w:val="19"/>
        <w:numPr>
          <w:ilvl w:val="0"/>
          <w:numId w:val="0"/>
        </w:num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什么是新办纳税人“套餐式”服务？</w:t>
      </w:r>
    </w:p>
    <w:p w14:paraId="6BEFCD34">
      <w:pPr>
        <w:pStyle w:val="19"/>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新办纳税人“套餐式”服务，是税务机关按照《国家税务总局关于转变税收征管方式提高征管效能的指导意见》（税总发〔2017〕45号）精神，在确保税收风险可控的基础上，依托网上办税服务厅，实现新办纳税人法定义务事项和首次领用发票相关办税事项一并办理，建立集中处理涉税事项的“套餐式”服务模式。</w:t>
      </w:r>
    </w:p>
    <w:p w14:paraId="6E54E506">
      <w:pPr>
        <w:pStyle w:val="19"/>
        <w:numPr>
          <w:ilvl w:val="0"/>
          <w:numId w:val="0"/>
        </w:num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新办纳税人“套餐式”服务有哪些内容？</w:t>
      </w:r>
    </w:p>
    <w:p w14:paraId="305178FD">
      <w:pPr>
        <w:pStyle w:val="19"/>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新办纳税人“套餐式”服务一般包括以下涉税事项：（</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）登记信息确认；（</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）税种认定；（</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）财务会计制度及核算软件备案；（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）存款账户账号报告；（</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）增值税一般纳税人登记；（</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）发票票种核定；（</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）发票赋额（核定使用数电票的纳税人办理开业时，电子发票服务平台自动赋予当月发票可开具金额上限额度，实现“开业即可开票”，无需额外申请领用）；（</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）实名办税信息采集；（</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）银税三方（委托）划缴协议；（</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）电子税务局注册辅导。</w:t>
      </w:r>
    </w:p>
    <w:p w14:paraId="2A474E16">
      <w:pPr>
        <w:pStyle w:val="19"/>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关于以上新办涉税事项，您可以一次性集成办理，也可以根据需要先后办理。</w:t>
      </w:r>
    </w:p>
    <w:p w14:paraId="24121496">
      <w:pPr>
        <w:pStyle w:val="19"/>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二、“我要办”——</w:t>
      </w:r>
      <w:r>
        <w:rPr>
          <w:rFonts w:hint="eastAsia" w:ascii="黑体" w:hAnsi="黑体" w:eastAsia="黑体" w:cs="黑体"/>
          <w:sz w:val="32"/>
          <w:szCs w:val="32"/>
        </w:rPr>
        <w:t>常用</w:t>
      </w:r>
      <w:r>
        <w:rPr>
          <w:rFonts w:hint="eastAsia" w:ascii="黑体" w:hAnsi="黑体" w:eastAsia="黑体" w:cs="黑体"/>
          <w:sz w:val="32"/>
          <w:szCs w:val="32"/>
          <w:lang w:eastAsia="zh-CN"/>
        </w:rPr>
        <w:t>税费办理</w:t>
      </w:r>
      <w:r>
        <w:rPr>
          <w:rFonts w:hint="eastAsia" w:ascii="黑体" w:hAnsi="黑体" w:eastAsia="黑体" w:cs="黑体"/>
          <w:sz w:val="32"/>
          <w:szCs w:val="32"/>
        </w:rPr>
        <w:t>渠道有哪些？</w:t>
      </w:r>
    </w:p>
    <w:p w14:paraId="0AFCE8C8">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（一）湖北省</w:t>
      </w:r>
      <w:r>
        <w:rPr>
          <w:rFonts w:hint="eastAsia" w:ascii="仿宋" w:hAnsi="仿宋" w:eastAsia="仿宋" w:cs="仿宋"/>
          <w:b/>
          <w:bCs/>
          <w:sz w:val="32"/>
          <w:szCs w:val="32"/>
        </w:rPr>
        <w:t>电子税务局</w:t>
      </w:r>
    </w:p>
    <w:p w14:paraId="7F1DE8E0">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湖北省</w:t>
      </w:r>
      <w:r>
        <w:rPr>
          <w:rFonts w:hint="eastAsia" w:ascii="仿宋" w:hAnsi="仿宋" w:eastAsia="仿宋" w:cs="仿宋"/>
          <w:sz w:val="32"/>
          <w:szCs w:val="32"/>
        </w:rPr>
        <w:t>电子税务局</w:t>
      </w:r>
      <w:r>
        <w:rPr>
          <w:rFonts w:hint="eastAsia" w:ascii="仿宋" w:hAnsi="仿宋" w:eastAsia="仿宋" w:cs="仿宋"/>
          <w:sz w:val="32"/>
          <w:szCs w:val="32"/>
          <w:lang w:eastAsia="zh-CN"/>
        </w:rPr>
        <w:t>网址：</w:t>
      </w:r>
    </w:p>
    <w:p w14:paraId="3521193E">
      <w:pPr>
        <w:pStyle w:val="19"/>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"https://etax.hubei.chinatax.gov.cn/portal/" </w:instrText>
      </w:r>
      <w:r>
        <w:rPr>
          <w:rFonts w:hint="eastAsia" w:ascii="仿宋" w:hAnsi="仿宋" w:eastAsia="仿宋" w:cs="仿宋"/>
          <w:sz w:val="32"/>
          <w:szCs w:val="32"/>
        </w:rPr>
        <w:fldChar w:fldCharType="separate"/>
      </w:r>
      <w:r>
        <w:rPr>
          <w:rStyle w:val="136"/>
          <w:rFonts w:hint="eastAsia" w:ascii="仿宋" w:hAnsi="仿宋" w:eastAsia="仿宋" w:cs="仿宋"/>
          <w:sz w:val="32"/>
          <w:szCs w:val="32"/>
        </w:rPr>
        <w:t>https://etax.hubei.chinatax.gov.cn/</w:t>
      </w:r>
      <w:r>
        <w:rPr>
          <w:rStyle w:val="136"/>
          <w:rFonts w:hint="eastAsia" w:ascii="仿宋" w:hAnsi="仿宋" w:eastAsia="仿宋" w:cs="仿宋"/>
          <w:sz w:val="32"/>
          <w:szCs w:val="32"/>
          <w:lang w:val="en-US" w:eastAsia="zh-CN"/>
        </w:rPr>
        <w:t>portal/</w:t>
      </w:r>
      <w:r>
        <w:rPr>
          <w:rFonts w:hint="eastAsia" w:ascii="仿宋" w:hAnsi="仿宋" w:eastAsia="仿宋" w:cs="仿宋"/>
          <w:sz w:val="32"/>
          <w:szCs w:val="32"/>
        </w:rPr>
        <w:fldChar w:fldCharType="end"/>
      </w:r>
    </w:p>
    <w:p w14:paraId="7DA9A816">
      <w:pPr>
        <w:pStyle w:val="19"/>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湖北省</w:t>
      </w:r>
      <w:r>
        <w:rPr>
          <w:rFonts w:hint="eastAsia" w:ascii="仿宋" w:hAnsi="仿宋" w:eastAsia="仿宋" w:cs="仿宋"/>
          <w:sz w:val="32"/>
          <w:szCs w:val="32"/>
          <w:lang w:val="en-US" w:eastAsia="zh-CN"/>
        </w:rPr>
        <w:t>电子税务局APP（扫码下载）：</w:t>
      </w:r>
      <w:r>
        <w:rPr>
          <w:rFonts w:hint="default" w:ascii="仿宋" w:hAnsi="仿宋" w:eastAsia="仿宋" w:cs="仿宋"/>
          <w:sz w:val="32"/>
          <w:szCs w:val="32"/>
          <w:lang w:val="en-US" w:eastAsia="zh-CN"/>
        </w:rPr>
        <w:drawing>
          <wp:inline distT="0" distB="0" distL="114300" distR="114300">
            <wp:extent cx="942975" cy="942975"/>
            <wp:effectExtent l="0" t="0" r="9525" b="9525"/>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6"/>
                    <a:stretch>
                      <a:fillRect/>
                    </a:stretch>
                  </pic:blipFill>
                  <pic:spPr>
                    <a:xfrm>
                      <a:off x="0" y="0"/>
                      <a:ext cx="942975" cy="942975"/>
                    </a:xfrm>
                    <a:prstGeom prst="rect">
                      <a:avLst/>
                    </a:prstGeom>
                  </pic:spPr>
                </pic:pic>
              </a:graphicData>
            </a:graphic>
          </wp:inline>
        </w:drawing>
      </w:r>
    </w:p>
    <w:p w14:paraId="70E3640C">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湖北省</w:t>
      </w:r>
      <w:r>
        <w:rPr>
          <w:rFonts w:hint="eastAsia" w:ascii="仿宋" w:hAnsi="仿宋" w:eastAsia="仿宋" w:cs="仿宋"/>
          <w:sz w:val="32"/>
          <w:szCs w:val="32"/>
        </w:rPr>
        <w:t>电子税务局上，您可以办理信息报告、发票业务、申报纳税、税收优惠等一系列高频事项，还能查看线上办税的进度和结果、申报及缴纳等信息。</w:t>
      </w:r>
    </w:p>
    <w:p w14:paraId="0CFAD020">
      <w:pPr>
        <w:pStyle w:val="19"/>
        <w:ind w:firstLine="640" w:firstLineChars="200"/>
        <w:rPr>
          <w:rFonts w:ascii="宋体" w:hAnsi="宋体" w:eastAsia="宋体" w:cs="宋体"/>
          <w:kern w:val="0"/>
          <w:sz w:val="24"/>
          <w:szCs w:val="24"/>
          <w:lang w:val="en-US" w:eastAsia="zh-CN" w:bidi="ar"/>
        </w:rPr>
      </w:pPr>
      <w:r>
        <w:rPr>
          <w:rFonts w:hint="eastAsia" w:ascii="仿宋" w:hAnsi="仿宋" w:eastAsia="仿宋" w:cs="仿宋"/>
          <w:sz w:val="32"/>
          <w:szCs w:val="32"/>
          <w:lang w:eastAsia="zh-CN"/>
        </w:rPr>
        <w:t>湖北省</w:t>
      </w:r>
      <w:r>
        <w:rPr>
          <w:rFonts w:hint="eastAsia" w:ascii="仿宋" w:hAnsi="仿宋" w:eastAsia="仿宋" w:cs="仿宋"/>
          <w:sz w:val="32"/>
          <w:szCs w:val="32"/>
          <w:lang w:val="en-US" w:eastAsia="zh-CN"/>
        </w:rPr>
        <w:t>电子税务局业务办理指南和操作视频答疑，可扫码获取。</w:t>
      </w:r>
      <w:r>
        <w:rPr>
          <w:rFonts w:hint="eastAsia" w:ascii="仿宋" w:hAnsi="仿宋" w:eastAsia="仿宋" w:cs="仿宋"/>
          <w:sz w:val="32"/>
          <w:szCs w:val="32"/>
          <w:lang w:val="en-US" w:eastAsia="zh-CN"/>
        </w:rPr>
        <w:br w:type="textWrapping"/>
      </w:r>
      <w:r>
        <w:rPr>
          <w:rFonts w:ascii="宋体" w:hAnsi="宋体" w:eastAsia="宋体" w:cs="宋体"/>
          <w:kern w:val="0"/>
          <w:sz w:val="24"/>
          <w:szCs w:val="24"/>
          <w:lang w:val="en-US" w:eastAsia="zh-CN" w:bidi="ar"/>
        </w:rPr>
        <w:drawing>
          <wp:inline distT="0" distB="0" distL="114300" distR="114300">
            <wp:extent cx="1704975" cy="17049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1704975" cy="1704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eastAsia" w:ascii="仿宋" w:hAnsi="仿宋" w:eastAsia="仿宋" w:cs="仿宋"/>
          <w:sz w:val="32"/>
          <w:szCs w:val="32"/>
          <w:lang w:val="en-US" w:eastAsia="zh-CN"/>
        </w:rPr>
        <w:t>业务办理指南</w:t>
      </w:r>
      <w:r>
        <w:rPr>
          <w:rFonts w:hint="eastAsia" w:ascii="宋体" w:hAnsi="宋体" w:eastAsia="宋体" w:cs="宋体"/>
          <w:kern w:val="0"/>
          <w:sz w:val="24"/>
          <w:szCs w:val="24"/>
          <w:lang w:val="en-US" w:eastAsia="zh-CN" w:bidi="ar"/>
        </w:rPr>
        <w:t>）</w:t>
      </w:r>
    </w:p>
    <w:p w14:paraId="404120F8">
      <w:pPr>
        <w:pStyle w:val="1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677035" cy="1677035"/>
            <wp:effectExtent l="0" t="0" r="18415" b="1841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8"/>
                    <a:stretch>
                      <a:fillRect/>
                    </a:stretch>
                  </pic:blipFill>
                  <pic:spPr>
                    <a:xfrm>
                      <a:off x="0" y="0"/>
                      <a:ext cx="1677035" cy="167703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eastAsia" w:ascii="仿宋" w:hAnsi="仿宋" w:eastAsia="仿宋" w:cs="仿宋"/>
          <w:sz w:val="32"/>
          <w:szCs w:val="32"/>
          <w:lang w:val="en-US" w:eastAsia="zh-CN"/>
        </w:rPr>
        <w:t>操作视频答疑</w:t>
      </w:r>
      <w:r>
        <w:rPr>
          <w:rFonts w:hint="eastAsia" w:ascii="宋体" w:hAnsi="宋体" w:eastAsia="宋体" w:cs="宋体"/>
          <w:kern w:val="0"/>
          <w:sz w:val="24"/>
          <w:szCs w:val="24"/>
          <w:lang w:val="en-US" w:eastAsia="zh-CN" w:bidi="ar"/>
        </w:rPr>
        <w:t>）</w:t>
      </w:r>
    </w:p>
    <w:p w14:paraId="19AB6DCD">
      <w:pPr>
        <w:pStyle w:val="30"/>
        <w:keepNext w:val="0"/>
        <w:keepLines w:val="0"/>
        <w:widowControl/>
        <w:suppressLineNumbers w:val="0"/>
        <w:spacing w:line="420" w:lineRule="atLeast"/>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SA"/>
        </w:rPr>
        <w:t>您还可以</w:t>
      </w:r>
      <w:r>
        <w:rPr>
          <w:rFonts w:hint="eastAsia" w:ascii="仿宋" w:hAnsi="仿宋" w:eastAsia="仿宋" w:cs="仿宋"/>
          <w:kern w:val="0"/>
          <w:sz w:val="32"/>
          <w:szCs w:val="32"/>
          <w:lang w:val="en-US" w:eastAsia="en-US" w:bidi="ar-SA"/>
        </w:rPr>
        <w:t>关注“湖北税务”“</w:t>
      </w:r>
      <w:r>
        <w:rPr>
          <w:rFonts w:hint="eastAsia" w:ascii="仿宋" w:hAnsi="仿宋" w:eastAsia="仿宋" w:cs="仿宋"/>
          <w:kern w:val="0"/>
          <w:sz w:val="32"/>
          <w:szCs w:val="32"/>
          <w:lang w:val="en-US" w:eastAsia="zh-CN" w:bidi="ar-SA"/>
        </w:rPr>
        <w:t>鄂州</w:t>
      </w:r>
      <w:r>
        <w:rPr>
          <w:rFonts w:hint="eastAsia" w:ascii="仿宋" w:hAnsi="仿宋" w:eastAsia="仿宋" w:cs="仿宋"/>
          <w:kern w:val="0"/>
          <w:sz w:val="32"/>
          <w:szCs w:val="32"/>
          <w:lang w:val="en-US" w:eastAsia="en-US" w:bidi="ar-SA"/>
        </w:rPr>
        <w:t>税务”微信公众号，</w:t>
      </w:r>
      <w:r>
        <w:rPr>
          <w:rFonts w:hint="eastAsia" w:ascii="仿宋" w:hAnsi="仿宋" w:eastAsia="仿宋" w:cs="仿宋"/>
          <w:kern w:val="0"/>
          <w:sz w:val="32"/>
          <w:szCs w:val="32"/>
          <w:lang w:val="en-US" w:eastAsia="zh-CN" w:bidi="ar-SA"/>
        </w:rPr>
        <w:t>可</w:t>
      </w:r>
      <w:r>
        <w:rPr>
          <w:rFonts w:hint="eastAsia" w:ascii="仿宋" w:hAnsi="仿宋" w:eastAsia="仿宋" w:cs="仿宋"/>
          <w:kern w:val="0"/>
          <w:sz w:val="32"/>
          <w:szCs w:val="32"/>
          <w:lang w:val="en-US" w:eastAsia="en-US" w:bidi="ar-SA"/>
        </w:rPr>
        <w:t>根据需要搜索所需办理指南，如：“数电票”“新电局”</w:t>
      </w:r>
      <w:r>
        <w:rPr>
          <w:rFonts w:hint="eastAsia" w:ascii="仿宋" w:hAnsi="仿宋" w:eastAsia="仿宋" w:cs="仿宋"/>
          <w:kern w:val="0"/>
          <w:sz w:val="32"/>
          <w:szCs w:val="32"/>
          <w:lang w:val="en-US" w:eastAsia="zh-CN" w:bidi="ar-SA"/>
        </w:rPr>
        <w:t>“开业第一课”</w:t>
      </w:r>
      <w:r>
        <w:rPr>
          <w:rFonts w:hint="eastAsia" w:ascii="仿宋" w:hAnsi="仿宋" w:eastAsia="仿宋" w:cs="仿宋"/>
          <w:kern w:val="0"/>
          <w:sz w:val="32"/>
          <w:szCs w:val="32"/>
          <w:lang w:val="en-US" w:eastAsia="en-US" w:bidi="ar-SA"/>
        </w:rPr>
        <w:t>等。</w:t>
      </w:r>
    </w:p>
    <w:p w14:paraId="3723A9D0">
      <w:pPr>
        <w:pStyle w:val="19"/>
        <w:numPr>
          <w:ilvl w:val="0"/>
          <w:numId w:val="7"/>
        </w:numPr>
        <w:ind w:left="66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自然人电子税务局</w:t>
      </w:r>
    </w:p>
    <w:p w14:paraId="5ED0E286">
      <w:pPr>
        <w:pStyle w:val="19"/>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自然人电子税务局</w:t>
      </w:r>
      <w:r>
        <w:rPr>
          <w:rFonts w:hint="eastAsia" w:ascii="仿宋" w:hAnsi="仿宋" w:eastAsia="仿宋" w:cs="仿宋"/>
          <w:sz w:val="32"/>
          <w:szCs w:val="32"/>
        </w:rPr>
        <w:t>网址：</w:t>
      </w:r>
    </w:p>
    <w:p w14:paraId="3BE4D305">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"https://etax.chinatax.gov.cn" </w:instrText>
      </w:r>
      <w:r>
        <w:rPr>
          <w:rFonts w:hint="eastAsia" w:ascii="仿宋" w:hAnsi="仿宋" w:eastAsia="仿宋" w:cs="仿宋"/>
          <w:sz w:val="32"/>
          <w:szCs w:val="32"/>
        </w:rPr>
        <w:fldChar w:fldCharType="separate"/>
      </w:r>
      <w:r>
        <w:rPr>
          <w:rStyle w:val="136"/>
          <w:rFonts w:hint="eastAsia" w:ascii="仿宋" w:hAnsi="仿宋" w:eastAsia="仿宋" w:cs="仿宋"/>
          <w:sz w:val="32"/>
          <w:szCs w:val="32"/>
        </w:rPr>
        <w:t>https://etax.chinatax.gov.cn</w:t>
      </w:r>
      <w:r>
        <w:rPr>
          <w:rFonts w:hint="eastAsia" w:ascii="仿宋" w:hAnsi="仿宋" w:eastAsia="仿宋" w:cs="仿宋"/>
          <w:sz w:val="32"/>
          <w:szCs w:val="32"/>
        </w:rPr>
        <w:fldChar w:fldCharType="end"/>
      </w:r>
    </w:p>
    <w:p w14:paraId="0FB6F1AD">
      <w:pPr>
        <w:pStyle w:val="19"/>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电脑</w:t>
      </w:r>
      <w:r>
        <w:rPr>
          <w:rFonts w:hint="eastAsia" w:ascii="仿宋" w:hAnsi="仿宋" w:eastAsia="仿宋" w:cs="仿宋"/>
          <w:sz w:val="32"/>
          <w:szCs w:val="32"/>
          <w:lang w:val="en-US" w:eastAsia="zh-CN"/>
        </w:rPr>
        <w:t>PC端安装软件：</w:t>
      </w:r>
      <w:r>
        <w:rPr>
          <w:rFonts w:hint="eastAsia" w:ascii="仿宋" w:hAnsi="仿宋" w:eastAsia="仿宋" w:cs="仿宋"/>
          <w:sz w:val="32"/>
          <w:szCs w:val="32"/>
        </w:rPr>
        <w:t>您可以通过“自然人电子税务局网站</w:t>
      </w:r>
      <w:r>
        <w:rPr>
          <w:rFonts w:hint="eastAsia" w:ascii="仿宋" w:hAnsi="仿宋" w:eastAsia="仿宋" w:cs="仿宋"/>
          <w:sz w:val="32"/>
          <w:szCs w:val="32"/>
          <w:lang w:eastAsia="zh-CN"/>
        </w:rPr>
        <w:t>—</w:t>
      </w:r>
      <w:r>
        <w:rPr>
          <w:rFonts w:hint="eastAsia" w:ascii="仿宋" w:hAnsi="仿宋" w:eastAsia="仿宋" w:cs="仿宋"/>
          <w:sz w:val="32"/>
          <w:szCs w:val="32"/>
        </w:rPr>
        <w:t>公众服务</w:t>
      </w:r>
      <w:r>
        <w:rPr>
          <w:rFonts w:hint="eastAsia" w:ascii="仿宋" w:hAnsi="仿宋" w:eastAsia="仿宋" w:cs="仿宋"/>
          <w:sz w:val="32"/>
          <w:szCs w:val="32"/>
          <w:lang w:eastAsia="zh-CN"/>
        </w:rPr>
        <w:t>—</w:t>
      </w:r>
      <w:r>
        <w:rPr>
          <w:rFonts w:hint="eastAsia" w:ascii="仿宋" w:hAnsi="仿宋" w:eastAsia="仿宋" w:cs="仿宋"/>
          <w:sz w:val="32"/>
          <w:szCs w:val="32"/>
        </w:rPr>
        <w:t>下载服务</w:t>
      </w:r>
      <w:r>
        <w:rPr>
          <w:rFonts w:hint="eastAsia" w:ascii="仿宋" w:hAnsi="仿宋" w:eastAsia="仿宋" w:cs="仿宋"/>
          <w:sz w:val="32"/>
          <w:szCs w:val="32"/>
          <w:lang w:eastAsia="zh-CN"/>
        </w:rPr>
        <w:t>—</w:t>
      </w:r>
      <w:r>
        <w:rPr>
          <w:rFonts w:hint="eastAsia" w:ascii="仿宋" w:hAnsi="仿宋" w:eastAsia="仿宋" w:cs="仿宋"/>
          <w:sz w:val="32"/>
          <w:szCs w:val="32"/>
        </w:rPr>
        <w:t>软件工具”路径，把自然人电子税务局</w:t>
      </w:r>
      <w:r>
        <w:rPr>
          <w:rFonts w:hint="eastAsia" w:ascii="仿宋" w:hAnsi="仿宋" w:eastAsia="仿宋" w:cs="仿宋"/>
          <w:sz w:val="32"/>
          <w:szCs w:val="32"/>
          <w:lang w:eastAsia="zh-CN"/>
        </w:rPr>
        <w:t>（</w:t>
      </w:r>
      <w:r>
        <w:rPr>
          <w:rFonts w:hint="eastAsia" w:ascii="仿宋" w:hAnsi="仿宋" w:eastAsia="仿宋" w:cs="仿宋"/>
          <w:sz w:val="32"/>
          <w:szCs w:val="32"/>
        </w:rPr>
        <w:t>扣缴端</w:t>
      </w:r>
      <w:r>
        <w:rPr>
          <w:rFonts w:hint="eastAsia" w:ascii="仿宋" w:hAnsi="仿宋" w:eastAsia="仿宋" w:cs="仿宋"/>
          <w:sz w:val="32"/>
          <w:szCs w:val="32"/>
          <w:lang w:eastAsia="zh-CN"/>
        </w:rPr>
        <w:t>）</w:t>
      </w:r>
      <w:r>
        <w:rPr>
          <w:rFonts w:hint="eastAsia" w:ascii="仿宋" w:hAnsi="仿宋" w:eastAsia="仿宋" w:cs="仿宋"/>
          <w:sz w:val="32"/>
          <w:szCs w:val="32"/>
        </w:rPr>
        <w:t>下载到您的电脑上使用。</w:t>
      </w:r>
    </w:p>
    <w:p w14:paraId="781B6AAB">
      <w:pPr>
        <w:pStyle w:val="19"/>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在自然人电子税务局上，您可以处理职工人员信息采集、专项附加扣除信息采集、综合所得预扣预缴申报、分类所得代扣代缴申报等业务。</w:t>
      </w:r>
    </w:p>
    <w:p w14:paraId="2BC708FA">
      <w:pPr>
        <w:pStyle w:val="19"/>
        <w:numPr>
          <w:ilvl w:val="0"/>
          <w:numId w:val="7"/>
        </w:numPr>
        <w:ind w:left="66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个人所得税App</w:t>
      </w:r>
    </w:p>
    <w:p w14:paraId="69079E28">
      <w:pPr>
        <w:pStyle w:val="19"/>
        <w:numPr>
          <w:ilvl w:val="0"/>
          <w:numId w:val="0"/>
        </w:numPr>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个人所得税</w:t>
      </w:r>
      <w:r>
        <w:rPr>
          <w:rFonts w:hint="eastAsia" w:ascii="仿宋" w:hAnsi="仿宋" w:eastAsia="仿宋" w:cs="仿宋"/>
          <w:sz w:val="32"/>
          <w:szCs w:val="32"/>
          <w:lang w:val="en-US" w:eastAsia="zh-CN"/>
        </w:rPr>
        <w:t>APP（扫码下载）：</w:t>
      </w:r>
      <w:r>
        <w:rPr>
          <w:rFonts w:hint="default" w:ascii="仿宋" w:hAnsi="仿宋" w:eastAsia="仿宋" w:cs="仿宋"/>
          <w:sz w:val="32"/>
          <w:szCs w:val="32"/>
          <w:lang w:val="en-US" w:eastAsia="zh-CN"/>
        </w:rPr>
        <w:drawing>
          <wp:inline distT="0" distB="0" distL="114300" distR="114300">
            <wp:extent cx="1252220" cy="1236345"/>
            <wp:effectExtent l="0" t="0" r="5080" b="1905"/>
            <wp:docPr id="4" name="图片 4" descr="qr_gr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_grsds"/>
                    <pic:cNvPicPr>
                      <a:picLocks noChangeAspect="1"/>
                    </pic:cNvPicPr>
                  </pic:nvPicPr>
                  <pic:blipFill>
                    <a:blip r:embed="rId9"/>
                    <a:stretch>
                      <a:fillRect/>
                    </a:stretch>
                  </pic:blipFill>
                  <pic:spPr>
                    <a:xfrm>
                      <a:off x="0" y="0"/>
                      <a:ext cx="1252220" cy="1236345"/>
                    </a:xfrm>
                    <a:prstGeom prst="rect">
                      <a:avLst/>
                    </a:prstGeom>
                  </pic:spPr>
                </pic:pic>
              </a:graphicData>
            </a:graphic>
          </wp:inline>
        </w:drawing>
      </w:r>
    </w:p>
    <w:p w14:paraId="1A470567">
      <w:pPr>
        <w:pStyle w:val="19"/>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通过个人所得税App</w:t>
      </w:r>
      <w:r>
        <w:rPr>
          <w:rFonts w:hint="eastAsia" w:ascii="仿宋" w:hAnsi="仿宋" w:eastAsia="仿宋" w:cs="仿宋"/>
          <w:sz w:val="32"/>
          <w:szCs w:val="32"/>
          <w:lang w:eastAsia="zh-CN"/>
        </w:rPr>
        <w:t>，</w:t>
      </w:r>
      <w:r>
        <w:rPr>
          <w:rFonts w:hint="eastAsia" w:ascii="仿宋" w:hAnsi="仿宋" w:eastAsia="仿宋" w:cs="仿宋"/>
          <w:sz w:val="32"/>
          <w:szCs w:val="32"/>
        </w:rPr>
        <w:t>您可以办理个人所得税综合所得年度汇算、专项附加扣除信息填报、收入纳税明细查询等事项。</w:t>
      </w:r>
    </w:p>
    <w:p w14:paraId="64D75869">
      <w:pPr>
        <w:pStyle w:val="19"/>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（四）社保费管理客户端</w:t>
      </w:r>
    </w:p>
    <w:p w14:paraId="50187C4E">
      <w:pPr>
        <w:pStyle w:val="19"/>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您可以进入国家税务总局湖北省税务局官方网站，点击首页“资料下载”模块，找到“单位社保费管理客户端”点击下载。</w:t>
      </w:r>
    </w:p>
    <w:p w14:paraId="21F063A6">
      <w:pPr>
        <w:pStyle w:val="19"/>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国家税务总局湖北省税务局官方网站网址：</w:t>
      </w:r>
    </w:p>
    <w:p w14:paraId="304F3665">
      <w:pPr>
        <w:pStyle w:val="19"/>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"https://etax.chinatax.gov.cn" </w:instrText>
      </w:r>
      <w:r>
        <w:rPr>
          <w:rFonts w:hint="eastAsia" w:ascii="仿宋" w:hAnsi="仿宋" w:eastAsia="仿宋" w:cs="仿宋"/>
          <w:sz w:val="32"/>
          <w:szCs w:val="32"/>
          <w:lang w:val="en-US" w:eastAsia="zh-CN"/>
        </w:rPr>
        <w:fldChar w:fldCharType="separate"/>
      </w:r>
      <w:r>
        <w:rPr>
          <w:rStyle w:val="136"/>
          <w:rFonts w:hint="eastAsia" w:ascii="仿宋" w:hAnsi="仿宋" w:eastAsia="仿宋" w:cs="仿宋"/>
          <w:sz w:val="32"/>
          <w:szCs w:val="32"/>
          <w:lang w:val="en-US" w:eastAsia="zh-CN"/>
        </w:rPr>
        <w:t>https://etax.chinatax.gov.cn</w:t>
      </w:r>
      <w:r>
        <w:rPr>
          <w:rFonts w:hint="eastAsia" w:ascii="仿宋" w:hAnsi="仿宋" w:eastAsia="仿宋" w:cs="仿宋"/>
          <w:sz w:val="32"/>
          <w:szCs w:val="32"/>
          <w:lang w:val="en-US" w:eastAsia="zh-CN"/>
        </w:rPr>
        <w:fldChar w:fldCharType="end"/>
      </w:r>
    </w:p>
    <w:p w14:paraId="5877DEEE">
      <w:pPr>
        <w:pStyle w:val="19"/>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（五）线下办理</w:t>
      </w:r>
    </w:p>
    <w:p w14:paraId="05649452">
      <w:pPr>
        <w:pStyle w:val="19"/>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您可以通过办税服务厅的网上办税区、自助办税区或服务窗口办理业务。</w:t>
      </w:r>
    </w:p>
    <w:p w14:paraId="0EEDCCA9">
      <w:pPr>
        <w:pStyle w:val="19"/>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为保障您获得高效满意的办税体验，如您确需进入办税服务厅办理涉税业务，可通过电话进行</w:t>
      </w:r>
      <w:r>
        <w:rPr>
          <w:rFonts w:hint="eastAsia" w:ascii="仿宋" w:hAnsi="仿宋" w:eastAsia="仿宋" w:cs="仿宋"/>
          <w:sz w:val="32"/>
          <w:szCs w:val="32"/>
          <w:lang w:val="en-US" w:eastAsia="zh-CN"/>
        </w:rPr>
        <w:t>咨询及</w:t>
      </w:r>
      <w:r>
        <w:rPr>
          <w:rFonts w:hint="default" w:ascii="仿宋" w:hAnsi="仿宋" w:eastAsia="仿宋" w:cs="仿宋"/>
          <w:sz w:val="32"/>
          <w:szCs w:val="32"/>
          <w:lang w:val="en-US" w:eastAsia="zh-CN"/>
        </w:rPr>
        <w:t>预约</w:t>
      </w:r>
      <w:r>
        <w:rPr>
          <w:rFonts w:hint="eastAsia" w:ascii="仿宋" w:hAnsi="仿宋" w:eastAsia="仿宋" w:cs="仿宋"/>
          <w:sz w:val="32"/>
          <w:szCs w:val="32"/>
          <w:lang w:val="en-US" w:eastAsia="zh-CN"/>
        </w:rPr>
        <w:t>办税</w:t>
      </w:r>
      <w:r>
        <w:rPr>
          <w:rFonts w:hint="default" w:ascii="仿宋" w:hAnsi="仿宋" w:eastAsia="仿宋" w:cs="仿宋"/>
          <w:sz w:val="32"/>
          <w:szCs w:val="32"/>
          <w:lang w:val="en-US" w:eastAsia="zh-CN"/>
        </w:rPr>
        <w:t>。</w:t>
      </w:r>
    </w:p>
    <w:p w14:paraId="0CAFF571">
      <w:pPr>
        <w:pStyle w:val="19"/>
        <w:numPr>
          <w:ilvl w:val="0"/>
          <w:numId w:val="0"/>
        </w:numPr>
        <w:jc w:val="center"/>
        <w:rPr>
          <w:rFonts w:hint="default" w:ascii="仿宋" w:hAnsi="仿宋" w:eastAsia="仿宋" w:cs="仿宋"/>
          <w:b/>
          <w:bCs/>
          <w:sz w:val="32"/>
          <w:szCs w:val="32"/>
          <w:lang w:val="en-US" w:eastAsia="zh-CN"/>
        </w:rPr>
      </w:pPr>
    </w:p>
    <w:p w14:paraId="555FF706">
      <w:pPr>
        <w:pStyle w:val="19"/>
        <w:numPr>
          <w:ilvl w:val="0"/>
          <w:numId w:val="0"/>
        </w:numPr>
        <w:jc w:val="center"/>
        <w:rPr>
          <w:rFonts w:hint="default" w:ascii="仿宋" w:hAnsi="仿宋" w:eastAsia="仿宋" w:cs="仿宋"/>
          <w:b/>
          <w:bCs/>
          <w:sz w:val="32"/>
          <w:szCs w:val="32"/>
          <w:lang w:val="en-US" w:eastAsia="zh-CN"/>
        </w:rPr>
      </w:pPr>
    </w:p>
    <w:p w14:paraId="1FD7BEC7">
      <w:pPr>
        <w:pStyle w:val="19"/>
        <w:numPr>
          <w:ilvl w:val="0"/>
          <w:numId w:val="0"/>
        </w:numPr>
        <w:jc w:val="center"/>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鄂州</w:t>
      </w:r>
      <w:r>
        <w:rPr>
          <w:rFonts w:hint="eastAsia" w:ascii="仿宋" w:hAnsi="仿宋" w:eastAsia="仿宋" w:cs="仿宋"/>
          <w:b/>
          <w:bCs/>
          <w:sz w:val="32"/>
          <w:szCs w:val="32"/>
          <w:lang w:val="en-US" w:eastAsia="zh-CN"/>
        </w:rPr>
        <w:t>市</w:t>
      </w:r>
      <w:r>
        <w:rPr>
          <w:rFonts w:hint="default" w:ascii="仿宋" w:hAnsi="仿宋" w:eastAsia="仿宋" w:cs="仿宋"/>
          <w:b/>
          <w:bCs/>
          <w:sz w:val="32"/>
          <w:szCs w:val="32"/>
          <w:lang w:val="en-US" w:eastAsia="zh-CN"/>
        </w:rPr>
        <w:t>办税服务厅</w:t>
      </w:r>
      <w:r>
        <w:rPr>
          <w:rFonts w:hint="eastAsia" w:ascii="仿宋" w:hAnsi="仿宋" w:eastAsia="仿宋" w:cs="仿宋"/>
          <w:b/>
          <w:bCs/>
          <w:sz w:val="32"/>
          <w:szCs w:val="32"/>
          <w:lang w:val="en-US" w:eastAsia="zh-CN"/>
        </w:rPr>
        <w:t>咨询及</w:t>
      </w:r>
      <w:r>
        <w:rPr>
          <w:rFonts w:hint="default" w:ascii="仿宋" w:hAnsi="仿宋" w:eastAsia="仿宋" w:cs="仿宋"/>
          <w:b/>
          <w:bCs/>
          <w:sz w:val="32"/>
          <w:szCs w:val="32"/>
          <w:lang w:val="en-US" w:eastAsia="zh-CN"/>
        </w:rPr>
        <w:t>预约办税电话</w:t>
      </w:r>
    </w:p>
    <w:tbl>
      <w:tblPr>
        <w:tblStyle w:val="33"/>
        <w:tblW w:w="9212" w:type="dxa"/>
        <w:tblInd w:w="91" w:type="dxa"/>
        <w:tblLayout w:type="fixed"/>
        <w:tblCellMar>
          <w:top w:w="0" w:type="dxa"/>
          <w:left w:w="108" w:type="dxa"/>
          <w:bottom w:w="0" w:type="dxa"/>
          <w:right w:w="108" w:type="dxa"/>
        </w:tblCellMar>
      </w:tblPr>
      <w:tblGrid>
        <w:gridCol w:w="5927"/>
        <w:gridCol w:w="3285"/>
      </w:tblGrid>
      <w:tr w14:paraId="547D3B37">
        <w:tblPrEx>
          <w:tblCellMar>
            <w:top w:w="0" w:type="dxa"/>
            <w:left w:w="108" w:type="dxa"/>
            <w:bottom w:w="0" w:type="dxa"/>
            <w:right w:w="108" w:type="dxa"/>
          </w:tblCellMar>
        </w:tblPrEx>
        <w:trPr>
          <w:trHeight w:val="375" w:hRule="atLeast"/>
        </w:trPr>
        <w:tc>
          <w:tcPr>
            <w:tcW w:w="5927" w:type="dxa"/>
            <w:tcBorders>
              <w:top w:val="single" w:color="auto" w:sz="4" w:space="0"/>
              <w:left w:val="single" w:color="auto" w:sz="4" w:space="0"/>
              <w:bottom w:val="single" w:color="auto" w:sz="4" w:space="0"/>
              <w:right w:val="single" w:color="auto" w:sz="4" w:space="0"/>
            </w:tcBorders>
            <w:noWrap/>
            <w:vAlign w:val="bottom"/>
          </w:tcPr>
          <w:p w14:paraId="4046A88F">
            <w:pPr>
              <w:pStyle w:val="19"/>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办税服务厅</w:t>
            </w:r>
            <w:r>
              <w:rPr>
                <w:rFonts w:hint="eastAsia" w:ascii="仿宋" w:hAnsi="仿宋" w:eastAsia="仿宋" w:cs="仿宋"/>
                <w:sz w:val="32"/>
                <w:szCs w:val="32"/>
                <w:lang w:val="en-US" w:eastAsia="zh-CN"/>
              </w:rPr>
              <w:t>名称</w:t>
            </w:r>
          </w:p>
        </w:tc>
        <w:tc>
          <w:tcPr>
            <w:tcW w:w="3285" w:type="dxa"/>
            <w:tcBorders>
              <w:top w:val="single" w:color="auto" w:sz="4" w:space="0"/>
              <w:left w:val="nil"/>
              <w:bottom w:val="single" w:color="auto" w:sz="4" w:space="0"/>
              <w:right w:val="single" w:color="auto" w:sz="4" w:space="0"/>
            </w:tcBorders>
            <w:noWrap/>
            <w:vAlign w:val="bottom"/>
          </w:tcPr>
          <w:p w14:paraId="7DF48CCA">
            <w:pPr>
              <w:pStyle w:val="19"/>
              <w:numPr>
                <w:ilvl w:val="0"/>
                <w:numId w:val="0"/>
              </w:num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咨询及</w:t>
            </w:r>
            <w:r>
              <w:rPr>
                <w:rFonts w:hint="default" w:ascii="仿宋" w:hAnsi="仿宋" w:eastAsia="仿宋" w:cs="仿宋"/>
                <w:sz w:val="32"/>
                <w:szCs w:val="32"/>
                <w:lang w:val="en-US" w:eastAsia="zh-CN"/>
              </w:rPr>
              <w:t>预约办税电话</w:t>
            </w:r>
          </w:p>
        </w:tc>
      </w:tr>
      <w:tr w14:paraId="2E534797">
        <w:tblPrEx>
          <w:tblCellMar>
            <w:top w:w="0" w:type="dxa"/>
            <w:left w:w="108" w:type="dxa"/>
            <w:bottom w:w="0" w:type="dxa"/>
            <w:right w:w="108" w:type="dxa"/>
          </w:tblCellMar>
        </w:tblPrEx>
        <w:trPr>
          <w:trHeight w:val="850" w:hRule="atLeast"/>
        </w:trPr>
        <w:tc>
          <w:tcPr>
            <w:tcW w:w="5927" w:type="dxa"/>
            <w:tcBorders>
              <w:top w:val="nil"/>
              <w:left w:val="single" w:color="auto" w:sz="4" w:space="0"/>
              <w:bottom w:val="single" w:color="auto" w:sz="4" w:space="0"/>
              <w:right w:val="single" w:color="auto" w:sz="4" w:space="0"/>
            </w:tcBorders>
            <w:shd w:val="clear" w:color="000000" w:fill="FFFFFF"/>
            <w:vAlign w:val="center"/>
          </w:tcPr>
          <w:p w14:paraId="544A2D93">
            <w:pPr>
              <w:pStyle w:val="19"/>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国家税务总局鄂州市鄂城区税务局第一税务所（鄂州市政务服务中心进驻厅）</w:t>
            </w:r>
          </w:p>
        </w:tc>
        <w:tc>
          <w:tcPr>
            <w:tcW w:w="3285" w:type="dxa"/>
            <w:tcBorders>
              <w:top w:val="nil"/>
              <w:left w:val="nil"/>
              <w:bottom w:val="single" w:color="auto" w:sz="4" w:space="0"/>
              <w:right w:val="single" w:color="auto" w:sz="4" w:space="0"/>
            </w:tcBorders>
            <w:shd w:val="clear" w:color="000000" w:fill="FFFFFF"/>
            <w:vAlign w:val="center"/>
          </w:tcPr>
          <w:p w14:paraId="621E5668">
            <w:pPr>
              <w:pStyle w:val="19"/>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027-60698288</w:t>
            </w:r>
          </w:p>
        </w:tc>
      </w:tr>
      <w:tr w14:paraId="436F2EAC">
        <w:tblPrEx>
          <w:tblCellMar>
            <w:top w:w="0" w:type="dxa"/>
            <w:left w:w="108" w:type="dxa"/>
            <w:bottom w:w="0" w:type="dxa"/>
            <w:right w:w="108" w:type="dxa"/>
          </w:tblCellMar>
        </w:tblPrEx>
        <w:trPr>
          <w:trHeight w:val="850" w:hRule="atLeast"/>
        </w:trPr>
        <w:tc>
          <w:tcPr>
            <w:tcW w:w="5927" w:type="dxa"/>
            <w:tcBorders>
              <w:top w:val="nil"/>
              <w:left w:val="single" w:color="auto" w:sz="4" w:space="0"/>
              <w:bottom w:val="single" w:color="auto" w:sz="4" w:space="0"/>
              <w:right w:val="single" w:color="auto" w:sz="4" w:space="0"/>
            </w:tcBorders>
            <w:shd w:val="clear" w:color="auto" w:fill="auto"/>
            <w:noWrap/>
            <w:vAlign w:val="center"/>
          </w:tcPr>
          <w:p w14:paraId="093E9ACF">
            <w:pPr>
              <w:pStyle w:val="19"/>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国家税务总局鄂州市鄂城区税务局第一税务所（鄂城区政务服务中心进驻厅）</w:t>
            </w:r>
          </w:p>
        </w:tc>
        <w:tc>
          <w:tcPr>
            <w:tcW w:w="3285" w:type="dxa"/>
            <w:tcBorders>
              <w:top w:val="nil"/>
              <w:left w:val="nil"/>
              <w:bottom w:val="single" w:color="auto" w:sz="4" w:space="0"/>
              <w:right w:val="single" w:color="auto" w:sz="4" w:space="0"/>
            </w:tcBorders>
            <w:shd w:val="clear" w:color="000000" w:fill="FFFFFF"/>
            <w:vAlign w:val="center"/>
          </w:tcPr>
          <w:p w14:paraId="5672CFAC">
            <w:pPr>
              <w:pStyle w:val="19"/>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027-56929633</w:t>
            </w:r>
          </w:p>
        </w:tc>
      </w:tr>
      <w:tr w14:paraId="3D8B4AC5">
        <w:tblPrEx>
          <w:tblCellMar>
            <w:top w:w="0" w:type="dxa"/>
            <w:left w:w="108" w:type="dxa"/>
            <w:bottom w:w="0" w:type="dxa"/>
            <w:right w:w="108" w:type="dxa"/>
          </w:tblCellMar>
        </w:tblPrEx>
        <w:trPr>
          <w:trHeight w:val="850" w:hRule="atLeast"/>
        </w:trPr>
        <w:tc>
          <w:tcPr>
            <w:tcW w:w="5927" w:type="dxa"/>
            <w:tcBorders>
              <w:top w:val="nil"/>
              <w:left w:val="single" w:color="auto" w:sz="4" w:space="0"/>
              <w:bottom w:val="single" w:color="auto" w:sz="4" w:space="0"/>
              <w:right w:val="single" w:color="auto" w:sz="4" w:space="0"/>
            </w:tcBorders>
            <w:shd w:val="clear" w:color="auto" w:fill="auto"/>
            <w:noWrap/>
            <w:vAlign w:val="center"/>
          </w:tcPr>
          <w:p w14:paraId="79070FEB">
            <w:pPr>
              <w:pStyle w:val="19"/>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国家税务总局鄂州市华容区税务局第一税务所（办税服务厅）</w:t>
            </w:r>
          </w:p>
        </w:tc>
        <w:tc>
          <w:tcPr>
            <w:tcW w:w="3285" w:type="dxa"/>
            <w:tcBorders>
              <w:top w:val="nil"/>
              <w:left w:val="nil"/>
              <w:bottom w:val="single" w:color="auto" w:sz="4" w:space="0"/>
              <w:right w:val="single" w:color="auto" w:sz="4" w:space="0"/>
            </w:tcBorders>
            <w:shd w:val="clear" w:color="000000" w:fill="FFFFFF"/>
            <w:vAlign w:val="center"/>
          </w:tcPr>
          <w:p w14:paraId="385C74F2">
            <w:pPr>
              <w:pStyle w:val="19"/>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0711-3612366</w:t>
            </w:r>
          </w:p>
        </w:tc>
      </w:tr>
      <w:tr w14:paraId="768BD7E1">
        <w:tblPrEx>
          <w:tblCellMar>
            <w:top w:w="0" w:type="dxa"/>
            <w:left w:w="108" w:type="dxa"/>
            <w:bottom w:w="0" w:type="dxa"/>
            <w:right w:w="108" w:type="dxa"/>
          </w:tblCellMar>
        </w:tblPrEx>
        <w:trPr>
          <w:trHeight w:val="850" w:hRule="atLeast"/>
        </w:trPr>
        <w:tc>
          <w:tcPr>
            <w:tcW w:w="5927" w:type="dxa"/>
            <w:tcBorders>
              <w:top w:val="nil"/>
              <w:left w:val="single" w:color="auto" w:sz="4" w:space="0"/>
              <w:bottom w:val="single" w:color="auto" w:sz="4" w:space="0"/>
              <w:right w:val="single" w:color="auto" w:sz="4" w:space="0"/>
            </w:tcBorders>
            <w:shd w:val="clear" w:color="auto" w:fill="auto"/>
            <w:noWrap/>
            <w:vAlign w:val="center"/>
          </w:tcPr>
          <w:p w14:paraId="6DB95C15">
            <w:pPr>
              <w:pStyle w:val="19"/>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国家税务总局鄂州葛店经济技术开发区税务局办税服务厅（政务服务中心进驻厅）</w:t>
            </w:r>
          </w:p>
        </w:tc>
        <w:tc>
          <w:tcPr>
            <w:tcW w:w="3285" w:type="dxa"/>
            <w:tcBorders>
              <w:top w:val="nil"/>
              <w:left w:val="nil"/>
              <w:bottom w:val="single" w:color="auto" w:sz="4" w:space="0"/>
              <w:right w:val="single" w:color="auto" w:sz="4" w:space="0"/>
            </w:tcBorders>
            <w:shd w:val="clear" w:color="000000" w:fill="FFFFFF"/>
            <w:vAlign w:val="center"/>
          </w:tcPr>
          <w:p w14:paraId="24A0AC82">
            <w:pPr>
              <w:pStyle w:val="19"/>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027-60812355</w:t>
            </w:r>
          </w:p>
        </w:tc>
      </w:tr>
      <w:tr w14:paraId="4BD77A76">
        <w:tblPrEx>
          <w:tblCellMar>
            <w:top w:w="0" w:type="dxa"/>
            <w:left w:w="108" w:type="dxa"/>
            <w:bottom w:w="0" w:type="dxa"/>
            <w:right w:w="108" w:type="dxa"/>
          </w:tblCellMar>
        </w:tblPrEx>
        <w:trPr>
          <w:trHeight w:val="850" w:hRule="atLeast"/>
        </w:trPr>
        <w:tc>
          <w:tcPr>
            <w:tcW w:w="5927" w:type="dxa"/>
            <w:tcBorders>
              <w:top w:val="nil"/>
              <w:left w:val="single" w:color="auto" w:sz="4" w:space="0"/>
              <w:bottom w:val="single" w:color="auto" w:sz="4" w:space="0"/>
              <w:right w:val="single" w:color="auto" w:sz="4" w:space="0"/>
            </w:tcBorders>
            <w:shd w:val="clear" w:color="000000" w:fill="FFFFFF"/>
            <w:vAlign w:val="center"/>
          </w:tcPr>
          <w:p w14:paraId="6095C6ED">
            <w:pPr>
              <w:pStyle w:val="19"/>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国家税务总局鄂州市梁子湖区税务局第一税务所（政务服务中心进驻厅）</w:t>
            </w:r>
          </w:p>
        </w:tc>
        <w:tc>
          <w:tcPr>
            <w:tcW w:w="3285" w:type="dxa"/>
            <w:tcBorders>
              <w:top w:val="nil"/>
              <w:left w:val="nil"/>
              <w:bottom w:val="single" w:color="auto" w:sz="4" w:space="0"/>
              <w:right w:val="single" w:color="auto" w:sz="4" w:space="0"/>
            </w:tcBorders>
            <w:shd w:val="clear" w:color="000000" w:fill="FFFFFF"/>
            <w:vAlign w:val="center"/>
          </w:tcPr>
          <w:p w14:paraId="3A5B5CA9">
            <w:pPr>
              <w:pStyle w:val="19"/>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027-60812366</w:t>
            </w:r>
          </w:p>
        </w:tc>
      </w:tr>
    </w:tbl>
    <w:p w14:paraId="662C3625">
      <w:pPr>
        <w:pStyle w:val="19"/>
        <w:numPr>
          <w:ilvl w:val="0"/>
          <w:numId w:val="8"/>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“我要问”——常用涉税费咨询渠道有哪些？</w:t>
      </w:r>
    </w:p>
    <w:p w14:paraId="0FC5F2E6">
      <w:pPr>
        <w:pStyle w:val="19"/>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1.征纳互动服务。</w:t>
      </w:r>
      <w:r>
        <w:rPr>
          <w:rFonts w:hint="eastAsia" w:ascii="仿宋" w:hAnsi="仿宋" w:eastAsia="仿宋" w:cs="仿宋"/>
          <w:sz w:val="32"/>
          <w:szCs w:val="32"/>
          <w:lang w:val="en-US" w:eastAsia="zh-CN"/>
        </w:rPr>
        <w:t>打开电子税务局，以企业人员身份登录后，点击右侧“征纳互动”悬浮图标，输入问题，获取智能回复结果。如仍未满足您的咨询需求，可以在工作时间点击“转人工”，非工作时间点击“留言互动”留下您的问题和联系方式。</w:t>
      </w:r>
    </w:p>
    <w:p w14:paraId="028DAEA4">
      <w:pPr>
        <w:pStyle w:val="19"/>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2.咨询热线服务。</w:t>
      </w:r>
      <w:r>
        <w:rPr>
          <w:rFonts w:hint="eastAsia" w:ascii="仿宋" w:hAnsi="仿宋" w:eastAsia="仿宋" w:cs="仿宋"/>
          <w:sz w:val="32"/>
          <w:szCs w:val="32"/>
          <w:lang w:val="en-US" w:eastAsia="zh-CN"/>
        </w:rPr>
        <w:t>您可以工作时间拨打12366，非工作时间或话务繁忙时通过语音信箱留言；您还可以按照前述内容，拨打对应办税服务厅咨询电话。</w:t>
      </w:r>
    </w:p>
    <w:p w14:paraId="016128A5">
      <w:pPr>
        <w:pStyle w:val="19"/>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3.12366纳税服务平台APP。</w:t>
      </w:r>
      <w:r>
        <w:rPr>
          <w:rFonts w:hint="eastAsia" w:ascii="仿宋" w:hAnsi="仿宋" w:eastAsia="仿宋" w:cs="仿宋"/>
          <w:sz w:val="32"/>
          <w:szCs w:val="32"/>
          <w:lang w:val="en-US" w:eastAsia="zh-CN"/>
        </w:rPr>
        <w:t>下载并注册12366纳税服务平台APP，登录后，首页点击“咨询”，可以根据需要选择“智能咨询”“网上留言”“在线咨询”，注意切换所在省份为“湖北”。</w:t>
      </w:r>
    </w:p>
    <w:p w14:paraId="560C5A11">
      <w:pPr>
        <w:pStyle w:val="19"/>
        <w:numPr>
          <w:ilvl w:val="0"/>
          <w:numId w:val="8"/>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“我要收”——常用税费信息接收渠道有哪些？</w:t>
      </w:r>
    </w:p>
    <w:p w14:paraId="3D365707">
      <w:pPr>
        <w:pStyle w:val="19"/>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为了让您及时了解税收资讯和优惠政策，税务机关为您量身定制了相关的信息内容，通过线上渠道为您精准推送。</w:t>
      </w:r>
    </w:p>
    <w:p w14:paraId="633D8DCB">
      <w:pPr>
        <w:pStyle w:val="19"/>
        <w:numPr>
          <w:ilvl w:val="0"/>
          <w:numId w:val="9"/>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精准推送是什么？</w:t>
      </w:r>
    </w:p>
    <w:p w14:paraId="544FECA4">
      <w:pPr>
        <w:pStyle w:val="19"/>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精准推送是一项具有个性化、定制化的信息推送服务。目前，税务机关以大数据分析为基础，精准筛选生成符合政策条件的纳税人名单，为纳税人分行业、分业务、分性质精准“画像”并推送最新适用政策，变“人找政策”为“政策找人”。</w:t>
      </w:r>
    </w:p>
    <w:p w14:paraId="4DAB5DC7">
      <w:pPr>
        <w:pStyle w:val="19"/>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（二）信息查收渠道</w:t>
      </w:r>
    </w:p>
    <w:p w14:paraId="24A1E355">
      <w:pPr>
        <w:pStyle w:val="19"/>
        <w:numPr>
          <w:ilvl w:val="0"/>
          <w:numId w:val="0"/>
        </w:num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1.湖北省电子税务局。</w:t>
      </w:r>
      <w:r>
        <w:rPr>
          <w:rFonts w:hint="eastAsia" w:ascii="仿宋" w:hAnsi="仿宋" w:eastAsia="仿宋" w:cs="仿宋"/>
          <w:b w:val="0"/>
          <w:bCs w:val="0"/>
          <w:sz w:val="32"/>
          <w:szCs w:val="32"/>
          <w:lang w:eastAsia="zh-CN"/>
        </w:rPr>
        <w:t>登录湖北省电子税务局官网，点击首页下方“我的提醒”模块，点击查看最新消息。</w:t>
      </w:r>
    </w:p>
    <w:p w14:paraId="414353C5">
      <w:pPr>
        <w:pStyle w:val="19"/>
        <w:numPr>
          <w:ilvl w:val="0"/>
          <w:numId w:val="0"/>
        </w:num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2.征纳互动服务。</w:t>
      </w:r>
      <w:r>
        <w:rPr>
          <w:rFonts w:hint="eastAsia" w:ascii="仿宋" w:hAnsi="仿宋" w:eastAsia="仿宋" w:cs="仿宋"/>
          <w:b w:val="0"/>
          <w:bCs w:val="0"/>
          <w:sz w:val="32"/>
          <w:szCs w:val="32"/>
          <w:lang w:eastAsia="zh-CN"/>
        </w:rPr>
        <w:t>登录湖北省电子税务局官网，点击右侧“征纳互动”悬浮图标；进入征纳互动服务界面后，点击右侧“我的消息”中点击查看最新消息。</w:t>
      </w:r>
    </w:p>
    <w:p w14:paraId="4016AD2D">
      <w:pPr>
        <w:pStyle w:val="19"/>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3.手机短信接收精准推送消息。</w:t>
      </w:r>
    </w:p>
    <w:p w14:paraId="161FE684">
      <w:pPr>
        <w:pStyle w:val="19"/>
        <w:numPr>
          <w:ilvl w:val="0"/>
          <w:numId w:val="8"/>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“我要查”——常用涉税费信息查询渠道有哪些？</w:t>
      </w:r>
    </w:p>
    <w:p w14:paraId="71A6DEE5">
      <w:pPr>
        <w:pStyle w:val="19"/>
        <w:numPr>
          <w:ilvl w:val="0"/>
          <w:numId w:val="10"/>
        </w:numPr>
        <w:ind w:left="64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查税收政策</w:t>
      </w:r>
    </w:p>
    <w:p w14:paraId="13DB9538">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1.国家税务总局官网。首页点击“纳税服务”—“我要查”—“政策法规库”；点击首页“专题专栏”，可以查询热门政策专题。</w:t>
      </w:r>
    </w:p>
    <w:p w14:paraId="74DAAF7A">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2.湖北省税务局官网、鄂州市税务局官网。首页点击“政策文件”，可以查询所需文件和热点问答。</w:t>
      </w:r>
    </w:p>
    <w:p w14:paraId="576C236E">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3.“鄂州税务”微信公众号。首页点击“微资讯”“微查询”，可以查询所需文件和业务指引。</w:t>
      </w:r>
    </w:p>
    <w:p w14:paraId="400E5EE9">
      <w:pPr>
        <w:pStyle w:val="19"/>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（二）查办税指南</w:t>
      </w:r>
    </w:p>
    <w:p w14:paraId="1D97FDF4">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1.国家税务总局官网。首页点击“纳税服务”—“我要查”—“办税指南”。</w:t>
      </w:r>
    </w:p>
    <w:p w14:paraId="436851EE">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2.湖北省税务局官网、鄂州市税务局官网。首页点击“纳税服务”，可见办税指南信息。</w:t>
      </w:r>
    </w:p>
    <w:p w14:paraId="7E9B01F2">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3.个人所得税APP。首页点击“办&amp;查”—“公众服务”—“办税指南”。</w:t>
      </w:r>
    </w:p>
    <w:p w14:paraId="4B740B29">
      <w:pPr>
        <w:pStyle w:val="19"/>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（三）查办税日历、办税地图</w:t>
      </w:r>
    </w:p>
    <w:p w14:paraId="59B2932A">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1.国家税务总局官网。首页点击“纳税服务”可查询“办税日历”“办税地图”。</w:t>
      </w:r>
    </w:p>
    <w:p w14:paraId="61D0DD90">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2.湖北省税务局官网、鄂州市税务局官网。首页点击“我要查询”—“公众服务”，可查询“办税日历”“办税地图”。</w:t>
      </w:r>
    </w:p>
    <w:p w14:paraId="5B1EFF6B">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3.国务院客户端微信小程序。搜索“办税日历”或“办税地图”，点击进入。</w:t>
      </w:r>
    </w:p>
    <w:p w14:paraId="0E6758C6">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4.12366纳税服务平台APP。首页点击“工具”，可查询“办税日历”“办税地图”。</w:t>
      </w:r>
    </w:p>
    <w:p w14:paraId="02B0072E">
      <w:pPr>
        <w:pStyle w:val="19"/>
        <w:numPr>
          <w:ilvl w:val="0"/>
          <w:numId w:val="7"/>
        </w:numPr>
        <w:ind w:left="66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查其他内容</w:t>
      </w:r>
    </w:p>
    <w:p w14:paraId="176B4D5B">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1.国家税务总局官网。首页点击“纳税服务”—“我要查”，供您选择相应模块查询。</w:t>
      </w:r>
    </w:p>
    <w:p w14:paraId="39533B32">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湖北省税务局官网、鄂州税务局官网。首页点击“我要查询”，有发票查询、重大税收违法失信主体信息、纳税信用A级纳税人公告、重大税收违法案件公告、欠税查询、欠税公告、证明信息查询等模块供您选择查询。</w:t>
      </w:r>
    </w:p>
    <w:p w14:paraId="5A450484">
      <w:pPr>
        <w:pStyle w:val="19"/>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六、“我要学”——常用税费政策学习渠道有哪些？</w:t>
      </w:r>
    </w:p>
    <w:p w14:paraId="6AF4AC3A">
      <w:pPr>
        <w:pStyle w:val="19"/>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（一）开业第一课</w:t>
      </w:r>
    </w:p>
    <w:p w14:paraId="3600FE94">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打开国家税务总局官网—点击“纳税服务”—滑至最下方点击“12366纳税服务平台”，首页可见“开业第一课”，进入后可选择课程类别，内容丰富，建议浏览收藏。您也可以在“12366纳税服务平台”首页点击“视频点播”，搜索您需要的视频课程。</w:t>
      </w:r>
    </w:p>
    <w:p w14:paraId="11873AC1">
      <w:pPr>
        <w:pStyle w:val="19"/>
        <w:numPr>
          <w:ilvl w:val="0"/>
          <w:numId w:val="10"/>
        </w:numPr>
        <w:ind w:left="64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答疑视频</w:t>
      </w:r>
    </w:p>
    <w:p w14:paraId="275AD801">
      <w:pPr>
        <w:pStyle w:val="19"/>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微信关注“湖北税务”视频号，即可查看湖北省税务局根据热点政策和问题制作的各类答疑视频。</w:t>
      </w:r>
    </w:p>
    <w:p w14:paraId="7FA2B7DD">
      <w:pPr>
        <w:pStyle w:val="19"/>
        <w:numPr>
          <w:ilvl w:val="0"/>
          <w:numId w:val="10"/>
        </w:numPr>
        <w:ind w:left="64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纳税人学堂</w:t>
      </w:r>
    </w:p>
    <w:p w14:paraId="7ADD5F5D">
      <w:pPr>
        <w:pStyle w:val="19"/>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1.线上学堂。</w:t>
      </w:r>
      <w:r>
        <w:rPr>
          <w:rFonts w:hint="eastAsia" w:ascii="仿宋" w:hAnsi="仿宋" w:eastAsia="仿宋" w:cs="仿宋"/>
          <w:sz w:val="32"/>
          <w:szCs w:val="32"/>
          <w:lang w:val="en-US" w:eastAsia="zh-CN"/>
        </w:rPr>
        <w:t>微信小程序打开“鹅直播”，搜索“鄂州税务”，可收看“澜湖税音”直播间“纳税人讲堂”线上直播和回放。鄂州市税务局每月定期通过直播平台开设线上课堂，直播计划提前在“鄂州税务”微信公众号发布通知。</w:t>
      </w:r>
    </w:p>
    <w:p w14:paraId="5B23970F">
      <w:pPr>
        <w:pStyle w:val="19"/>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2.线下学堂。</w:t>
      </w:r>
      <w:r>
        <w:rPr>
          <w:rFonts w:hint="eastAsia" w:ascii="仿宋" w:hAnsi="仿宋" w:eastAsia="仿宋" w:cs="仿宋"/>
          <w:sz w:val="32"/>
          <w:szCs w:val="32"/>
          <w:lang w:val="en-US" w:eastAsia="zh-CN"/>
        </w:rPr>
        <w:t>鄂州市各主管税务机关组织开展的各类线下集中面对面辅导培训。</w:t>
      </w:r>
      <w:bookmarkStart w:id="0" w:name="_GoBack"/>
      <w:bookmarkEnd w:id="0"/>
    </w:p>
    <w:p w14:paraId="1FC6582D">
      <w:pPr>
        <w:pStyle w:val="19"/>
        <w:ind w:firstLine="640" w:firstLineChars="200"/>
        <w:rPr>
          <w:rFonts w:hint="eastAsia" w:ascii="黑体" w:hAnsi="黑体" w:eastAsia="黑体" w:cs="黑体"/>
          <w:sz w:val="32"/>
          <w:szCs w:val="32"/>
          <w:lang w:val="en-US" w:eastAsia="zh-CN"/>
        </w:rPr>
      </w:pPr>
    </w:p>
    <w:p w14:paraId="37727410">
      <w:pPr>
        <w:pStyle w:val="19"/>
        <w:rPr>
          <w:rFonts w:hint="eastAsia" w:ascii="仿宋" w:hAnsi="仿宋" w:eastAsia="仿宋" w:cs="仿宋"/>
          <w:sz w:val="32"/>
          <w:szCs w:val="32"/>
          <w:lang w:val="en-US"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B5BDB"/>
    <w:multiLevelType w:val="singleLevel"/>
    <w:tmpl w:val="A50B5BDB"/>
    <w:lvl w:ilvl="0" w:tentative="0">
      <w:start w:val="3"/>
      <w:numFmt w:val="chineseCounting"/>
      <w:suff w:val="nothing"/>
      <w:lvlText w:val="%1、"/>
      <w:lvlJc w:val="left"/>
      <w:rPr>
        <w:rFonts w:hint="eastAsia"/>
      </w:rPr>
    </w:lvl>
  </w:abstractNum>
  <w:abstractNum w:abstractNumId="1">
    <w:nsid w:val="D4E3AFD6"/>
    <w:multiLevelType w:val="singleLevel"/>
    <w:tmpl w:val="D4E3AFD6"/>
    <w:lvl w:ilvl="0" w:tentative="0">
      <w:start w:val="1"/>
      <w:numFmt w:val="chineseCounting"/>
      <w:suff w:val="nothing"/>
      <w:lvlText w:val="（%1）"/>
      <w:lvlJc w:val="left"/>
      <w:pPr>
        <w:ind w:left="640" w:leftChars="0" w:firstLine="0" w:firstLineChars="0"/>
      </w:pPr>
      <w:rPr>
        <w:rFonts w:hint="eastAsia"/>
      </w:rPr>
    </w:lvl>
  </w:abstractNum>
  <w:abstractNum w:abstractNumId="2">
    <w:nsid w:val="EC9224C7"/>
    <w:multiLevelType w:val="singleLevel"/>
    <w:tmpl w:val="EC9224C7"/>
    <w:lvl w:ilvl="0" w:tentative="0">
      <w:start w:val="1"/>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5">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7">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9">
    <w:nsid w:val="0366C61E"/>
    <w:multiLevelType w:val="singleLevel"/>
    <w:tmpl w:val="0366C61E"/>
    <w:lvl w:ilvl="0" w:tentative="0">
      <w:start w:val="2"/>
      <w:numFmt w:val="chineseCounting"/>
      <w:suff w:val="nothing"/>
      <w:lvlText w:val="（%1）"/>
      <w:lvlJc w:val="left"/>
      <w:pPr>
        <w:ind w:left="660"/>
      </w:pPr>
      <w:rPr>
        <w:rFonts w:hint="eastAsia"/>
      </w:rPr>
    </w:lvl>
  </w:abstractNum>
  <w:num w:numId="1">
    <w:abstractNumId w:val="4"/>
  </w:num>
  <w:num w:numId="2">
    <w:abstractNumId w:val="7"/>
  </w:num>
  <w:num w:numId="3">
    <w:abstractNumId w:val="8"/>
  </w:num>
  <w:num w:numId="4">
    <w:abstractNumId w:val="5"/>
  </w:num>
  <w:num w:numId="5">
    <w:abstractNumId w:val="3"/>
  </w:num>
  <w:num w:numId="6">
    <w:abstractNumId w:val="6"/>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8C00B3F"/>
    <w:rsid w:val="31576CC8"/>
    <w:rsid w:val="32452FC5"/>
    <w:rsid w:val="3C7C3A87"/>
    <w:rsid w:val="3D5922A8"/>
    <w:rsid w:val="3FA532F5"/>
    <w:rsid w:val="49543DC1"/>
    <w:rsid w:val="4EE21747"/>
    <w:rsid w:val="58CA7295"/>
    <w:rsid w:val="5E1A149B"/>
    <w:rsid w:val="5FD73573"/>
    <w:rsid w:val="603E1B4D"/>
    <w:rsid w:val="62CE55EA"/>
    <w:rsid w:val="6B703951"/>
    <w:rsid w:val="6DB53A23"/>
    <w:rsid w:val="7FB456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9"/>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8"/>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6"/>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8"/>
    <w:unhideWhenUsed/>
    <w:qFormat/>
    <w:uiPriority w:val="99"/>
    <w:pPr>
      <w:tabs>
        <w:tab w:val="center" w:pos="4680"/>
        <w:tab w:val="right" w:pos="9360"/>
      </w:tabs>
      <w:spacing w:after="0" w:line="240" w:lineRule="auto"/>
    </w:pPr>
  </w:style>
  <w:style w:type="paragraph" w:styleId="25">
    <w:name w:val="header"/>
    <w:basedOn w:val="1"/>
    <w:link w:val="137"/>
    <w:unhideWhenUsed/>
    <w:uiPriority w:val="99"/>
    <w:pPr>
      <w:tabs>
        <w:tab w:val="center" w:pos="4680"/>
        <w:tab w:val="right" w:pos="9360"/>
      </w:tabs>
      <w:spacing w:after="0" w:line="240" w:lineRule="auto"/>
    </w:pPr>
  </w:style>
  <w:style w:type="paragraph" w:styleId="26">
    <w:name w:val="Subtitle"/>
    <w:basedOn w:val="1"/>
    <w:next w:val="1"/>
    <w:link w:val="1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7"/>
    <w:unhideWhenUsed/>
    <w:qFormat/>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styleId="136">
    <w:name w:val="Hyperlink"/>
    <w:basedOn w:val="133"/>
    <w:semiHidden/>
    <w:unhideWhenUsed/>
    <w:qFormat/>
    <w:uiPriority w:val="99"/>
    <w:rPr>
      <w:color w:val="0000FF"/>
      <w:u w:val="single"/>
    </w:rPr>
  </w:style>
  <w:style w:type="character" w:customStyle="1" w:styleId="137">
    <w:name w:val="Header Char"/>
    <w:basedOn w:val="133"/>
    <w:link w:val="25"/>
    <w:qFormat/>
    <w:uiPriority w:val="99"/>
  </w:style>
  <w:style w:type="character" w:customStyle="1" w:styleId="138">
    <w:name w:val="Footer Char"/>
    <w:basedOn w:val="133"/>
    <w:link w:val="24"/>
    <w:qFormat/>
    <w:uiPriority w:val="99"/>
  </w:style>
  <w:style w:type="paragraph" w:styleId="1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0">
    <w:name w:val="Heading 1 Char"/>
    <w:basedOn w:val="133"/>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1">
    <w:name w:val="Heading 2 Char"/>
    <w:basedOn w:val="133"/>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2">
    <w:name w:val="Heading 3 Char"/>
    <w:basedOn w:val="133"/>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3">
    <w:name w:val="Title Char"/>
    <w:basedOn w:val="133"/>
    <w:link w:val="3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4">
    <w:name w:val="Subtitle Char"/>
    <w:basedOn w:val="133"/>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5">
    <w:name w:val="List Paragraph"/>
    <w:basedOn w:val="1"/>
    <w:qFormat/>
    <w:uiPriority w:val="34"/>
    <w:pPr>
      <w:ind w:left="720"/>
      <w:contextualSpacing/>
    </w:pPr>
  </w:style>
  <w:style w:type="character" w:customStyle="1" w:styleId="146">
    <w:name w:val="Body Text Char"/>
    <w:basedOn w:val="133"/>
    <w:link w:val="19"/>
    <w:qFormat/>
    <w:uiPriority w:val="99"/>
  </w:style>
  <w:style w:type="character" w:customStyle="1" w:styleId="147">
    <w:name w:val="Body Text 2 Char"/>
    <w:basedOn w:val="133"/>
    <w:link w:val="28"/>
    <w:qFormat/>
    <w:uiPriority w:val="99"/>
  </w:style>
  <w:style w:type="character" w:customStyle="1" w:styleId="148">
    <w:name w:val="Body Text 3 Char"/>
    <w:basedOn w:val="133"/>
    <w:link w:val="17"/>
    <w:qFormat/>
    <w:uiPriority w:val="99"/>
    <w:rPr>
      <w:sz w:val="16"/>
      <w:szCs w:val="16"/>
    </w:rPr>
  </w:style>
  <w:style w:type="character" w:customStyle="1" w:styleId="149">
    <w:name w:val="Macro Text Char"/>
    <w:basedOn w:val="133"/>
    <w:link w:val="2"/>
    <w:qFormat/>
    <w:uiPriority w:val="99"/>
    <w:rPr>
      <w:rFonts w:ascii="Courier" w:hAnsi="Courier"/>
      <w:sz w:val="20"/>
      <w:szCs w:val="20"/>
    </w:rPr>
  </w:style>
  <w:style w:type="paragraph" w:styleId="150">
    <w:name w:val="Quote"/>
    <w:basedOn w:val="1"/>
    <w:next w:val="1"/>
    <w:link w:val="151"/>
    <w:qFormat/>
    <w:uiPriority w:val="29"/>
    <w:rPr>
      <w:i/>
      <w:iCs/>
      <w:color w:val="000000" w:themeColor="text1"/>
      <w14:textFill>
        <w14:solidFill>
          <w14:schemeClr w14:val="tx1"/>
        </w14:solidFill>
      </w14:textFill>
    </w:rPr>
  </w:style>
  <w:style w:type="character" w:customStyle="1" w:styleId="151">
    <w:name w:val="Quote Char"/>
    <w:basedOn w:val="133"/>
    <w:link w:val="150"/>
    <w:qFormat/>
    <w:uiPriority w:val="29"/>
    <w:rPr>
      <w:i/>
      <w:iCs/>
      <w:color w:val="000000" w:themeColor="text1"/>
      <w14:textFill>
        <w14:solidFill>
          <w14:schemeClr w14:val="tx1"/>
        </w14:solidFill>
      </w14:textFill>
    </w:rPr>
  </w:style>
  <w:style w:type="character" w:customStyle="1" w:styleId="152">
    <w:name w:val="Heading 4 Char"/>
    <w:basedOn w:val="133"/>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3">
    <w:name w:val="Heading 5 Char"/>
    <w:basedOn w:val="133"/>
    <w:link w:val="7"/>
    <w:semiHidden/>
    <w:qFormat/>
    <w:uiPriority w:val="9"/>
    <w:rPr>
      <w:rFonts w:asciiTheme="majorHAnsi" w:hAnsiTheme="majorHAnsi" w:eastAsiaTheme="majorEastAsia" w:cstheme="majorBidi"/>
      <w:color w:val="254061" w:themeColor="accent1" w:themeShade="80"/>
    </w:rPr>
  </w:style>
  <w:style w:type="character" w:customStyle="1" w:styleId="154">
    <w:name w:val="Heading 6 Char"/>
    <w:basedOn w:val="133"/>
    <w:link w:val="8"/>
    <w:semiHidden/>
    <w:qFormat/>
    <w:uiPriority w:val="9"/>
    <w:rPr>
      <w:rFonts w:asciiTheme="majorHAnsi" w:hAnsiTheme="majorHAnsi" w:eastAsiaTheme="majorEastAsia" w:cstheme="majorBidi"/>
      <w:i/>
      <w:iCs/>
      <w:color w:val="254061" w:themeColor="accent1" w:themeShade="80"/>
    </w:rPr>
  </w:style>
  <w:style w:type="character" w:customStyle="1" w:styleId="155">
    <w:name w:val="Heading 7 Char"/>
    <w:basedOn w:val="133"/>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6">
    <w:name w:val="Heading 8 Char"/>
    <w:basedOn w:val="133"/>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7">
    <w:name w:val="Heading 9 Char"/>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8">
    <w:name w:val="Intense Quote"/>
    <w:basedOn w:val="1"/>
    <w:next w:val="1"/>
    <w:link w:val="1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9">
    <w:name w:val="Intense Quote Char"/>
    <w:basedOn w:val="133"/>
    <w:link w:val="158"/>
    <w:qFormat/>
    <w:uiPriority w:val="30"/>
    <w:rPr>
      <w:b/>
      <w:bCs/>
      <w:i/>
      <w:iCs/>
      <w:color w:val="4F81BD" w:themeColor="accent1"/>
      <w14:textFill>
        <w14:solidFill>
          <w14:schemeClr w14:val="accent1"/>
        </w14:solidFill>
      </w14:textFill>
    </w:rPr>
  </w:style>
  <w:style w:type="character" w:customStyle="1" w:styleId="160">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1">
    <w:name w:val="Intense Emphasis"/>
    <w:basedOn w:val="133"/>
    <w:qFormat/>
    <w:uiPriority w:val="21"/>
    <w:rPr>
      <w:b/>
      <w:bCs/>
      <w:i/>
      <w:iCs/>
      <w:color w:val="4F81BD" w:themeColor="accent1"/>
      <w14:textFill>
        <w14:solidFill>
          <w14:schemeClr w14:val="accent1"/>
        </w14:solidFill>
      </w14:textFill>
    </w:rPr>
  </w:style>
  <w:style w:type="character" w:customStyle="1" w:styleId="162">
    <w:name w:val="Subtle Reference"/>
    <w:basedOn w:val="133"/>
    <w:qFormat/>
    <w:uiPriority w:val="31"/>
    <w:rPr>
      <w:smallCaps/>
      <w:color w:val="C0504D" w:themeColor="accent2"/>
      <w:u w:val="single"/>
      <w14:textFill>
        <w14:solidFill>
          <w14:schemeClr w14:val="accent2"/>
        </w14:solidFill>
      </w14:textFill>
    </w:rPr>
  </w:style>
  <w:style w:type="character" w:customStyle="1" w:styleId="163">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4">
    <w:name w:val="Book Title"/>
    <w:basedOn w:val="133"/>
    <w:qFormat/>
    <w:uiPriority w:val="33"/>
    <w:rPr>
      <w:b/>
      <w:bCs/>
      <w:smallCaps/>
      <w:spacing w:val="5"/>
    </w:rPr>
  </w:style>
  <w:style w:type="paragraph" w:customStyle="1" w:styleId="165">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3169</Words>
  <Characters>3400</Characters>
  <Lines>0</Lines>
  <Paragraphs>0</Paragraphs>
  <TotalTime>6</TotalTime>
  <ScaleCrop>false</ScaleCrop>
  <LinksUpToDate>false</LinksUpToDate>
  <CharactersWithSpaces>3405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李爱利</cp:lastModifiedBy>
  <dcterms:modified xsi:type="dcterms:W3CDTF">2025-06-23T09:51:53Z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eyJoZGlkIjoiN2QwNTI4MTE2NjE2NDFlMjA4YmNiYmIwODUxM2EyNmEiLCJ1c2VySWQiOiI2MTI1NjcyNTQifQ==</vt:lpwstr>
  </property>
  <property fmtid="{D5CDD505-2E9C-101B-9397-08002B2CF9AE}" pid="3" name="KSOProductBuildVer">
    <vt:lpwstr>2052-12.1.0.21541</vt:lpwstr>
  </property>
  <property fmtid="{D5CDD505-2E9C-101B-9397-08002B2CF9AE}" pid="4" name="ICV">
    <vt:lpwstr>05AD81B45A1D4AAAA5E5D8D88F29066B_13</vt:lpwstr>
  </property>
</Properties>
</file>