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2"/>
          <w:szCs w:val="32"/>
          <w:lang w:val="en-US" w:eastAsia="zh-CN"/>
        </w:rPr>
      </w:pPr>
      <w:r>
        <w:rPr>
          <w:rFonts w:hint="eastAsia" w:asciiTheme="majorEastAsia" w:hAnsiTheme="majorEastAsia" w:eastAsiaTheme="majorEastAsia" w:cstheme="minorBidi"/>
          <w:b/>
          <w:sz w:val="36"/>
          <w:szCs w:val="36"/>
          <w:lang w:eastAsia="zh-CN"/>
        </w:rPr>
        <w:t>“执业每一课”——</w:t>
      </w:r>
      <w:bookmarkStart w:id="0" w:name="_GoBack"/>
      <w:bookmarkEnd w:id="0"/>
      <w:r>
        <w:rPr>
          <w:rFonts w:hint="eastAsia" w:asciiTheme="majorEastAsia" w:hAnsiTheme="majorEastAsia" w:eastAsiaTheme="majorEastAsia"/>
          <w:b/>
          <w:sz w:val="36"/>
          <w:szCs w:val="36"/>
          <w:lang w:val="en-US" w:eastAsia="zh-CN"/>
        </w:rPr>
        <w:t>涉税专业服务</w:t>
      </w:r>
      <w:r>
        <w:rPr>
          <w:rFonts w:hint="eastAsia" w:asciiTheme="majorEastAsia" w:hAnsiTheme="majorEastAsia" w:eastAsiaTheme="majorEastAsia"/>
          <w:b/>
          <w:sz w:val="36"/>
          <w:szCs w:val="36"/>
          <w:lang w:eastAsia="zh-CN"/>
        </w:rPr>
        <w:t>代理通道登录办税</w:t>
      </w:r>
      <w:r>
        <w:rPr>
          <w:rFonts w:hint="eastAsia" w:asciiTheme="majorEastAsia" w:hAnsiTheme="majorEastAsia" w:eastAsiaTheme="majorEastAsia"/>
          <w:b/>
          <w:sz w:val="36"/>
          <w:szCs w:val="36"/>
          <w:lang w:val="en-US" w:eastAsia="zh-CN"/>
        </w:rPr>
        <w:t>操作指南</w:t>
      </w:r>
    </w:p>
    <w:p>
      <w:pPr>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尊敬的涉税专业服务机构及涉税服务人员：</w:t>
      </w:r>
    </w:p>
    <w:p>
      <w:pPr>
        <w:keepNext w:val="0"/>
        <w:keepLines w:val="0"/>
        <w:widowControl/>
        <w:suppressLineNumbers w:val="0"/>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优化完善促进行业发展，推动涉税专业服务机构及涉税服务人员规范执业，根据《涉税专业服务管理办法（试行）》【国家税务总局令第58号】规定，涉税专业服务机构及涉税服务人员应当以真实身份提供涉税专业服务，未以涉税服务人员身份，而以委托方办税人员身份办理业务，或者存在其他不以真实身份办理业务情形的予以处理处罚。涉税专业服务机构及涉税服务人员在电子税务局代办委托业务时，需向税务机关报送涉税专业服务协议信息，并</w:t>
      </w:r>
      <w:r>
        <w:rPr>
          <w:rFonts w:hint="eastAsia" w:ascii="仿宋_GB2312" w:hAnsi="仿宋_GB2312" w:eastAsia="仿宋_GB2312" w:cs="仿宋_GB2312"/>
          <w:b/>
          <w:bCs/>
          <w:color w:val="auto"/>
          <w:sz w:val="32"/>
          <w:szCs w:val="32"/>
          <w:lang w:val="en-US" w:eastAsia="zh-CN"/>
        </w:rPr>
        <w:t>通过电子税务局【代理通道】办理委托业务</w:t>
      </w:r>
      <w:r>
        <w:rPr>
          <w:rFonts w:hint="eastAsia" w:ascii="仿宋_GB2312" w:hAnsi="仿宋_GB2312" w:eastAsia="仿宋_GB2312" w:cs="仿宋_GB2312"/>
          <w:color w:val="auto"/>
          <w:sz w:val="32"/>
          <w:szCs w:val="32"/>
          <w:lang w:val="en-US" w:eastAsia="zh-CN"/>
        </w:rPr>
        <w:t>。税务部门将对机构是否通过【代理通道】办税开展检查，并按规定进行违法违规处理，请您按照下方操作指南办理委托业务。</w:t>
      </w:r>
    </w:p>
    <w:p>
      <w:pPr>
        <w:jc w:val="center"/>
        <w:rPr>
          <w:rFonts w:hint="eastAsia" w:asciiTheme="majorEastAsia" w:hAnsiTheme="majorEastAsia" w:eastAsiaTheme="majorEastAsia"/>
          <w:b/>
          <w:sz w:val="36"/>
          <w:szCs w:val="36"/>
        </w:rPr>
      </w:pPr>
    </w:p>
    <w:p>
      <w:pPr>
        <w:jc w:val="center"/>
        <w:rPr>
          <w:rFonts w:hint="default" w:asciiTheme="majorEastAsia" w:hAnsiTheme="majorEastAsia" w:eastAsiaTheme="majorEastAsia"/>
          <w:b/>
          <w:sz w:val="36"/>
          <w:szCs w:val="36"/>
          <w:lang w:val="en-US" w:eastAsia="zh-CN"/>
        </w:rPr>
      </w:pPr>
      <w:r>
        <w:rPr>
          <w:rFonts w:hint="eastAsia" w:asciiTheme="majorEastAsia" w:hAnsiTheme="majorEastAsia" w:eastAsiaTheme="majorEastAsia"/>
          <w:b/>
          <w:sz w:val="36"/>
          <w:szCs w:val="36"/>
          <w:lang w:eastAsia="zh-CN"/>
        </w:rPr>
        <w:t>代理通道登录办税</w:t>
      </w:r>
      <w:r>
        <w:rPr>
          <w:rFonts w:hint="eastAsia" w:asciiTheme="majorEastAsia" w:hAnsiTheme="majorEastAsia" w:eastAsiaTheme="majorEastAsia"/>
          <w:b/>
          <w:sz w:val="36"/>
          <w:szCs w:val="36"/>
          <w:lang w:val="en-US" w:eastAsia="zh-CN"/>
        </w:rPr>
        <w:t>操作指南（单户办理）</w:t>
      </w:r>
    </w:p>
    <w:p>
      <w:pPr>
        <w:jc w:val="center"/>
        <w:rPr>
          <w:rFonts w:asciiTheme="majorEastAsia" w:hAnsiTheme="majorEastAsia" w:eastAsiaTheme="majorEastAsia"/>
          <w:b/>
          <w:sz w:val="36"/>
          <w:szCs w:val="36"/>
        </w:rPr>
      </w:pPr>
    </w:p>
    <w:p>
      <w:pPr>
        <w:rPr>
          <w:rFonts w:ascii="仿宋" w:hAnsi="仿宋" w:eastAsia="仿宋"/>
          <w:sz w:val="32"/>
          <w:szCs w:val="32"/>
          <w:shd w:val="clear" w:color="auto" w:fill="FFFFFF"/>
        </w:rPr>
      </w:pPr>
      <w:r>
        <w:rPr>
          <w:rFonts w:hint="eastAsia" w:ascii="仿宋" w:hAnsi="仿宋" w:eastAsia="仿宋"/>
          <w:sz w:val="32"/>
          <w:szCs w:val="32"/>
          <w:shd w:val="clear" w:color="auto" w:fill="FFFFFF"/>
        </w:rPr>
        <w:t xml:space="preserve">    涉税专业服务机构已成功采集委托服务协议的，协议中授权的机构代理人，通过新电子税务局代理业务通道登录，选择相应的委托人身份，即可通过电子税务局为其办理相关涉税业务。</w:t>
      </w:r>
      <w:r>
        <w:rPr>
          <w:rFonts w:hint="eastAsia" w:ascii="仿宋" w:hAnsi="仿宋" w:eastAsia="仿宋"/>
          <w:sz w:val="32"/>
          <w:szCs w:val="32"/>
          <w:shd w:val="clear" w:color="auto" w:fill="FFFFFF"/>
          <w:lang w:eastAsia="zh-CN"/>
        </w:rPr>
        <w:t>（若与委托人协议未采集的，请登录中介机构电子税务局账号采集协议，并同时登录委托方电子税务局确认协议）</w:t>
      </w:r>
    </w:p>
    <w:p>
      <w:pPr>
        <w:rPr>
          <w:rFonts w:ascii="仿宋" w:hAnsi="仿宋" w:eastAsia="仿宋"/>
          <w:b/>
          <w:sz w:val="32"/>
          <w:szCs w:val="32"/>
          <w:shd w:val="clear" w:color="auto" w:fill="FFFFFF"/>
        </w:rPr>
      </w:pPr>
      <w:r>
        <w:rPr>
          <w:rFonts w:hint="eastAsia" w:ascii="仿宋" w:hAnsi="仿宋" w:eastAsia="仿宋"/>
          <w:sz w:val="32"/>
          <w:szCs w:val="32"/>
          <w:shd w:val="clear" w:color="auto" w:fill="FFFFFF"/>
        </w:rPr>
        <w:t xml:space="preserve">   </w:t>
      </w:r>
      <w:r>
        <w:rPr>
          <w:rFonts w:hint="eastAsia" w:ascii="仿宋" w:hAnsi="仿宋" w:eastAsia="仿宋"/>
          <w:b/>
          <w:sz w:val="32"/>
          <w:szCs w:val="32"/>
          <w:shd w:val="clear" w:color="auto" w:fill="FFFFFF"/>
        </w:rPr>
        <w:t xml:space="preserve"> 操作步骤：</w:t>
      </w:r>
    </w:p>
    <w:p>
      <w:pPr>
        <w:ind w:firstLine="640" w:firstLineChars="200"/>
        <w:rPr>
          <w:rFonts w:ascii="仿宋" w:hAnsi="仿宋" w:eastAsia="仿宋"/>
          <w:sz w:val="32"/>
          <w:szCs w:val="32"/>
          <w:shd w:val="clear" w:color="auto" w:fill="FFFFFF"/>
        </w:rPr>
      </w:pPr>
      <w:r>
        <w:rPr>
          <w:rFonts w:hint="eastAsia" w:ascii="仿宋" w:hAnsi="仿宋" w:eastAsia="仿宋"/>
          <w:sz w:val="32"/>
          <w:szCs w:val="32"/>
          <w:shd w:val="clear" w:color="auto" w:fill="FFFFFF"/>
        </w:rPr>
        <w:t>1.机构服务人员选择“代理业务”通道,输入机构统一社会信用代码及代理人个人账号密码登录，点击“单户办理”；</w:t>
      </w:r>
    </w:p>
    <w:p>
      <w:pPr>
        <w:rPr>
          <w:rFonts w:ascii="仿宋" w:hAnsi="仿宋" w:eastAsia="仿宋"/>
          <w:sz w:val="32"/>
          <w:szCs w:val="32"/>
          <w:shd w:val="clear" w:color="auto" w:fill="FFFFFF"/>
        </w:rPr>
      </w:pPr>
      <w:r>
        <w:rPr>
          <w:rFonts w:ascii="仿宋" w:hAnsi="仿宋" w:eastAsia="仿宋"/>
          <w:sz w:val="32"/>
          <w:szCs w:val="32"/>
          <w:shd w:val="clear" w:color="auto" w:fill="FFFFFF"/>
        </w:rPr>
        <w:drawing>
          <wp:inline distT="0" distB="0" distL="0" distR="0">
            <wp:extent cx="5274310" cy="2661285"/>
            <wp:effectExtent l="0" t="0" r="2540" b="5715"/>
            <wp:docPr id="1" name="图片 1" descr="C:\Users\Administrator\Desktop\新电局补充截图\微信图片_2024042909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新电局补充截图\微信图片_20240429094719.png"/>
                    <pic:cNvPicPr>
                      <a:picLocks noChangeAspect="1" noChangeArrowheads="1"/>
                    </pic:cNvPicPr>
                  </pic:nvPicPr>
                  <pic:blipFill>
                    <a:blip r:embed="rId4" cstate="print"/>
                    <a:srcRect/>
                    <a:stretch>
                      <a:fillRect/>
                    </a:stretch>
                  </pic:blipFill>
                  <pic:spPr>
                    <a:xfrm>
                      <a:off x="0" y="0"/>
                      <a:ext cx="5274310" cy="2661878"/>
                    </a:xfrm>
                    <a:prstGeom prst="rect">
                      <a:avLst/>
                    </a:prstGeom>
                    <a:noFill/>
                    <a:ln w="9525">
                      <a:noFill/>
                      <a:miter lim="800000"/>
                      <a:headEnd/>
                      <a:tailEnd/>
                    </a:ln>
                  </pic:spPr>
                </pic:pic>
              </a:graphicData>
            </a:graphic>
          </wp:inline>
        </w:drawing>
      </w:r>
    </w:p>
    <w:p>
      <w:r>
        <w:rPr>
          <w:rFonts w:hint="eastAsia"/>
        </w:rPr>
        <w:drawing>
          <wp:inline distT="0" distB="0" distL="0" distR="0">
            <wp:extent cx="5274310" cy="26612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srcRect/>
                    <a:stretch>
                      <a:fillRect/>
                    </a:stretch>
                  </pic:blipFill>
                  <pic:spPr>
                    <a:xfrm>
                      <a:off x="0" y="0"/>
                      <a:ext cx="5274310" cy="2661878"/>
                    </a:xfrm>
                    <a:prstGeom prst="rect">
                      <a:avLst/>
                    </a:prstGeom>
                    <a:noFill/>
                    <a:ln w="9525">
                      <a:noFill/>
                      <a:miter lim="800000"/>
                      <a:headEnd/>
                      <a:tailEnd/>
                    </a:ln>
                  </pic:spPr>
                </pic:pic>
              </a:graphicData>
            </a:graphic>
          </wp:inline>
        </w:drawing>
      </w:r>
    </w:p>
    <w:p>
      <w:pPr>
        <w:ind w:firstLine="640" w:firstLineChars="200"/>
        <w:rPr>
          <w:rFonts w:ascii="仿宋" w:hAnsi="仿宋" w:eastAsia="仿宋"/>
          <w:sz w:val="32"/>
          <w:szCs w:val="32"/>
          <w:shd w:val="clear" w:color="auto" w:fill="FFFFFF"/>
        </w:rPr>
      </w:pPr>
      <w:r>
        <w:rPr>
          <w:rFonts w:hint="eastAsia" w:ascii="仿宋" w:hAnsi="仿宋" w:eastAsia="仿宋"/>
          <w:sz w:val="32"/>
          <w:szCs w:val="32"/>
          <w:shd w:val="clear" w:color="auto" w:fill="FFFFFF"/>
        </w:rPr>
        <w:t>2. 页面跳转至委托企业名单，选择公司点击进入即可为该公司办理涉税业务。</w:t>
      </w:r>
    </w:p>
    <w:p/>
    <w:p>
      <w:r>
        <w:drawing>
          <wp:inline distT="0" distB="0" distL="0" distR="0">
            <wp:extent cx="5274310" cy="26619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srcRect/>
                    <a:stretch>
                      <a:fillRect/>
                    </a:stretch>
                  </pic:blipFill>
                  <pic:spPr>
                    <a:xfrm>
                      <a:off x="0" y="0"/>
                      <a:ext cx="5274310" cy="2662428"/>
                    </a:xfrm>
                    <a:prstGeom prst="rect">
                      <a:avLst/>
                    </a:prstGeom>
                    <a:noFill/>
                    <a:ln w="9525">
                      <a:noFill/>
                      <a:miter lim="800000"/>
                      <a:headEnd/>
                      <a:tailEnd/>
                    </a:ln>
                  </pic:spPr>
                </pic:pic>
              </a:graphicData>
            </a:graphic>
          </wp:inline>
        </w:drawing>
      </w:r>
    </w:p>
    <w:p>
      <w:r>
        <w:drawing>
          <wp:inline distT="0" distB="0" distL="0" distR="0">
            <wp:extent cx="5274310" cy="26619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274310" cy="2662428"/>
                    </a:xfrm>
                    <a:prstGeom prst="rect">
                      <a:avLst/>
                    </a:prstGeom>
                    <a:noFill/>
                    <a:ln w="9525">
                      <a:noFill/>
                      <a:miter lim="800000"/>
                      <a:headEnd/>
                      <a:tailEnd/>
                    </a:ln>
                  </pic:spPr>
                </pic:pic>
              </a:graphicData>
            </a:graphic>
          </wp:inline>
        </w:drawing>
      </w:r>
    </w:p>
    <w:p>
      <w:pPr>
        <w:jc w:val="center"/>
        <w:rPr>
          <w:rFonts w:hint="eastAsia" w:asciiTheme="majorEastAsia" w:hAnsiTheme="majorEastAsia" w:eastAsiaTheme="majorEastAsia"/>
          <w:b/>
          <w:sz w:val="36"/>
          <w:szCs w:val="36"/>
        </w:rPr>
      </w:pPr>
    </w:p>
    <w:p>
      <w:pPr>
        <w:jc w:val="center"/>
        <w:rPr>
          <w:rFonts w:hint="eastAsia" w:asciiTheme="majorEastAsia" w:hAnsiTheme="majorEastAsia" w:eastAsiaTheme="majorEastAsia"/>
          <w:b/>
          <w:sz w:val="36"/>
          <w:szCs w:val="36"/>
        </w:rPr>
      </w:pPr>
    </w:p>
    <w:p>
      <w:pPr>
        <w:jc w:val="center"/>
        <w:rPr>
          <w:rFonts w:hint="default" w:asciiTheme="majorEastAsia" w:hAnsiTheme="majorEastAsia" w:eastAsiaTheme="majorEastAsia"/>
          <w:b/>
          <w:sz w:val="36"/>
          <w:szCs w:val="36"/>
          <w:lang w:val="en-US" w:eastAsia="zh-CN"/>
        </w:rPr>
      </w:pPr>
      <w:r>
        <w:rPr>
          <w:rFonts w:hint="eastAsia" w:asciiTheme="majorEastAsia" w:hAnsiTheme="majorEastAsia" w:eastAsiaTheme="majorEastAsia"/>
          <w:b/>
          <w:sz w:val="36"/>
          <w:szCs w:val="36"/>
          <w:lang w:eastAsia="zh-CN"/>
        </w:rPr>
        <w:t>代理通道登录办税</w:t>
      </w:r>
      <w:r>
        <w:rPr>
          <w:rFonts w:hint="eastAsia" w:asciiTheme="majorEastAsia" w:hAnsiTheme="majorEastAsia" w:eastAsiaTheme="majorEastAsia"/>
          <w:b/>
          <w:sz w:val="36"/>
          <w:szCs w:val="36"/>
          <w:lang w:val="en-US" w:eastAsia="zh-CN"/>
        </w:rPr>
        <w:t>操作指南（批量申报）</w:t>
      </w:r>
    </w:p>
    <w:p>
      <w:pPr>
        <w:jc w:val="center"/>
        <w:rPr>
          <w:rFonts w:asciiTheme="majorEastAsia" w:hAnsiTheme="majorEastAsia" w:eastAsiaTheme="majorEastAsia"/>
          <w:sz w:val="36"/>
          <w:szCs w:val="36"/>
        </w:rPr>
      </w:pPr>
    </w:p>
    <w:p>
      <w:pPr>
        <w:ind w:firstLine="640" w:firstLineChars="200"/>
        <w:rPr>
          <w:rFonts w:ascii="仿宋" w:hAnsi="仿宋" w:eastAsia="仿宋"/>
          <w:sz w:val="32"/>
          <w:szCs w:val="32"/>
          <w:shd w:val="clear" w:color="auto" w:fill="FFFFFF"/>
        </w:rPr>
      </w:pPr>
      <w:r>
        <w:rPr>
          <w:rFonts w:hint="eastAsia" w:ascii="仿宋" w:hAnsi="仿宋" w:eastAsia="仿宋"/>
          <w:sz w:val="32"/>
          <w:szCs w:val="32"/>
          <w:shd w:val="clear" w:color="auto" w:fill="FFFFFF"/>
        </w:rPr>
        <w:t>涉税专业服务机构服务人员通过电子税务局“代理业务”通道登录后，可以使用批量申报功能为其所代理的委托人纳税人批量办理申报。目前批量零申报仅支持增值税及附加税（小规模适用）本期无经营行为零申报。</w:t>
      </w:r>
    </w:p>
    <w:p>
      <w:pPr>
        <w:ind w:firstLine="643" w:firstLineChars="200"/>
        <w:rPr>
          <w:rFonts w:ascii="仿宋" w:hAnsi="仿宋" w:eastAsia="仿宋"/>
          <w:b/>
          <w:sz w:val="32"/>
          <w:szCs w:val="32"/>
          <w:shd w:val="clear" w:color="auto" w:fill="FFFFFF"/>
        </w:rPr>
      </w:pPr>
      <w:r>
        <w:rPr>
          <w:rFonts w:hint="eastAsia" w:ascii="仿宋" w:hAnsi="仿宋" w:eastAsia="仿宋"/>
          <w:b/>
          <w:sz w:val="32"/>
          <w:szCs w:val="32"/>
          <w:shd w:val="clear" w:color="auto" w:fill="FFFFFF"/>
        </w:rPr>
        <w:t>操作步骤：</w:t>
      </w:r>
    </w:p>
    <w:p>
      <w:pPr>
        <w:ind w:firstLine="643" w:firstLineChars="200"/>
        <w:rPr>
          <w:rFonts w:hint="eastAsia" w:ascii="仿宋" w:hAnsi="仿宋" w:eastAsia="仿宋"/>
          <w:sz w:val="32"/>
          <w:szCs w:val="32"/>
          <w:shd w:val="clear" w:color="auto" w:fill="FFFFFF"/>
        </w:rPr>
      </w:pPr>
      <w:r>
        <w:rPr>
          <w:rFonts w:hint="eastAsia" w:ascii="仿宋" w:hAnsi="仿宋" w:eastAsia="仿宋"/>
          <w:b/>
          <w:sz w:val="32"/>
          <w:szCs w:val="32"/>
          <w:shd w:val="clear" w:color="auto" w:fill="FFFFFF"/>
        </w:rPr>
        <w:t>1.</w:t>
      </w:r>
      <w:r>
        <w:rPr>
          <w:rFonts w:hint="eastAsia" w:ascii="仿宋" w:hAnsi="仿宋" w:eastAsia="仿宋"/>
          <w:sz w:val="32"/>
          <w:szCs w:val="32"/>
          <w:shd w:val="clear" w:color="auto" w:fill="FFFFFF"/>
        </w:rPr>
        <w:t>机构服务人员选择“代理业务”通道,输入机构统一社会信用代码及代理人个人账号密码登录，点击“批量申报”；</w:t>
      </w:r>
    </w:p>
    <w:p>
      <w:pPr>
        <w:rPr>
          <w:rFonts w:ascii="仿宋" w:hAnsi="仿宋" w:eastAsia="仿宋"/>
          <w:sz w:val="32"/>
          <w:szCs w:val="32"/>
          <w:shd w:val="clear" w:color="auto" w:fill="FFFFFF"/>
        </w:rPr>
      </w:pPr>
      <w:r>
        <w:rPr>
          <w:rFonts w:ascii="仿宋" w:hAnsi="仿宋" w:eastAsia="仿宋"/>
          <w:sz w:val="32"/>
          <w:szCs w:val="32"/>
          <w:shd w:val="clear" w:color="auto" w:fill="FFFFFF"/>
        </w:rPr>
        <w:drawing>
          <wp:inline distT="0" distB="0" distL="0" distR="0">
            <wp:extent cx="5274310" cy="2661285"/>
            <wp:effectExtent l="0" t="0" r="2540" b="5715"/>
            <wp:docPr id="2" name="图片 1" descr="C:\Users\Administrator\Desktop\新电局补充截图\微信图片_2024042909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新电局补充截图\微信图片_20240429094719.png"/>
                    <pic:cNvPicPr>
                      <a:picLocks noChangeAspect="1" noChangeArrowheads="1"/>
                    </pic:cNvPicPr>
                  </pic:nvPicPr>
                  <pic:blipFill>
                    <a:blip r:embed="rId4" cstate="print"/>
                    <a:srcRect/>
                    <a:stretch>
                      <a:fillRect/>
                    </a:stretch>
                  </pic:blipFill>
                  <pic:spPr>
                    <a:xfrm>
                      <a:off x="0" y="0"/>
                      <a:ext cx="5274310" cy="2661878"/>
                    </a:xfrm>
                    <a:prstGeom prst="rect">
                      <a:avLst/>
                    </a:prstGeom>
                    <a:noFill/>
                    <a:ln w="9525">
                      <a:noFill/>
                      <a:miter lim="800000"/>
                      <a:headEnd/>
                      <a:tailEnd/>
                    </a:ln>
                  </pic:spPr>
                </pic:pic>
              </a:graphicData>
            </a:graphic>
          </wp:inline>
        </w:drawing>
      </w:r>
    </w:p>
    <w:p>
      <w:pPr>
        <w:rPr>
          <w:color w:val="FF0000"/>
        </w:rPr>
      </w:pPr>
      <w:r>
        <w:rPr>
          <w:color w:val="FF0000"/>
        </w:rPr>
        <w:drawing>
          <wp:inline distT="0" distB="0" distL="0" distR="0">
            <wp:extent cx="5274310" cy="25063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srcRect/>
                    <a:stretch>
                      <a:fillRect/>
                    </a:stretch>
                  </pic:blipFill>
                  <pic:spPr>
                    <a:xfrm>
                      <a:off x="0" y="0"/>
                      <a:ext cx="5274310" cy="2506396"/>
                    </a:xfrm>
                    <a:prstGeom prst="rect">
                      <a:avLst/>
                    </a:prstGeom>
                    <a:noFill/>
                    <a:ln w="9525">
                      <a:noFill/>
                      <a:miter lim="800000"/>
                      <a:headEnd/>
                      <a:tailEnd/>
                    </a:ln>
                  </pic:spPr>
                </pic:pic>
              </a:graphicData>
            </a:graphic>
          </wp:inline>
        </w:drawing>
      </w:r>
    </w:p>
    <w:p>
      <w:pPr>
        <w:ind w:firstLine="640" w:firstLineChars="200"/>
        <w:rPr>
          <w:rFonts w:ascii="仿宋" w:hAnsi="仿宋" w:eastAsia="仿宋"/>
          <w:sz w:val="32"/>
          <w:szCs w:val="32"/>
          <w:shd w:val="clear" w:color="auto" w:fill="FFFFFF"/>
        </w:rPr>
      </w:pPr>
      <w:r>
        <w:rPr>
          <w:rFonts w:hint="eastAsia" w:ascii="仿宋" w:hAnsi="仿宋" w:eastAsia="仿宋"/>
          <w:sz w:val="32"/>
          <w:szCs w:val="32"/>
          <w:shd w:val="clear" w:color="auto" w:fill="FFFFFF"/>
        </w:rPr>
        <w:t>2.选择申报表类型为《增值税及附加税费申报表（小规模纳税人适用）》，点击查询，勾选需要批量申报的委托方，点击“批量零申报”，完成。</w:t>
      </w:r>
    </w:p>
    <w:p>
      <w:pPr>
        <w:rPr>
          <w:color w:val="FF0000"/>
        </w:rPr>
      </w:pPr>
    </w:p>
    <w:p>
      <w:pPr>
        <w:rPr>
          <w:color w:val="FF0000"/>
        </w:rPr>
      </w:pPr>
      <w:r>
        <w:rPr>
          <w:color w:val="FF0000"/>
        </w:rPr>
        <w:drawing>
          <wp:inline distT="0" distB="0" distL="0" distR="0">
            <wp:extent cx="5274310" cy="26619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srcRect/>
                    <a:stretch>
                      <a:fillRect/>
                    </a:stretch>
                  </pic:blipFill>
                  <pic:spPr>
                    <a:xfrm>
                      <a:off x="0" y="0"/>
                      <a:ext cx="5274310" cy="2662428"/>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color w:val="auto"/>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wNTI4MTE2NjE2NDFlMjA4YmNiYmIwODUxM2EyNmEifQ=="/>
  </w:docVars>
  <w:rsids>
    <w:rsidRoot w:val="5F9728B2"/>
    <w:rsid w:val="01C85CB7"/>
    <w:rsid w:val="1FCE1AC3"/>
    <w:rsid w:val="200603BB"/>
    <w:rsid w:val="2C66290D"/>
    <w:rsid w:val="3CD63197"/>
    <w:rsid w:val="3EFD06B6"/>
    <w:rsid w:val="42925DB2"/>
    <w:rsid w:val="4D7C5F6F"/>
    <w:rsid w:val="54020B39"/>
    <w:rsid w:val="5F9728B2"/>
    <w:rsid w:val="6D3B37DE"/>
    <w:rsid w:val="6E842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432</Words>
  <Characters>434</Characters>
  <Lines>0</Lines>
  <Paragraphs>0</Paragraphs>
  <TotalTime>0</TotalTime>
  <ScaleCrop>false</ScaleCrop>
  <LinksUpToDate>false</LinksUpToDate>
  <CharactersWithSpaces>443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2024-10-31T10:10:00Z</dcterms:created>
  <dc:creator>汤铖</dc:creator>
  <cp:lastModifiedBy>汤铖</cp:lastModifiedBy>
  <dcterms:modified xsi:type="dcterms:W3CDTF">2025-05-19T08:03:20Z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45ED4D38FE9643D3B330B8C304D37876_12</vt:lpwstr>
  </property>
  <property fmtid="{D5CDD505-2E9C-101B-9397-08002B2CF9AE}" pid="4" name="KSOTemplateDocerSaveRecord">
    <vt:lpwstr>eyJoZGlkIjoiNWI0ZThhNDMzOTFjNTZiMTBmNGYwMTVhMzBmZGE5NjEiLCJ1c2VySWQiOiI2MTI1NjcyNTQifQ==</vt:lpwstr>
  </property>
</Properties>
</file>