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center"/>
        <w:rPr>
          <w:rFonts w:hint="eastAsia" w:ascii="宋体" w:hAnsi="宋体" w:eastAsia="宋体" w:cs="宋体"/>
          <w:b/>
          <w:bCs/>
          <w:color w:val="333333"/>
          <w:sz w:val="36"/>
          <w:szCs w:val="36"/>
        </w:rPr>
      </w:pPr>
    </w:p>
    <w:p>
      <w:pPr>
        <w:widowControl/>
        <w:spacing w:line="580" w:lineRule="exact"/>
        <w:jc w:val="center"/>
        <w:rPr>
          <w:rFonts w:ascii="方正小标宋简体" w:hAnsi="方正小标宋简体" w:eastAsia="方正小标宋简体" w:cs="方正小标宋简体"/>
          <w:b/>
          <w:bCs/>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t>国家税务总局武汉武汉</w:t>
      </w:r>
      <w:r>
        <w:rPr>
          <w:rFonts w:hint="eastAsia" w:ascii="方正小标宋简体" w:hAnsi="方正小标宋简体" w:eastAsia="方正小标宋简体" w:cs="方正小标宋简体"/>
          <w:b/>
          <w:bCs/>
          <w:color w:val="000000" w:themeColor="text1"/>
          <w:kern w:val="0"/>
          <w:sz w:val="44"/>
          <w:szCs w:val="44"/>
          <w:lang w:eastAsia="zh-CN"/>
          <w14:textFill>
            <w14:solidFill>
              <w14:schemeClr w14:val="tx1"/>
            </w14:solidFill>
          </w14:textFill>
        </w:rPr>
        <w:t>东湖新技术开发</w:t>
      </w:r>
      <w:r>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t>区税务局202</w:t>
      </w:r>
      <w:r>
        <w:rPr>
          <w:rFonts w:hint="eastAsia" w:ascii="方正小标宋简体" w:hAnsi="方正小标宋简体" w:eastAsia="方正小标宋简体" w:cs="方正小标宋简体"/>
          <w:b/>
          <w:bCs/>
          <w:color w:val="000000" w:themeColor="text1"/>
          <w:kern w:val="0"/>
          <w:sz w:val="44"/>
          <w:szCs w:val="44"/>
          <w:lang w:val="en-US" w:eastAsia="zh-CN"/>
          <w14:textFill>
            <w14:solidFill>
              <w14:schemeClr w14:val="tx1"/>
            </w14:solidFill>
          </w14:textFill>
        </w:rPr>
        <w:t>4</w:t>
      </w:r>
      <w:r>
        <w:rPr>
          <w:rFonts w:hint="eastAsia" w:ascii="方正小标宋简体" w:hAnsi="方正小标宋简体" w:eastAsia="方正小标宋简体" w:cs="方正小标宋简体"/>
          <w:b/>
          <w:bCs/>
          <w:color w:val="000000" w:themeColor="text1"/>
          <w:kern w:val="0"/>
          <w:sz w:val="44"/>
          <w:szCs w:val="44"/>
          <w14:textFill>
            <w14:solidFill>
              <w14:schemeClr w14:val="tx1"/>
            </w14:solidFill>
          </w14:textFill>
        </w:rPr>
        <w:t>年政府信息公开年度报告</w:t>
      </w:r>
    </w:p>
    <w:p>
      <w:pPr>
        <w:widowControl/>
        <w:rPr>
          <w:rFonts w:ascii="仿宋_GB2312" w:hAnsi="仿宋_GB2312" w:eastAsia="仿宋_GB2312" w:cs="仿宋_GB2312"/>
          <w:b/>
          <w:bCs/>
          <w:color w:val="000000" w:themeColor="text1"/>
          <w:kern w:val="0"/>
          <w:sz w:val="32"/>
          <w:szCs w:val="32"/>
          <w14:textFill>
            <w14:solidFill>
              <w14:schemeClr w14:val="tx1"/>
            </w14:solidFill>
          </w14:textFill>
        </w:rPr>
      </w:pPr>
    </w:p>
    <w:p>
      <w:pPr>
        <w:ind w:firstLine="645"/>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一、总体情况</w:t>
      </w:r>
    </w:p>
    <w:p>
      <w:pPr>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年，国家税务总局武汉</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东湖新技术开发</w:t>
      </w:r>
      <w:r>
        <w:rPr>
          <w:rFonts w:hint="eastAsia" w:ascii="仿宋_GB2312" w:hAnsi="仿宋_GB2312" w:eastAsia="仿宋_GB2312" w:cs="仿宋_GB2312"/>
          <w:color w:val="000000" w:themeColor="text1"/>
          <w:sz w:val="32"/>
          <w:szCs w:val="32"/>
          <w14:textFill>
            <w14:solidFill>
              <w14:schemeClr w14:val="tx1"/>
            </w14:solidFill>
          </w14:textFill>
        </w:rPr>
        <w:t>区税务局（以下简称“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w:t>
      </w:r>
      <w:r>
        <w:rPr>
          <w:rFonts w:hint="eastAsia" w:ascii="仿宋_GB2312" w:hAnsi="仿宋_GB2312" w:eastAsia="仿宋_GB2312" w:cs="仿宋_GB2312"/>
          <w:color w:val="000000" w:themeColor="text1"/>
          <w:sz w:val="32"/>
          <w:szCs w:val="32"/>
          <w14:textFill>
            <w14:solidFill>
              <w14:schemeClr w14:val="tx1"/>
            </w14:solidFill>
          </w14:textFill>
        </w:rPr>
        <w:t>区税务局”）认真贯彻落实《中华人民共和国政府信息公开条例》和《国务院办公厅政府信息与政务公开办公室关于政府信息公开工作年度报告有关事项的通知》，坚持以公开为常态、不公开为例外，全力推进政务公开工作，保障了公众知情权、参与权和监督权，不断提高税收执法和行政管理工作的透明度和办事效率。</w:t>
      </w:r>
    </w:p>
    <w:p>
      <w:pPr>
        <w:ind w:firstLine="645"/>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（一）贯彻落实情况。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东湖区税务局</w:t>
      </w:r>
      <w:r>
        <w:rPr>
          <w:rFonts w:hint="eastAsia" w:ascii="仿宋_GB2312" w:hAnsi="仿宋_GB2312" w:eastAsia="仿宋_GB2312" w:cs="仿宋_GB2312"/>
          <w:color w:val="000000" w:themeColor="text1"/>
          <w:sz w:val="32"/>
          <w:szCs w:val="32"/>
          <w14:textFill>
            <w14:solidFill>
              <w14:schemeClr w14:val="tx1"/>
            </w14:solidFill>
          </w14:textFill>
        </w:rPr>
        <w:t>成立了政府信息公开工作领导小组，由区局主要负责人担任组长，其他局领导任副组长，各部门主要负责人为小组成员，领导小组下设办公室，负责</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东湖区税务局</w:t>
      </w:r>
      <w:r>
        <w:rPr>
          <w:rFonts w:hint="eastAsia" w:ascii="仿宋_GB2312" w:hAnsi="仿宋_GB2312" w:eastAsia="仿宋_GB2312" w:cs="仿宋_GB2312"/>
          <w:color w:val="000000" w:themeColor="text1"/>
          <w:sz w:val="32"/>
          <w:szCs w:val="32"/>
          <w14:textFill>
            <w14:solidFill>
              <w14:schemeClr w14:val="tx1"/>
            </w14:solidFill>
          </w14:textFill>
        </w:rPr>
        <w:t>政府信息公开工作的组织实施。</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东湖区税务局</w:t>
      </w:r>
      <w:r>
        <w:rPr>
          <w:rFonts w:hint="eastAsia" w:ascii="仿宋_GB2312" w:hAnsi="仿宋_GB2312" w:eastAsia="仿宋_GB2312" w:cs="仿宋_GB2312"/>
          <w:color w:val="000000" w:themeColor="text1"/>
          <w:sz w:val="32"/>
          <w:szCs w:val="32"/>
          <w14:textFill>
            <w14:solidFill>
              <w14:schemeClr w14:val="tx1"/>
            </w14:solidFill>
          </w14:textFill>
        </w:rPr>
        <w:t>认真组织学习政府信息公开的规章制度。按照严格依法、全面真实、及时便民的原则，统筹规划，突出重点，明确公开内容，规范公开程序，丰富公开形式，平稳推进政府信息公开各项工作。</w:t>
      </w:r>
    </w:p>
    <w:p>
      <w:pPr>
        <w:ind w:firstLine="643"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（二）主动公开情况。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东湖区税务局</w:t>
      </w:r>
      <w:r>
        <w:rPr>
          <w:rFonts w:hint="eastAsia" w:ascii="仿宋_GB2312" w:hAnsi="仿宋_GB2312" w:eastAsia="仿宋_GB2312" w:cs="仿宋_GB2312"/>
          <w:color w:val="000000" w:themeColor="text1"/>
          <w:sz w:val="32"/>
          <w:szCs w:val="32"/>
          <w14:textFill>
            <w14:solidFill>
              <w14:schemeClr w14:val="tx1"/>
            </w14:solidFill>
          </w14:textFill>
        </w:rPr>
        <w:t>积极通过网站、办税服务厅、电子显示屏、服务微信群、QQ群等途径方式，主动公开政府信息，包括领导简介、机构设置、主要职能、行业概况、工作计划、工作动态、税收政策法规、税收征管制度、办税指南、行政许可规定、非许可审批、税收收入统计数据、队伍建设情况、人事管理事项等政府信息。为</w:t>
      </w:r>
      <w:r>
        <w:rPr>
          <w:rFonts w:hint="eastAsia" w:ascii="仿宋_GB2312" w:hAnsi="仿宋_GB2312" w:eastAsia="仿宋_GB2312" w:cs="仿宋_GB2312"/>
          <w:color w:val="000000" w:themeColor="text1"/>
          <w:kern w:val="0"/>
          <w:sz w:val="32"/>
          <w:szCs w:val="32"/>
          <w14:textFill>
            <w14:solidFill>
              <w14:schemeClr w14:val="tx1"/>
            </w14:solidFill>
          </w14:textFill>
        </w:rPr>
        <w:t>方便公众及时了解信息，区局依托办税服务厅，主动接受纳税人咨询，还综合利用各类纳税辅导培训、宣传栏、电子显示屏等形式，及时公开税收政策、行政处罚、行政许可等各类信息，推进公开信息的电子化，降低纳税人查询成本，信息公开工作取得了一定成效。</w:t>
      </w:r>
    </w:p>
    <w:p>
      <w:pPr>
        <w:ind w:firstLine="645"/>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（三）依申请公开情况。</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东湖区税务局共处理</w:t>
      </w:r>
      <w:r>
        <w:rPr>
          <w:rFonts w:hint="eastAsia" w:ascii="仿宋_GB2312" w:hAnsi="仿宋_GB2312" w:eastAsia="仿宋_GB2312" w:cs="仿宋_GB2312"/>
          <w:color w:val="000000" w:themeColor="text1"/>
          <w:sz w:val="32"/>
          <w:szCs w:val="32"/>
          <w14:textFill>
            <w14:solidFill>
              <w14:schemeClr w14:val="tx1"/>
            </w14:solidFill>
          </w14:textFill>
        </w:rPr>
        <w:t>政府信息公开申请</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22次，上年度结转2件，1件结转下年度办理</w:t>
      </w:r>
      <w:r>
        <w:rPr>
          <w:rFonts w:hint="eastAsia" w:ascii="仿宋_GB2312" w:hAnsi="仿宋_GB2312" w:eastAsia="仿宋_GB2312" w:cs="仿宋_GB2312"/>
          <w:color w:val="000000" w:themeColor="text1"/>
          <w:sz w:val="32"/>
          <w:szCs w:val="32"/>
          <w14:textFill>
            <w14:solidFill>
              <w14:schemeClr w14:val="tx1"/>
            </w14:solidFill>
          </w14:textFill>
        </w:rPr>
        <w:t>。</w:t>
      </w:r>
    </w:p>
    <w:p>
      <w:pPr>
        <w:ind w:firstLine="645"/>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（四）政府信息管理情况。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东湖区税务局</w:t>
      </w:r>
      <w:r>
        <w:rPr>
          <w:rFonts w:hint="eastAsia" w:ascii="仿宋_GB2312" w:hAnsi="仿宋_GB2312" w:eastAsia="仿宋_GB2312" w:cs="仿宋_GB2312"/>
          <w:color w:val="000000" w:themeColor="text1"/>
          <w:sz w:val="32"/>
          <w:szCs w:val="32"/>
          <w14:textFill>
            <w14:solidFill>
              <w14:schemeClr w14:val="tx1"/>
            </w14:solidFill>
          </w14:textFill>
        </w:rPr>
        <w:t>严格规范文件管理，在制发公文时明确了主动公开、依申请公开、不予公开等属性，要求文件起草部门把好公开属性关口，核稿人、部门负责人、分管局领导做好公开属性的审核，办公室加强对公开属性的复核。</w:t>
      </w:r>
    </w:p>
    <w:p>
      <w:pPr>
        <w:ind w:firstLine="645"/>
        <w:rPr>
          <w:rFonts w:ascii="仿宋_GB2312" w:hAnsi="仿宋_GB2312" w:eastAsia="仿宋_GB2312" w:cs="仿宋_GB2312"/>
          <w:color w:val="000000" w:themeColor="text1"/>
          <w:sz w:val="32"/>
          <w:szCs w:val="32"/>
          <w:highlight w:val="yellow"/>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（五）平台建设情况。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东湖区税务局</w:t>
      </w:r>
      <w:r>
        <w:rPr>
          <w:rFonts w:hint="eastAsia" w:ascii="仿宋_GB2312" w:hAnsi="仿宋_GB2312" w:eastAsia="仿宋_GB2312" w:cs="仿宋_GB2312"/>
          <w:color w:val="000000" w:themeColor="text1"/>
          <w:sz w:val="32"/>
          <w:szCs w:val="32"/>
          <w14:textFill>
            <w14:solidFill>
              <w14:schemeClr w14:val="tx1"/>
            </w14:solidFill>
          </w14:textFill>
        </w:rPr>
        <w:t>未设区级门户网站</w:t>
      </w:r>
      <w:r>
        <w:rPr>
          <w:rFonts w:hint="eastAsia" w:ascii="仿宋_GB2312" w:hAnsi="仿宋_GB2312" w:eastAsia="仿宋_GB2312" w:cs="仿宋_GB2312"/>
          <w:color w:val="000000" w:themeColor="text1"/>
          <w:kern w:val="0"/>
          <w:sz w:val="32"/>
          <w:szCs w:val="32"/>
          <w14:textFill>
            <w14:solidFill>
              <w14:schemeClr w14:val="tx1"/>
            </w14:solidFill>
          </w14:textFill>
        </w:rPr>
        <w:t>，主要通过武汉市税务局门户网、区政府门户网，及时发布和维护</w:t>
      </w:r>
      <w:r>
        <w:rPr>
          <w:rFonts w:hint="eastAsia" w:ascii="仿宋_GB2312" w:hAnsi="仿宋_GB2312" w:eastAsia="仿宋_GB2312" w:cs="仿宋_GB2312"/>
          <w:color w:val="000000" w:themeColor="text1"/>
          <w:sz w:val="32"/>
          <w:szCs w:val="32"/>
          <w14:textFill>
            <w14:solidFill>
              <w14:schemeClr w14:val="tx1"/>
            </w14:solidFill>
          </w14:textFill>
        </w:rPr>
        <w:t>公开政府信息。</w:t>
      </w:r>
    </w:p>
    <w:p>
      <w:pPr>
        <w:ind w:firstLine="645"/>
        <w:rPr>
          <w:rFonts w:hint="eastAsia" w:ascii="黑体" w:hAnsi="黑体" w:eastAsia="黑体" w:cs="黑体"/>
          <w:b w:val="0"/>
          <w:bCs w:val="0"/>
          <w:color w:val="333333"/>
          <w:sz w:val="32"/>
          <w:szCs w:val="32"/>
        </w:rPr>
      </w:pPr>
      <w:r>
        <w:rPr>
          <w:rFonts w:hint="eastAsia" w:ascii="楷体_GB2312" w:hAnsi="楷体_GB2312" w:eastAsia="楷体_GB2312" w:cs="楷体_GB2312"/>
          <w:b/>
          <w:color w:val="000000" w:themeColor="text1"/>
          <w:sz w:val="32"/>
          <w:szCs w:val="32"/>
          <w14:textFill>
            <w14:solidFill>
              <w14:schemeClr w14:val="tx1"/>
            </w14:solidFill>
          </w14:textFill>
        </w:rPr>
        <w:t>（六）监督保障情况。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东湖区税务局</w:t>
      </w:r>
      <w:r>
        <w:rPr>
          <w:rFonts w:hint="eastAsia" w:ascii="仿宋_GB2312" w:hAnsi="仿宋_GB2312" w:eastAsia="仿宋_GB2312" w:cs="仿宋_GB2312"/>
          <w:color w:val="000000" w:themeColor="text1"/>
          <w:sz w:val="32"/>
          <w:szCs w:val="32"/>
          <w14:textFill>
            <w14:solidFill>
              <w14:schemeClr w14:val="tx1"/>
            </w14:solidFill>
          </w14:textFill>
        </w:rPr>
        <w:t>将政府信息公开工作纳入绩效管理，认真学习掌握落实上级政务公开工作要求。全年未收到因政府信息公开引发的投诉和责任追究。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二、主动公开政府信息情况</w:t>
      </w:r>
    </w:p>
    <w:tbl>
      <w:tblPr>
        <w:tblStyle w:val="3"/>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05"/>
        <w:gridCol w:w="2105"/>
        <w:gridCol w:w="2105"/>
        <w:gridCol w:w="21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0" w:hRule="atLeast"/>
          <w:jc w:val="center"/>
        </w:trPr>
        <w:tc>
          <w:tcPr>
            <w:tcW w:w="5000" w:type="pct"/>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w:t>
            </w:r>
            <w:r>
              <w:rPr>
                <w:rFonts w:hint="eastAsia" w:ascii="宋体" w:hAnsi="宋体" w:eastAsia="宋体" w:cs="宋体"/>
                <w:color w:val="333333"/>
                <w:kern w:val="0"/>
                <w:sz w:val="21"/>
                <w:szCs w:val="21"/>
                <w:lang w:val="en-US" w:eastAsia="zh-CN" w:bidi="ar"/>
              </w:rPr>
              <w:t>制发件数</w:t>
            </w:r>
          </w:p>
        </w:tc>
        <w:tc>
          <w:tcPr>
            <w:tcW w:w="1250" w:type="pct"/>
            <w:tcBorders>
              <w:top w:val="single" w:color="auto" w:sz="8" w:space="0"/>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本年废止件数</w:t>
            </w:r>
          </w:p>
        </w:tc>
        <w:tc>
          <w:tcPr>
            <w:tcW w:w="1250" w:type="pct"/>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现行有效件</w:t>
            </w:r>
            <w:r>
              <w:rPr>
                <w:rFonts w:hint="eastAsia" w:ascii="宋体" w:hAnsi="宋体" w:eastAsia="宋体" w:cs="宋体"/>
                <w:color w:val="333333"/>
                <w:kern w:val="0"/>
                <w:sz w:val="21"/>
                <w:szCs w:val="21"/>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规章</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行政规范性文件</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0</w:t>
            </w:r>
          </w:p>
        </w:tc>
        <w:tc>
          <w:tcPr>
            <w:tcW w:w="1250" w:type="pct"/>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default" w:ascii="Calibri" w:hAnsi="Calibri" w:eastAsia="宋体" w:cs="Calibri"/>
                <w:color w:val="333333"/>
                <w:kern w:val="2"/>
                <w:sz w:val="21"/>
                <w:szCs w:val="21"/>
                <w:lang w:val="en-US" w:eastAsia="zh-CN" w:bidi="ar"/>
              </w:rPr>
              <w:t> </w:t>
            </w:r>
            <w:r>
              <w:rPr>
                <w:rFonts w:hint="eastAsia" w:ascii="Calibri" w:hAnsi="Calibri" w:eastAsia="宋体" w:cs="Calibri"/>
                <w:color w:val="333333"/>
                <w:kern w:val="2"/>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single" w:color="auto" w:sz="8" w:space="0"/>
              <w:left w:val="single" w:color="auto" w:sz="8" w:space="0"/>
              <w:bottom w:val="single" w:color="auto" w:sz="8" w:space="0"/>
              <w:right w:val="single" w:color="auto" w:sz="4"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highlight w:val="yellow"/>
              </w:rPr>
            </w:pPr>
            <w:r>
              <w:rPr>
                <w:rFonts w:hint="eastAsia" w:ascii="宋体" w:hAnsi="宋体" w:eastAsia="宋体" w:cs="宋体"/>
                <w:color w:val="000000"/>
                <w:kern w:val="0"/>
                <w:sz w:val="21"/>
                <w:szCs w:val="21"/>
                <w:highlight w:val="none"/>
                <w:lang w:val="en-US" w:eastAsia="zh-CN" w:bidi="ar"/>
              </w:rPr>
              <w:t>行政许可</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highlight w:val="yellow"/>
                <w:lang w:val="en-US"/>
              </w:rPr>
            </w:pPr>
            <w:r>
              <w:rPr>
                <w:rFonts w:hint="eastAsia" w:ascii="宋体" w:hAnsi="宋体" w:eastAsia="宋体" w:cs="宋体"/>
                <w:color w:val="000000"/>
                <w:kern w:val="0"/>
                <w:sz w:val="21"/>
                <w:szCs w:val="21"/>
                <w:lang w:val="en-US" w:eastAsia="zh-CN" w:bidi="ar"/>
              </w:rPr>
              <w:t> 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sz w:val="21"/>
                <w:szCs w:val="21"/>
              </w:rPr>
            </w:pPr>
            <w:r>
              <w:rPr>
                <w:rFonts w:hint="eastAsia" w:ascii="宋体" w:hAnsi="宋体" w:eastAsia="宋体" w:cs="宋体"/>
                <w:color w:val="000000"/>
                <w:kern w:val="0"/>
                <w:sz w:val="21"/>
                <w:szCs w:val="21"/>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highlight w:val="yellow"/>
              </w:rPr>
            </w:pPr>
            <w:r>
              <w:rPr>
                <w:rFonts w:hint="eastAsia" w:ascii="宋体" w:hAnsi="宋体" w:eastAsia="宋体" w:cs="宋体"/>
                <w:color w:val="000000"/>
                <w:kern w:val="0"/>
                <w:sz w:val="21"/>
                <w:szCs w:val="21"/>
                <w:highlight w:val="none"/>
                <w:lang w:val="en-US" w:eastAsia="zh-CN" w:bidi="ar"/>
              </w:rPr>
              <w:t>行政处罚</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highlight w:val="yellow"/>
                <w:lang w:val="en-US"/>
              </w:rPr>
            </w:pPr>
            <w:r>
              <w:rPr>
                <w:rFonts w:hint="eastAsia" w:ascii="宋体" w:hAnsi="宋体" w:eastAsia="宋体" w:cs="宋体"/>
                <w:color w:val="000000"/>
                <w:kern w:val="0"/>
                <w:sz w:val="21"/>
                <w:szCs w:val="21"/>
                <w:lang w:val="en-US" w:eastAsia="zh-CN" w:bidi="ar"/>
              </w:rPr>
              <w:t>4547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行政强制</w:t>
            </w:r>
          </w:p>
        </w:tc>
        <w:tc>
          <w:tcPr>
            <w:tcW w:w="3750" w:type="pct"/>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default"/>
                <w:sz w:val="21"/>
                <w:szCs w:val="21"/>
                <w:lang w:val="en-US"/>
              </w:rPr>
            </w:pPr>
            <w:r>
              <w:rPr>
                <w:rFonts w:hint="eastAsia" w:ascii="宋体" w:hAnsi="宋体" w:eastAsia="宋体" w:cs="宋体"/>
                <w:color w:val="000000"/>
                <w:kern w:val="0"/>
                <w:sz w:val="21"/>
                <w:szCs w:val="21"/>
                <w:lang w:val="en-US" w:eastAsia="zh-CN" w:bidi="ar"/>
              </w:rPr>
              <w:t>　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5000" w:type="pct"/>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信息内容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sz w:val="21"/>
                <w:szCs w:val="21"/>
              </w:rPr>
            </w:pPr>
            <w:r>
              <w:rPr>
                <w:rFonts w:hint="eastAsia" w:ascii="宋体" w:hAnsi="宋体" w:eastAsia="宋体" w:cs="宋体"/>
                <w:color w:val="000000"/>
                <w:kern w:val="0"/>
                <w:sz w:val="21"/>
                <w:szCs w:val="21"/>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1250" w:type="pct"/>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sz w:val="21"/>
                <w:szCs w:val="21"/>
              </w:rPr>
            </w:pPr>
            <w:r>
              <w:rPr>
                <w:rFonts w:hint="eastAsia" w:ascii="宋体" w:hAnsi="宋体" w:eastAsia="宋体" w:cs="宋体"/>
                <w:color w:val="000000"/>
                <w:kern w:val="0"/>
                <w:sz w:val="21"/>
                <w:szCs w:val="21"/>
                <w:lang w:val="en-US" w:eastAsia="zh-CN" w:bidi="ar"/>
              </w:rPr>
              <w:t>行政事业性收费</w:t>
            </w:r>
          </w:p>
        </w:tc>
        <w:tc>
          <w:tcPr>
            <w:tcW w:w="3750" w:type="pct"/>
            <w:gridSpan w:val="3"/>
            <w:tcBorders>
              <w:top w:val="nil"/>
              <w:left w:val="nil"/>
              <w:bottom w:val="single" w:color="auto" w:sz="8" w:space="0"/>
              <w:right w:val="single" w:color="000000" w:sz="8" w:space="0"/>
            </w:tcBorders>
            <w:shd w:val="clear" w:color="auto" w:fill="auto"/>
            <w:tcMar>
              <w:left w:w="57" w:type="dxa"/>
              <w:right w:w="57" w:type="dxa"/>
            </w:tcMar>
            <w:vAlign w:val="center"/>
          </w:tcPr>
          <w:p>
            <w:pPr>
              <w:jc w:val="left"/>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0</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三、收到和处理政府信息公开申请情况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tbl>
      <w:tblPr>
        <w:tblStyle w:val="3"/>
        <w:tblW w:w="4917" w:type="pct"/>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57" w:type="dxa"/>
          <w:bottom w:w="0" w:type="dxa"/>
          <w:right w:w="57" w:type="dxa"/>
        </w:tblCellMar>
      </w:tblPr>
      <w:tblGrid>
        <w:gridCol w:w="633"/>
        <w:gridCol w:w="775"/>
        <w:gridCol w:w="2812"/>
        <w:gridCol w:w="578"/>
        <w:gridCol w:w="578"/>
        <w:gridCol w:w="578"/>
        <w:gridCol w:w="578"/>
        <w:gridCol w:w="580"/>
        <w:gridCol w:w="615"/>
        <w:gridCol w:w="60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57" w:type="dxa"/>
            <w:bottom w:w="0" w:type="dxa"/>
            <w:right w:w="57" w:type="dxa"/>
          </w:tblCellMar>
        </w:tblPrEx>
        <w:trPr>
          <w:trHeight w:val="382" w:hRule="atLeast"/>
          <w:jc w:val="center"/>
        </w:trPr>
        <w:tc>
          <w:tcPr>
            <w:tcW w:w="2533" w:type="pct"/>
            <w:gridSpan w:val="3"/>
            <w:vMerge w:val="restart"/>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pPr>
            <w:r>
              <w:rPr>
                <w:rFonts w:hint="eastAsia" w:ascii="楷体" w:hAnsi="楷体" w:eastAsia="楷体" w:cs="楷体"/>
                <w:color w:val="333333"/>
                <w:kern w:val="0"/>
                <w:sz w:val="20"/>
                <w:szCs w:val="20"/>
                <w:lang w:val="en-US" w:eastAsia="zh-CN" w:bidi="ar"/>
              </w:rPr>
              <w:t>（本列数据的勾稽关系为：第一项加第二项之和，等于第三项加第四项之和）</w:t>
            </w:r>
          </w:p>
        </w:tc>
        <w:tc>
          <w:tcPr>
            <w:tcW w:w="2466" w:type="pct"/>
            <w:gridSpan w:val="7"/>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2533"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47" w:type="pct"/>
            <w:vMerge w:val="restar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自然人</w:t>
            </w:r>
          </w:p>
        </w:tc>
        <w:tc>
          <w:tcPr>
            <w:tcW w:w="1758" w:type="pct"/>
            <w:gridSpan w:val="5"/>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法人或其他组织</w:t>
            </w:r>
          </w:p>
        </w:tc>
        <w:tc>
          <w:tcPr>
            <w:tcW w:w="360" w:type="pct"/>
            <w:vMerge w:val="restart"/>
            <w:tcBorders>
              <w:top w:val="single" w:color="auto" w:sz="8"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1061" w:hRule="atLeast"/>
          <w:jc w:val="center"/>
        </w:trPr>
        <w:tc>
          <w:tcPr>
            <w:tcW w:w="2533" w:type="pct"/>
            <w:gridSpan w:val="3"/>
            <w:vMerge w:val="continue"/>
            <w:tcBorders>
              <w:top w:val="single" w:color="auto" w:sz="8" w:space="0"/>
              <w:left w:val="single" w:color="auto" w:sz="8" w:space="0"/>
              <w:bottom w:val="outset" w:color="auto" w:sz="6" w:space="0"/>
              <w:right w:val="single" w:color="auto" w:sz="8" w:space="0"/>
            </w:tcBorders>
            <w:shd w:val="clear" w:color="auto" w:fill="auto"/>
            <w:tcMar>
              <w:left w:w="108" w:type="dxa"/>
              <w:right w:w="108" w:type="dxa"/>
            </w:tcMar>
            <w:vAlign w:val="center"/>
          </w:tcPr>
          <w:p>
            <w:pPr>
              <w:jc w:val="left"/>
              <w:rPr>
                <w:rFonts w:hint="eastAsia" w:ascii="宋体" w:hAnsi="宋体" w:eastAsia="宋体" w:cs="宋体"/>
                <w:color w:val="333333"/>
                <w:sz w:val="21"/>
                <w:szCs w:val="21"/>
              </w:rPr>
            </w:pPr>
          </w:p>
        </w:tc>
        <w:tc>
          <w:tcPr>
            <w:tcW w:w="347" w:type="pct"/>
            <w:vMerge w:val="continue"/>
            <w:tcBorders>
              <w:top w:val="nil"/>
              <w:left w:val="nil"/>
              <w:bottom w:val="single" w:color="auto" w:sz="8"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企业</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机构</w:t>
            </w:r>
          </w:p>
        </w:tc>
        <w:tc>
          <w:tcPr>
            <w:tcW w:w="347"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社会公益组织</w:t>
            </w:r>
          </w:p>
        </w:tc>
        <w:tc>
          <w:tcPr>
            <w:tcW w:w="348"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法律服务机构</w:t>
            </w:r>
          </w:p>
        </w:tc>
        <w:tc>
          <w:tcPr>
            <w:tcW w:w="366" w:type="pct"/>
            <w:tcBorders>
              <w:top w:val="single" w:color="auto" w:sz="8" w:space="0"/>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其他</w:t>
            </w:r>
          </w:p>
        </w:tc>
        <w:tc>
          <w:tcPr>
            <w:tcW w:w="360" w:type="pct"/>
            <w:vMerge w:val="continue"/>
            <w:tcBorders>
              <w:top w:val="single" w:color="auto" w:sz="8" w:space="0"/>
              <w:left w:val="nil"/>
              <w:bottom w:val="outset" w:color="auto" w:sz="6" w:space="0"/>
              <w:right w:val="single" w:color="auto" w:sz="8" w:space="0"/>
            </w:tcBorders>
            <w:shd w:val="clear" w:color="auto" w:fill="auto"/>
            <w:vAlign w:val="center"/>
          </w:tcPr>
          <w:p>
            <w:pPr>
              <w:jc w:val="left"/>
              <w:rPr>
                <w:rFonts w:hint="eastAsia" w:ascii="宋体" w:hAnsi="宋体" w:eastAsia="宋体" w:cs="宋体"/>
                <w:color w:val="333333"/>
                <w:sz w:val="21"/>
                <w:szCs w:val="21"/>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2533"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一、本年新收政府信息公开申请数量</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2533"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二、上年结转政府信息公开申请数量</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2</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restart"/>
            <w:tcBorders>
              <w:top w:val="nil"/>
              <w:left w:val="single" w:color="auto" w:sz="8" w:space="0"/>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三、本年度办理结果</w:t>
            </w: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（一）予以公开</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72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（二）部分公开（区分处理的，只计这一情形，不计其他情形）</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（三）不予公开</w:t>
            </w: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1.属于国家秘密</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57"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2.其他法律行政法规禁止公开</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3.危及“三安全一稳定”</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4.保护第三方合法权益</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rPr>
            </w:pPr>
            <w:r>
              <w:rPr>
                <w:rFonts w:hint="eastAsia" w:ascii="宋体" w:hAnsi="宋体" w:eastAsia="宋体" w:cs="宋体"/>
                <w:color w:val="333333"/>
                <w:kern w:val="0"/>
                <w:sz w:val="21"/>
                <w:szCs w:val="21"/>
                <w:lang w:val="en-US" w:eastAsia="zh-CN" w:bidi="ar"/>
              </w:rPr>
              <w:t>8</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5.属于三类内部事务信息</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6.属于四类过程性信息</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7.属于行政执法案卷</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8.属于行政查询事项</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（四）无法提供</w:t>
            </w: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1.本机关不掌握相关政府信息</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2.没有现成信息需要另行制作</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3.补正后申请内容仍不明确</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restart"/>
            <w:tcBorders>
              <w:top w:val="nil"/>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（五）不予处理</w:t>
            </w:r>
          </w:p>
        </w:tc>
        <w:tc>
          <w:tcPr>
            <w:tcW w:w="1687" w:type="pct"/>
            <w:tcBorders>
              <w:top w:val="nil"/>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1.信访举报投诉类申请</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single" w:color="auto" w:sz="8" w:space="0"/>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2.重复申请</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single" w:color="auto" w:sz="8" w:space="0"/>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3.要求提供公开出版物</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single" w:color="auto" w:sz="8" w:space="0"/>
              <w:left w:val="nil"/>
              <w:bottom w:val="single" w:color="auto" w:sz="8" w:space="0"/>
              <w:right w:val="single" w:color="auto" w:sz="8" w:space="0"/>
            </w:tcBorders>
            <w:shd w:val="clear" w:color="auto" w:fill="auto"/>
            <w:vAlign w:val="top"/>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4.无正当理由大量反复申请</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single" w:color="auto" w:sz="8" w:space="0"/>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9"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nil"/>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outset" w:color="auto" w:sz="6" w:space="0"/>
              <w:right w:val="single" w:color="auto" w:sz="8" w:space="0"/>
            </w:tcBorders>
            <w:shd w:val="clear" w:color="auto" w:fill="auto"/>
            <w:vAlign w:val="center"/>
          </w:tcPr>
          <w:p>
            <w:pPr>
              <w:widowControl/>
              <w:spacing w:line="30" w:lineRule="atLeas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5.要求行政机关确认或重新出具已获取信息</w:t>
            </w:r>
          </w:p>
        </w:tc>
        <w:tc>
          <w:tcPr>
            <w:tcW w:w="347"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outset" w:color="auto" w:sz="6"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71"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restart"/>
            <w:tcBorders>
              <w:top w:val="outset" w:color="auto" w:sz="6" w:space="0"/>
              <w:left w:val="nil"/>
              <w:bottom w:val="outset" w:color="auto" w:sz="6"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（六）其他处理</w:t>
            </w:r>
          </w:p>
        </w:tc>
        <w:tc>
          <w:tcPr>
            <w:tcW w:w="1687" w:type="pct"/>
            <w:tcBorders>
              <w:top w:val="nil"/>
              <w:left w:val="nil"/>
              <w:bottom w:val="single" w:color="auto" w:sz="8" w:space="0"/>
              <w:right w:val="single" w:color="auto" w:sz="8" w:space="0"/>
            </w:tcBorders>
            <w:shd w:val="clear" w:color="auto" w:fill="auto"/>
            <w:vAlign w:val="center"/>
          </w:tcPr>
          <w:p>
            <w:pPr>
              <w:widowControl/>
              <w:spacing w:line="30" w:lineRule="atLeas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1.申请人无正当理由逾期不补正、行政机关不再处理其政府信息公开申请</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7</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2</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center"/>
          </w:tcPr>
          <w:p>
            <w:pPr>
              <w:widowControl/>
              <w:spacing w:line="30" w:lineRule="atLeas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2.申请人逾期未按收费通知要求缴纳费用、行政机关不再处理其政府信息公开申请</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color w:val="333333"/>
                <w:kern w:val="0"/>
                <w:sz w:val="21"/>
                <w:szCs w:val="21"/>
                <w:lang w:val="en-US" w:eastAsia="zh-CN" w:bidi="ar"/>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465" w:type="pct"/>
            <w:vMerge w:val="continue"/>
            <w:tcBorders>
              <w:top w:val="outset" w:color="auto" w:sz="6" w:space="0"/>
              <w:left w:val="nil"/>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1687" w:type="pct"/>
            <w:tcBorders>
              <w:top w:val="nil"/>
              <w:left w:val="nil"/>
              <w:bottom w:val="single" w:color="auto" w:sz="8" w:space="0"/>
              <w:right w:val="single" w:color="auto" w:sz="8" w:space="0"/>
            </w:tcBorders>
            <w:shd w:val="clear" w:color="auto" w:fill="auto"/>
            <w:vAlign w:val="center"/>
          </w:tcPr>
          <w:p>
            <w:pPr>
              <w:widowControl/>
              <w:spacing w:line="30" w:lineRule="atLeast"/>
              <w:jc w:val="left"/>
              <w:rPr>
                <w:rFonts w:hint="eastAsia" w:ascii="Times New Roman" w:hAnsi="Times New Roman" w:eastAsiaTheme="minorEastAsia" w:cstheme="minorBidi"/>
                <w:kern w:val="2"/>
                <w:sz w:val="21"/>
                <w:szCs w:val="21"/>
                <w:lang w:val="en-US" w:eastAsia="zh-CN" w:bidi="ar-SA"/>
              </w:rPr>
            </w:pPr>
            <w:r>
              <w:rPr>
                <w:rFonts w:ascii="Times New Roman" w:hAnsi="Times New Roman"/>
                <w:color w:val="333333"/>
                <w:kern w:val="0"/>
                <w:szCs w:val="21"/>
                <w:lang w:bidi="ar"/>
              </w:rPr>
              <w:t>3.其他</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382" w:hRule="atLeast"/>
          <w:jc w:val="center"/>
        </w:trPr>
        <w:tc>
          <w:tcPr>
            <w:tcW w:w="380" w:type="pct"/>
            <w:vMerge w:val="continue"/>
            <w:tcBorders>
              <w:top w:val="nil"/>
              <w:left w:val="single" w:color="auto" w:sz="8" w:space="0"/>
              <w:bottom w:val="outset" w:color="auto" w:sz="6" w:space="0"/>
              <w:right w:val="single" w:color="auto" w:sz="8" w:space="0"/>
            </w:tcBorders>
            <w:shd w:val="clear" w:color="auto" w:fill="auto"/>
            <w:vAlign w:val="center"/>
          </w:tcPr>
          <w:p>
            <w:pPr>
              <w:jc w:val="left"/>
              <w:rPr>
                <w:rFonts w:hint="eastAsia" w:asciiTheme="minorEastAsia" w:hAnsiTheme="minorEastAsia" w:eastAsiaTheme="minorEastAsia" w:cstheme="minorEastAsia"/>
                <w:color w:val="333333"/>
                <w:sz w:val="21"/>
                <w:szCs w:val="21"/>
              </w:rPr>
            </w:pPr>
          </w:p>
        </w:tc>
        <w:tc>
          <w:tcPr>
            <w:tcW w:w="2153" w:type="pct"/>
            <w:gridSpan w:val="2"/>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（七）总计</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color w:val="333333"/>
                <w:kern w:val="0"/>
                <w:sz w:val="21"/>
                <w:szCs w:val="21"/>
                <w:lang w:val="en-US" w:eastAsia="zh-CN" w:bidi="ar"/>
              </w:rPr>
              <w:t>21</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3</w:t>
            </w:r>
          </w:p>
        </w:tc>
        <w:tc>
          <w:tcPr>
            <w:tcW w:w="360" w:type="pct"/>
            <w:tcBorders>
              <w:top w:val="nil"/>
              <w:left w:val="nil"/>
              <w:bottom w:val="single" w:color="auto" w:sz="8" w:space="0"/>
              <w:right w:val="single" w:color="auto" w:sz="8" w:space="0"/>
            </w:tcBorders>
            <w:shd w:val="clear" w:color="auto" w:fill="auto"/>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default" w:ascii="宋体" w:hAnsi="宋体" w:eastAsia="宋体" w:cs="宋体"/>
                <w:sz w:val="21"/>
                <w:szCs w:val="21"/>
                <w:lang w:val="en-US" w:eastAsia="zh-CN"/>
              </w:rPr>
            </w:pPr>
            <w:r>
              <w:rPr>
                <w:rFonts w:hint="eastAsia" w:ascii="宋体" w:hAnsi="宋体" w:eastAsia="宋体" w:cs="宋体"/>
                <w:color w:val="333333"/>
                <w:kern w:val="0"/>
                <w:sz w:val="21"/>
                <w:szCs w:val="21"/>
                <w:lang w:val="en-US" w:eastAsia="zh-CN" w:bidi="ar"/>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57" w:type="dxa"/>
            <w:bottom w:w="0" w:type="dxa"/>
            <w:right w:w="57" w:type="dxa"/>
          </w:tblCellMar>
        </w:tblPrEx>
        <w:trPr>
          <w:trHeight w:val="424" w:hRule="atLeast"/>
          <w:jc w:val="center"/>
        </w:trPr>
        <w:tc>
          <w:tcPr>
            <w:tcW w:w="2533" w:type="pct"/>
            <w:gridSpan w:val="3"/>
            <w:tcBorders>
              <w:top w:val="nil"/>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kern w:val="0"/>
                <w:sz w:val="21"/>
                <w:szCs w:val="21"/>
                <w:lang w:val="en-US" w:eastAsia="zh-CN" w:bidi="ar"/>
              </w:rPr>
              <w:t>四、结转下年度继续办理</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1</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7"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48"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6" w:type="pct"/>
            <w:tcBorders>
              <w:top w:val="nil"/>
              <w:left w:val="nil"/>
              <w:bottom w:val="single" w:color="auto" w:sz="8" w:space="0"/>
              <w:right w:val="single" w:color="auto" w:sz="8"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right="0"/>
              <w:jc w:val="center"/>
              <w:rPr>
                <w:rFonts w:hint="eastAsia" w:ascii="宋体" w:hAnsi="宋体" w:eastAsia="宋体" w:cs="宋体"/>
                <w:sz w:val="21"/>
                <w:szCs w:val="21"/>
              </w:rPr>
            </w:pPr>
            <w:r>
              <w:rPr>
                <w:rFonts w:hint="eastAsia" w:ascii="宋体" w:hAnsi="宋体" w:eastAsia="宋体" w:cs="宋体"/>
                <w:color w:val="333333"/>
                <w:kern w:val="0"/>
                <w:sz w:val="21"/>
                <w:szCs w:val="21"/>
                <w:lang w:val="en-US" w:eastAsia="zh-CN" w:bidi="ar"/>
              </w:rPr>
              <w:t>0</w:t>
            </w:r>
          </w:p>
        </w:tc>
        <w:tc>
          <w:tcPr>
            <w:tcW w:w="360" w:type="pct"/>
            <w:tcBorders>
              <w:top w:val="nil"/>
              <w:left w:val="nil"/>
              <w:bottom w:val="single" w:color="auto" w:sz="8" w:space="0"/>
              <w:right w:val="single" w:color="auto" w:sz="8" w:space="0"/>
            </w:tcBorders>
            <w:shd w:val="clear" w:color="auto" w:fill="auto"/>
            <w:vAlign w:val="top"/>
          </w:tcPr>
          <w:p>
            <w:pPr>
              <w:jc w:val="center"/>
              <w:rPr>
                <w:rFonts w:hint="eastAsia" w:ascii="宋体" w:hAnsi="宋体" w:eastAsia="宋体" w:cs="宋体"/>
                <w:color w:val="333333"/>
                <w:sz w:val="21"/>
                <w:szCs w:val="21"/>
              </w:rPr>
            </w:pPr>
            <w:r>
              <w:rPr>
                <w:rFonts w:hint="eastAsia" w:ascii="宋体" w:hAnsi="宋体" w:eastAsia="宋体" w:cs="宋体"/>
                <w:color w:val="333333"/>
                <w:kern w:val="0"/>
                <w:sz w:val="21"/>
                <w:szCs w:val="21"/>
                <w:lang w:val="en-US" w:eastAsia="zh-CN" w:bidi="ar"/>
              </w:rPr>
              <w:t>1</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center"/>
        <w:rPr>
          <w:rFonts w:hint="eastAsia" w:ascii="宋体" w:hAnsi="宋体" w:eastAsia="宋体" w:cs="宋体"/>
          <w:color w:val="333333"/>
          <w:sz w:val="24"/>
          <w:szCs w:val="2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四、政府信息公开行政复议、行政诉讼情况</w:t>
      </w:r>
    </w:p>
    <w:tbl>
      <w:tblPr>
        <w:tblStyle w:val="3"/>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559"/>
        <w:gridCol w:w="559"/>
        <w:gridCol w:w="559"/>
        <w:gridCol w:w="559"/>
        <w:gridCol w:w="576"/>
        <w:gridCol w:w="559"/>
        <w:gridCol w:w="559"/>
        <w:gridCol w:w="564"/>
        <w:gridCol w:w="564"/>
        <w:gridCol w:w="575"/>
        <w:gridCol w:w="565"/>
        <w:gridCol w:w="565"/>
        <w:gridCol w:w="616"/>
        <w:gridCol w:w="565"/>
        <w:gridCol w:w="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655"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行政复议</w:t>
            </w:r>
          </w:p>
        </w:tc>
        <w:tc>
          <w:tcPr>
            <w:tcW w:w="3344"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结果维持</w:t>
            </w:r>
          </w:p>
        </w:tc>
        <w:tc>
          <w:tcPr>
            <w:tcW w:w="329" w:type="pct"/>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2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总计</w:t>
            </w:r>
          </w:p>
        </w:tc>
        <w:tc>
          <w:tcPr>
            <w:tcW w:w="166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未经复议直接起诉</w:t>
            </w:r>
          </w:p>
        </w:tc>
        <w:tc>
          <w:tcPr>
            <w:tcW w:w="1683"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29"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29" w:type="pct"/>
            <w:vMerge w:val="continue"/>
            <w:tcBorders>
              <w:top w:val="nil"/>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29"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36"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eastAsia" w:ascii="宋体" w:hAnsi="宋体" w:eastAsia="宋体" w:cs="宋体"/>
                <w:color w:val="333333"/>
                <w:sz w:val="21"/>
                <w:szCs w:val="21"/>
              </w:rPr>
            </w:pP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其他</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维持</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结果</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纠正</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333333"/>
                <w:kern w:val="0"/>
                <w:sz w:val="20"/>
                <w:szCs w:val="20"/>
                <w:lang w:val="en-US" w:eastAsia="zh-CN" w:bidi="ar"/>
              </w:rPr>
              <w:t>尚未</w:t>
            </w:r>
            <w:r>
              <w:rPr>
                <w:rFonts w:hint="eastAsia" w:ascii="宋体" w:hAnsi="宋体" w:eastAsia="宋体" w:cs="宋体"/>
                <w:color w:val="333333"/>
                <w:kern w:val="0"/>
                <w:sz w:val="20"/>
                <w:szCs w:val="20"/>
                <w:lang w:val="en-US" w:eastAsia="zh-CN" w:bidi="ar"/>
              </w:rPr>
              <w:br w:type="textWrapping"/>
            </w:r>
            <w:r>
              <w:rPr>
                <w:rFonts w:hint="eastAsia" w:ascii="宋体" w:hAnsi="宋体" w:eastAsia="宋体" w:cs="宋体"/>
                <w:color w:val="333333"/>
                <w:kern w:val="0"/>
                <w:sz w:val="20"/>
                <w:szCs w:val="20"/>
                <w:lang w:val="en-US" w:eastAsia="zh-CN" w:bidi="ar"/>
              </w:rPr>
              <w:t>审结</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宋体" w:hAnsi="宋体" w:eastAsia="宋体" w:cs="宋体"/>
                <w:color w:val="000000"/>
                <w:kern w:val="0"/>
                <w:sz w:val="20"/>
                <w:szCs w:val="20"/>
                <w:lang w:val="en-US" w:eastAsia="zh-CN"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lang w:val="en-US" w:eastAsia="zh-CN"/>
              </w:rPr>
              <w:t>3</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lang w:val="en-US" w:eastAsia="zh-CN"/>
              </w:rPr>
              <w:t>3</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2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lang w:val="en-US" w:eastAsia="zh-CN"/>
              </w:rPr>
              <w:t>0</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default"/>
                <w:lang w:val="en-US"/>
              </w:rPr>
            </w:pPr>
            <w:r>
              <w:rPr>
                <w:rFonts w:hint="eastAsia" w:ascii="黑体" w:hAnsi="宋体" w:eastAsia="黑体" w:cs="黑体"/>
                <w:color w:val="333333"/>
                <w:kern w:val="2"/>
                <w:sz w:val="20"/>
                <w:szCs w:val="20"/>
                <w:lang w:val="en-US" w:eastAsia="zh-CN" w:bidi="ar"/>
              </w:rPr>
              <w:t>0</w:t>
            </w:r>
          </w:p>
        </w:tc>
        <w:tc>
          <w:tcPr>
            <w:tcW w:w="3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1(撤诉)</w:t>
            </w:r>
          </w:p>
        </w:tc>
        <w:tc>
          <w:tcPr>
            <w:tcW w:w="33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Lines="0" w:afterAutospacing="0" w:line="30" w:lineRule="atLeast"/>
              <w:ind w:left="0" w:leftChars="0" w:right="0" w:rightChars="0" w:firstLine="0" w:firstLineChars="0"/>
              <w:jc w:val="center"/>
              <w:rPr>
                <w:rFonts w:hint="eastAsia" w:ascii="黑体" w:hAnsi="宋体" w:eastAsia="黑体" w:cs="黑体"/>
                <w:color w:val="333333"/>
                <w:kern w:val="2"/>
                <w:sz w:val="20"/>
                <w:szCs w:val="20"/>
                <w:lang w:val="en-US" w:eastAsia="zh-CN" w:bidi="ar"/>
              </w:rPr>
            </w:pPr>
            <w:r>
              <w:rPr>
                <w:rFonts w:hint="eastAsia" w:ascii="黑体" w:hAnsi="宋体" w:eastAsia="黑体" w:cs="黑体"/>
                <w:color w:val="333333"/>
                <w:kern w:val="2"/>
                <w:sz w:val="20"/>
                <w:szCs w:val="20"/>
                <w:lang w:val="en-US" w:eastAsia="zh-CN" w:bidi="ar"/>
              </w:rPr>
              <w:t>0</w:t>
            </w:r>
          </w:p>
        </w:tc>
        <w:tc>
          <w:tcPr>
            <w:tcW w:w="336"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color w:val="333333"/>
                <w:sz w:val="21"/>
                <w:szCs w:val="21"/>
                <w:lang w:val="en-US" w:eastAsia="zh-CN"/>
              </w:rPr>
            </w:pPr>
            <w:r>
              <w:rPr>
                <w:rFonts w:hint="eastAsia" w:ascii="宋体" w:hAnsi="宋体" w:eastAsia="宋体" w:cs="宋体"/>
                <w:color w:val="333333"/>
                <w:sz w:val="21"/>
                <w:szCs w:val="21"/>
                <w:lang w:val="en-US" w:eastAsia="zh-CN"/>
              </w:rPr>
              <w:t>1</w:t>
            </w:r>
          </w:p>
        </w:tc>
      </w:tr>
    </w:tbl>
    <w:p>
      <w:pPr>
        <w:keepNext w:val="0"/>
        <w:keepLines w:val="0"/>
        <w:widowControl/>
        <w:suppressLineNumbers w:val="0"/>
        <w:jc w:val="left"/>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黑体" w:hAnsi="黑体" w:eastAsia="黑体" w:cs="黑体"/>
          <w:b w:val="0"/>
          <w:bCs w:val="0"/>
          <w:color w:val="333333"/>
          <w:sz w:val="32"/>
          <w:szCs w:val="32"/>
        </w:rPr>
      </w:pPr>
      <w:r>
        <w:rPr>
          <w:rFonts w:hint="eastAsia" w:ascii="黑体" w:hAnsi="黑体" w:eastAsia="黑体" w:cs="黑体"/>
          <w:b w:val="0"/>
          <w:bCs w:val="0"/>
          <w:color w:val="333333"/>
          <w:sz w:val="32"/>
          <w:szCs w:val="32"/>
        </w:rPr>
        <w:t>五、存在的主要问题及改进情况</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存在的问题：一是政府信息公开创新力度不够。由于信息公开工作人员，在日常梳理整理信息公开数据材料以及处理政务信息公开工作专业性和及时性有待加强。二是对政府信息公开文件政策掌握不深入，开展政府信息公开工作针对性和效率有待提高。</w:t>
      </w:r>
    </w:p>
    <w:p>
      <w:pPr>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改进情况：一是深入开展学习培训。深入学习《中华人民共和国政府信息公开条例》和总局有关信息公开目录及省市局相关文件，严格落实政府信息公开要求和“三项制度”。二是规范政府信息公开工作流程。对内梳理重难点问题，对外与其他部门沟通协调，进一步健全区局政务信息公开台账，推动信息公开工作再上台阶。</w:t>
      </w:r>
    </w:p>
    <w:p>
      <w:pPr>
        <w:widowControl/>
        <w:spacing w:line="432" w:lineRule="auto"/>
        <w:ind w:firstLine="480"/>
        <w:rPr>
          <w:rFonts w:ascii="黑体" w:hAnsi="宋体" w:eastAsia="黑体" w:cs="宋体"/>
          <w:b/>
          <w:bCs/>
          <w:color w:val="333333"/>
          <w:kern w:val="0"/>
          <w:sz w:val="32"/>
          <w:szCs w:val="32"/>
        </w:rPr>
      </w:pPr>
      <w:r>
        <w:rPr>
          <w:rFonts w:hint="eastAsia" w:ascii="黑体" w:hAnsi="宋体" w:eastAsia="黑体" w:cs="宋体"/>
          <w:b/>
          <w:bCs/>
          <w:color w:val="333333"/>
          <w:kern w:val="0"/>
          <w:sz w:val="32"/>
          <w:szCs w:val="32"/>
        </w:rPr>
        <w:t>六、其他需要报告的事项</w:t>
      </w:r>
    </w:p>
    <w:p>
      <w:pPr>
        <w:ind w:firstLine="640" w:firstLineChars="200"/>
        <w:rPr>
          <w:rFonts w:hint="eastAsia" w:eastAsiaTheme="minorEastAsia"/>
          <w:lang w:eastAsia="zh-CN"/>
        </w:rPr>
      </w:pPr>
      <w:r>
        <w:rPr>
          <w:rFonts w:hint="eastAsia" w:ascii="仿宋_GB2312" w:hAnsi="宋体" w:eastAsia="仿宋_GB2312" w:cs="宋体"/>
          <w:color w:val="333333"/>
          <w:kern w:val="0"/>
          <w:sz w:val="32"/>
          <w:szCs w:val="24"/>
          <w:lang w:eastAsia="zh-CN"/>
        </w:rPr>
        <w:t>本年度没有其他需要报告的事项。</w:t>
      </w:r>
    </w:p>
    <w:p/>
    <w:p/>
    <w:p/>
    <w:p>
      <w:pPr>
        <w:spacing w:line="560" w:lineRule="exact"/>
        <w:ind w:firstLine="1600" w:firstLineChars="500"/>
        <w:rPr>
          <w:rFonts w:hint="eastAsia" w:ascii="仿宋" w:hAnsi="仿宋" w:eastAsia="仿宋" w:cs="仿宋"/>
          <w:sz w:val="32"/>
          <w:szCs w:val="32"/>
          <w:lang w:eastAsia="zh-CN"/>
        </w:rPr>
      </w:pPr>
      <w:r>
        <w:rPr>
          <w:rFonts w:hint="eastAsia" w:ascii="仿宋" w:hAnsi="仿宋" w:eastAsia="仿宋" w:cs="仿宋"/>
          <w:sz w:val="32"/>
          <w:szCs w:val="32"/>
          <w:lang w:eastAsia="zh-CN"/>
        </w:rPr>
        <w:t>国家税务总局武汉市东湖新技术开发区税务局</w:t>
      </w:r>
    </w:p>
    <w:p>
      <w:pPr>
        <w:spacing w:line="560" w:lineRule="exact"/>
        <w:ind w:firstLine="1600" w:firstLineChars="500"/>
        <w:rPr>
          <w:rFonts w:hint="eastAsia" w:ascii="仿宋" w:hAnsi="仿宋" w:eastAsia="仿宋" w:cs="仿宋"/>
          <w:sz w:val="32"/>
          <w:szCs w:val="32"/>
          <w:lang w:eastAsia="zh-CN"/>
        </w:rPr>
      </w:pPr>
    </w:p>
    <w:p>
      <w:pPr>
        <w:spacing w:line="560" w:lineRule="exact"/>
        <w:ind w:firstLine="4160" w:firstLineChars="1300"/>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2025年1月22日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firstLine="640" w:firstLineChars="200"/>
        <w:jc w:val="both"/>
        <w:textAlignment w:val="auto"/>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4494CA7-16BA-4995-8E8A-95916CFD28E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083F466A-71B9-4892-B490-B8FE8A3F2DAF}"/>
  </w:font>
  <w:font w:name="方正小标宋简体">
    <w:panose1 w:val="02000000000000000000"/>
    <w:charset w:val="86"/>
    <w:family w:val="script"/>
    <w:pitch w:val="default"/>
    <w:sig w:usb0="A00002BF" w:usb1="184F6CFA" w:usb2="00000012" w:usb3="00000000" w:csb0="00040001" w:csb1="00000000"/>
    <w:embedRegular r:id="rId3" w:fontKey="{9D6BDEC1-3A41-46EC-8B2B-908EDDA280A0}"/>
  </w:font>
  <w:font w:name="仿宋_GB2312">
    <w:panose1 w:val="02010609030101010101"/>
    <w:charset w:val="86"/>
    <w:family w:val="modern"/>
    <w:pitch w:val="default"/>
    <w:sig w:usb0="00000001" w:usb1="080E0000" w:usb2="00000000" w:usb3="00000000" w:csb0="00040000" w:csb1="00000000"/>
    <w:embedRegular r:id="rId4" w:fontKey="{6A81ABD8-4974-47F6-9CFF-98FD41BEF563}"/>
  </w:font>
  <w:font w:name="楷体_GB2312">
    <w:panose1 w:val="02010609030101010101"/>
    <w:charset w:val="86"/>
    <w:family w:val="modern"/>
    <w:pitch w:val="default"/>
    <w:sig w:usb0="00000001" w:usb1="080E0000" w:usb2="00000000" w:usb3="00000000" w:csb0="00040000" w:csb1="00000000"/>
    <w:embedRegular r:id="rId5" w:fontKey="{0F270E42-C361-49D1-9A9A-45901CA458E9}"/>
  </w:font>
  <w:font w:name="仿宋">
    <w:panose1 w:val="02010609060101010101"/>
    <w:charset w:val="86"/>
    <w:family w:val="auto"/>
    <w:pitch w:val="default"/>
    <w:sig w:usb0="800002BF" w:usb1="38CF7CFA" w:usb2="00000016" w:usb3="00000000" w:csb0="00040001" w:csb1="00000000"/>
    <w:embedRegular r:id="rId6" w:fontKey="{6B4F5600-3079-41EC-833E-F99E9CA2F95D}"/>
  </w:font>
  <w:font w:name="楷体">
    <w:panose1 w:val="02010609060101010101"/>
    <w:charset w:val="86"/>
    <w:family w:val="auto"/>
    <w:pitch w:val="default"/>
    <w:sig w:usb0="800002BF" w:usb1="38CF7CFA" w:usb2="00000016" w:usb3="00000000" w:csb0="00040001" w:csb1="00000000"/>
    <w:embedRegular r:id="rId7" w:fontKey="{284A6AAF-2850-42FF-ACE5-A438A7A2089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Yzc1ODY4NDkyOWFiNDY5MzdmOWRiMDQyMDNlMzYifQ=="/>
  </w:docVars>
  <w:rsids>
    <w:rsidRoot w:val="238B1E27"/>
    <w:rsid w:val="01927186"/>
    <w:rsid w:val="01CC0A7F"/>
    <w:rsid w:val="0425341A"/>
    <w:rsid w:val="05AE6BD1"/>
    <w:rsid w:val="0A935AB0"/>
    <w:rsid w:val="0D314A45"/>
    <w:rsid w:val="0DEC4770"/>
    <w:rsid w:val="12F6764D"/>
    <w:rsid w:val="169E74C6"/>
    <w:rsid w:val="1A1615A6"/>
    <w:rsid w:val="1D1E46E9"/>
    <w:rsid w:val="21100D5D"/>
    <w:rsid w:val="238B1E27"/>
    <w:rsid w:val="246E2621"/>
    <w:rsid w:val="27CC0F7B"/>
    <w:rsid w:val="284835CA"/>
    <w:rsid w:val="2C34108F"/>
    <w:rsid w:val="30487B9C"/>
    <w:rsid w:val="31BC15F2"/>
    <w:rsid w:val="36021D1E"/>
    <w:rsid w:val="380214FF"/>
    <w:rsid w:val="38791C18"/>
    <w:rsid w:val="397119C0"/>
    <w:rsid w:val="3E44185E"/>
    <w:rsid w:val="3EE00F79"/>
    <w:rsid w:val="3EE0233A"/>
    <w:rsid w:val="419B6055"/>
    <w:rsid w:val="46BF3DDF"/>
    <w:rsid w:val="46C04BB8"/>
    <w:rsid w:val="4868406A"/>
    <w:rsid w:val="499D3855"/>
    <w:rsid w:val="4AB61875"/>
    <w:rsid w:val="57DC3405"/>
    <w:rsid w:val="5A0A00DA"/>
    <w:rsid w:val="5A3B4440"/>
    <w:rsid w:val="5BC450B2"/>
    <w:rsid w:val="5C34538D"/>
    <w:rsid w:val="5DA47952"/>
    <w:rsid w:val="5DB0062D"/>
    <w:rsid w:val="62756AA6"/>
    <w:rsid w:val="66F156FE"/>
    <w:rsid w:val="68F32BD6"/>
    <w:rsid w:val="714C7670"/>
    <w:rsid w:val="71734E55"/>
    <w:rsid w:val="73C2778C"/>
    <w:rsid w:val="74B75852"/>
    <w:rsid w:val="767E6E8D"/>
    <w:rsid w:val="79FB1236"/>
    <w:rsid w:val="7D211D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2021-12-21T15:19:00Z</dcterms:created>
  <dc:creator>WPS_1624785580</dc:creator>
  <cp:lastModifiedBy>吴明克</cp:lastModifiedBy>
  <cp:lastPrinted>2024-01-19T02:24:00Z</cp:lastPrinted>
  <dcterms:modified xsi:type="dcterms:W3CDTF">2025-02-20T01:46:23Z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777F53E91E564B3B96F5A1A435D08748</vt:lpwstr>
  </property>
</Properties>
</file>