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spacing w:before="0" w:beforeAutospacing="0" w:after="210" w:afterAutospacing="0" w:line="21" w:lineRule="atLeast"/>
        <w:ind w:left="0" w:leftChars="0" w:right="0" w:rightChars="0" w:firstLine="0"/>
        <w:jc w:val="center"/>
        <w:rPr>
          <w:rFonts w:hint="eastAsia" w:ascii="方正小标宋简体" w:hAnsi="方正小标宋简体" w:eastAsia="方正小标宋简体" w:cs="方正小标宋简体"/>
          <w:b w:val="0"/>
          <w:bCs w:val="0"/>
          <w:kern w:val="2"/>
          <w:sz w:val="36"/>
          <w:szCs w:val="36"/>
          <w:lang w:val="en-US" w:eastAsia="zh-CN" w:bidi="ar-SA"/>
        </w:rPr>
      </w:pPr>
      <w:bookmarkStart w:id="0" w:name="_GoBack"/>
      <w:r>
        <w:rPr>
          <w:rFonts w:hint="eastAsia" w:ascii="方正小标宋简体" w:hAnsi="方正小标宋简体" w:eastAsia="方正小标宋简体" w:cs="方正小标宋简体"/>
          <w:b w:val="0"/>
          <w:bCs w:val="0"/>
          <w:kern w:val="2"/>
          <w:sz w:val="36"/>
          <w:szCs w:val="36"/>
          <w:lang w:val="en-US" w:eastAsia="zh-CN" w:bidi="ar-SA"/>
        </w:rPr>
        <w:t>@纳税人：涉税专业服务信用积分查询指引来了!</w:t>
      </w:r>
    </w:p>
    <w:bookmarkEnd w:id="0"/>
    <w:p>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E/>
        <w:autoSpaceDN/>
        <w:bidi w:val="0"/>
        <w:adjustRightInd/>
        <w:snapToGrid/>
        <w:spacing w:before="0" w:beforeAutospacing="0" w:afterAutospacing="0" w:line="520" w:lineRule="exact"/>
        <w:ind w:left="0" w:leftChars="0" w:right="0" w:righ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税务机关依托涉税专业服务管理信息库采集信用指标信息，由全国涉税专业服务信用信息平台按照《涉税专业服务机构信用积分指标体系和积分规则》对采集的信用进行计算处理，自动生成的涉税专业服务机构和涉税服务人员信用积分。</w:t>
      </w:r>
    </w:p>
    <w:p>
      <w:pPr>
        <w:keepNext w:val="0"/>
        <w:keepLines w:val="0"/>
        <w:widowControl/>
        <w:suppressLineNumbers w:val="0"/>
        <w:ind w:firstLine="640" w:firstLineChars="200"/>
        <w:jc w:val="left"/>
        <w:rPr>
          <w:rFonts w:hint="eastAsia" w:ascii="仿宋" w:hAnsi="仿宋" w:eastAsia="仿宋" w:cs="仿宋"/>
          <w:sz w:val="32"/>
          <w:szCs w:val="32"/>
        </w:rPr>
      </w:pPr>
    </w:p>
    <w:p>
      <w:pPr>
        <w:keepNext w:val="0"/>
        <w:keepLines w:val="0"/>
        <w:widowControl/>
        <w:suppressLineNumbers w:val="0"/>
        <w:jc w:val="center"/>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以下六</w:t>
      </w:r>
      <w:r>
        <w:rPr>
          <w:rStyle w:val="6"/>
          <w:rFonts w:hint="eastAsia" w:ascii="黑体" w:hAnsi="黑体" w:eastAsia="黑体" w:cs="黑体"/>
          <w:b/>
          <w:bCs/>
          <w:kern w:val="0"/>
          <w:sz w:val="32"/>
          <w:szCs w:val="32"/>
          <w:lang w:val="en-US" w:eastAsia="zh-CN" w:bidi="ar"/>
        </w:rPr>
        <w:t>种查询渠道</w:t>
      </w:r>
      <w:r>
        <w:rPr>
          <w:rFonts w:hint="eastAsia" w:ascii="黑体" w:hAnsi="黑体" w:eastAsia="黑体" w:cs="黑体"/>
          <w:b/>
          <w:bCs/>
          <w:kern w:val="0"/>
          <w:sz w:val="32"/>
          <w:szCs w:val="32"/>
          <w:lang w:val="en-US" w:eastAsia="zh-CN" w:bidi="ar"/>
        </w:rPr>
        <w:t>您值得拥有！</w:t>
      </w:r>
    </w:p>
    <w:p>
      <w:pPr>
        <w:keepNext w:val="0"/>
        <w:keepLines w:val="0"/>
        <w:widowControl/>
        <w:suppressLineNumbers w:val="0"/>
        <w:jc w:val="center"/>
        <w:rPr>
          <w:rFonts w:hint="eastAsia" w:ascii="仿宋" w:hAnsi="仿宋" w:eastAsia="仿宋" w:cs="仿宋"/>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Style w:val="6"/>
          <w:rFonts w:hint="eastAsia" w:ascii="仿宋" w:hAnsi="仿宋" w:eastAsia="仿宋" w:cs="仿宋"/>
          <w:kern w:val="0"/>
          <w:sz w:val="32"/>
          <w:szCs w:val="32"/>
          <w:lang w:val="en-US" w:eastAsia="zh-CN" w:bidi="ar"/>
        </w:rPr>
        <w:t>渠道一：国家税务总局12366纳税服务平台</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登录</w:t>
      </w:r>
      <w:r>
        <w:rPr>
          <w:rFonts w:hint="eastAsia" w:ascii="仿宋" w:hAnsi="仿宋" w:eastAsia="仿宋" w:cs="仿宋"/>
          <w:kern w:val="0"/>
          <w:sz w:val="32"/>
          <w:szCs w:val="32"/>
          <w:lang w:val="en-US" w:eastAsia="zh-CN" w:bidi="ar"/>
        </w:rPr>
        <w:fldChar w:fldCharType="begin"/>
      </w:r>
      <w:r>
        <w:rPr>
          <w:rFonts w:hint="eastAsia" w:ascii="仿宋" w:hAnsi="仿宋" w:eastAsia="仿宋" w:cs="仿宋"/>
          <w:kern w:val="0"/>
          <w:sz w:val="32"/>
          <w:szCs w:val="32"/>
          <w:lang w:val="en-US" w:eastAsia="zh-CN" w:bidi="ar"/>
        </w:rPr>
        <w:instrText xml:space="preserve"> HYPERLINK "https://12366.chinatax.gov.cn/" \t "https://mp.weixin.qq.com/_blank" </w:instrText>
      </w:r>
      <w:r>
        <w:rPr>
          <w:rFonts w:hint="eastAsia" w:ascii="仿宋" w:hAnsi="仿宋" w:eastAsia="仿宋" w:cs="仿宋"/>
          <w:kern w:val="0"/>
          <w:sz w:val="32"/>
          <w:szCs w:val="32"/>
          <w:lang w:val="en-US" w:eastAsia="zh-CN" w:bidi="ar"/>
        </w:rPr>
        <w:fldChar w:fldCharType="separate"/>
      </w:r>
      <w:r>
        <w:rPr>
          <w:rFonts w:hint="eastAsia" w:ascii="仿宋" w:hAnsi="仿宋" w:eastAsia="仿宋" w:cs="仿宋"/>
          <w:kern w:val="0"/>
          <w:sz w:val="32"/>
          <w:szCs w:val="32"/>
          <w:lang w:val="en-US" w:eastAsia="zh-CN" w:bidi="ar"/>
        </w:rPr>
        <w:t>国家税务总局12366纳税服务平台</w:t>
      </w:r>
      <w:r>
        <w:rPr>
          <w:rFonts w:hint="eastAsia" w:ascii="仿宋" w:hAnsi="仿宋" w:eastAsia="仿宋" w:cs="仿宋"/>
          <w:kern w:val="0"/>
          <w:sz w:val="32"/>
          <w:szCs w:val="32"/>
          <w:lang w:val="en-US" w:eastAsia="zh-CN" w:bidi="ar"/>
        </w:rPr>
        <w:fldChar w:fldCharType="end"/>
      </w:r>
      <w:r>
        <w:rPr>
          <w:rFonts w:hint="eastAsia" w:ascii="仿宋" w:hAnsi="仿宋" w:eastAsia="仿宋" w:cs="仿宋"/>
          <w:kern w:val="0"/>
          <w:sz w:val="32"/>
          <w:szCs w:val="32"/>
          <w:lang w:val="en-US" w:eastAsia="zh-CN" w:bidi="ar"/>
        </w:rPr>
        <w:t>，点击【涉税专业服务】—【涉税专业服务机构公告栏】，可以按照地区、名称等进行查询，点击机构名称，即可查看其详细信用积分。</w:t>
      </w:r>
    </w:p>
    <w:p>
      <w:pPr>
        <w:rPr>
          <w:rFonts w:hint="eastAsia" w:eastAsiaTheme="minorEastAsia"/>
          <w:lang w:eastAsia="zh-CN"/>
        </w:rPr>
      </w:pPr>
      <w:r>
        <w:rPr>
          <w:rFonts w:hint="eastAsia" w:eastAsiaTheme="minorEastAsia"/>
          <w:lang w:eastAsia="zh-CN"/>
        </w:rPr>
        <w:drawing>
          <wp:inline distT="0" distB="0" distL="114300" distR="114300">
            <wp:extent cx="5407660" cy="2198370"/>
            <wp:effectExtent l="0" t="0" r="2540"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407660" cy="219837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3675" cy="4087495"/>
            <wp:effectExtent l="0" t="0" r="3175" b="825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3675" cy="40874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2405" cy="3874135"/>
            <wp:effectExtent l="0" t="0" r="4445" b="1206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2405" cy="38741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r>
        <w:rPr>
          <w:rStyle w:val="6"/>
          <w:rFonts w:hint="eastAsia" w:ascii="仿宋" w:hAnsi="仿宋" w:eastAsia="仿宋" w:cs="仿宋"/>
          <w:kern w:val="0"/>
          <w:sz w:val="32"/>
          <w:szCs w:val="32"/>
          <w:lang w:val="en-US" w:eastAsia="zh-CN" w:bidi="ar"/>
        </w:rPr>
        <w:t>渠道二：国家税务总局湖北省税务局网站</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登录</w:t>
      </w:r>
      <w:r>
        <w:rPr>
          <w:rFonts w:hint="eastAsia" w:ascii="仿宋" w:hAnsi="仿宋" w:eastAsia="仿宋" w:cs="仿宋"/>
          <w:kern w:val="0"/>
          <w:sz w:val="32"/>
          <w:szCs w:val="32"/>
          <w:lang w:val="en-US" w:eastAsia="zh-CN" w:bidi="ar"/>
        </w:rPr>
        <w:fldChar w:fldCharType="begin"/>
      </w:r>
      <w:r>
        <w:rPr>
          <w:rFonts w:hint="eastAsia" w:ascii="仿宋" w:hAnsi="仿宋" w:eastAsia="仿宋" w:cs="仿宋"/>
          <w:kern w:val="0"/>
          <w:sz w:val="32"/>
          <w:szCs w:val="32"/>
          <w:lang w:val="en-US" w:eastAsia="zh-CN" w:bidi="ar"/>
        </w:rPr>
        <w:instrText xml:space="preserve"> HYPERLINK "http://chongqing.chinatax.gov.cn/" \t "https://mp.weixin.qq.com/_blank" </w:instrText>
      </w:r>
      <w:r>
        <w:rPr>
          <w:rFonts w:hint="eastAsia" w:ascii="仿宋" w:hAnsi="仿宋" w:eastAsia="仿宋" w:cs="仿宋"/>
          <w:kern w:val="0"/>
          <w:sz w:val="32"/>
          <w:szCs w:val="32"/>
          <w:lang w:val="en-US" w:eastAsia="zh-CN" w:bidi="ar"/>
        </w:rPr>
        <w:fldChar w:fldCharType="separate"/>
      </w:r>
      <w:r>
        <w:rPr>
          <w:rFonts w:hint="eastAsia" w:ascii="仿宋" w:hAnsi="仿宋" w:eastAsia="仿宋" w:cs="仿宋"/>
          <w:kern w:val="0"/>
          <w:sz w:val="32"/>
          <w:szCs w:val="32"/>
          <w:lang w:val="en-US" w:eastAsia="zh-CN" w:bidi="ar"/>
        </w:rPr>
        <w:t>国家税务总局湖北省税务局官网</w:t>
      </w:r>
      <w:r>
        <w:rPr>
          <w:rFonts w:hint="eastAsia" w:ascii="仿宋" w:hAnsi="仿宋" w:eastAsia="仿宋" w:cs="仿宋"/>
          <w:kern w:val="0"/>
          <w:sz w:val="32"/>
          <w:szCs w:val="32"/>
          <w:lang w:val="en-US" w:eastAsia="zh-CN" w:bidi="ar"/>
        </w:rPr>
        <w:fldChar w:fldCharType="end"/>
      </w:r>
      <w:r>
        <w:rPr>
          <w:rFonts w:hint="eastAsia" w:ascii="仿宋" w:hAnsi="仿宋" w:eastAsia="仿宋" w:cs="仿宋"/>
          <w:kern w:val="0"/>
          <w:sz w:val="32"/>
          <w:szCs w:val="32"/>
          <w:lang w:val="en-US" w:eastAsia="zh-CN" w:bidi="ar"/>
        </w:rPr>
        <w:t>，依次点击【我要查询】—【涉税专业服务机构信息公告和查询】，即可进入查询页面。</w:t>
      </w:r>
    </w:p>
    <w:p>
      <w:pPr>
        <w:rPr>
          <w:rFonts w:hint="eastAsia" w:eastAsiaTheme="minorEastAsia"/>
          <w:lang w:eastAsia="zh-CN"/>
        </w:rPr>
      </w:pPr>
      <w:r>
        <w:rPr>
          <w:rFonts w:hint="eastAsia" w:eastAsiaTheme="minorEastAsia"/>
          <w:lang w:eastAsia="zh-CN"/>
        </w:rPr>
        <w:drawing>
          <wp:inline distT="0" distB="0" distL="114300" distR="114300">
            <wp:extent cx="5271135" cy="1802130"/>
            <wp:effectExtent l="0" t="0" r="5715" b="762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1135" cy="18021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8595" cy="2426335"/>
            <wp:effectExtent l="0" t="0" r="8255" b="1206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68595" cy="24263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Style w:val="6"/>
          <w:rFonts w:hint="eastAsia" w:ascii="仿宋" w:hAnsi="仿宋" w:eastAsia="仿宋" w:cs="仿宋"/>
          <w:kern w:val="0"/>
          <w:sz w:val="32"/>
          <w:szCs w:val="32"/>
          <w:lang w:val="en-US" w:eastAsia="zh-CN" w:bidi="ar"/>
        </w:rPr>
        <w:t>渠道三：国家税务总局湖北省电子税务局</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1.打开</w:t>
      </w:r>
      <w:r>
        <w:rPr>
          <w:rFonts w:hint="eastAsia" w:ascii="仿宋" w:hAnsi="仿宋" w:eastAsia="仿宋" w:cs="仿宋"/>
          <w:kern w:val="0"/>
          <w:sz w:val="32"/>
          <w:szCs w:val="32"/>
          <w:lang w:val="en-US" w:eastAsia="zh-CN" w:bidi="ar"/>
        </w:rPr>
        <w:fldChar w:fldCharType="begin"/>
      </w:r>
      <w:r>
        <w:rPr>
          <w:rFonts w:hint="eastAsia" w:ascii="仿宋" w:hAnsi="仿宋" w:eastAsia="仿宋" w:cs="仿宋"/>
          <w:kern w:val="0"/>
          <w:sz w:val="32"/>
          <w:szCs w:val="32"/>
          <w:lang w:val="en-US" w:eastAsia="zh-CN" w:bidi="ar"/>
        </w:rPr>
        <w:instrText xml:space="preserve"> HYPERLINK "https://etax.chongqing.chinatax.gov.cn/" \t "https://mp.weixin.qq.com/_blank" </w:instrText>
      </w:r>
      <w:r>
        <w:rPr>
          <w:rFonts w:hint="eastAsia" w:ascii="仿宋" w:hAnsi="仿宋" w:eastAsia="仿宋" w:cs="仿宋"/>
          <w:kern w:val="0"/>
          <w:sz w:val="32"/>
          <w:szCs w:val="32"/>
          <w:lang w:val="en-US" w:eastAsia="zh-CN" w:bidi="ar"/>
        </w:rPr>
        <w:fldChar w:fldCharType="separate"/>
      </w:r>
      <w:r>
        <w:rPr>
          <w:rFonts w:hint="eastAsia" w:ascii="仿宋" w:hAnsi="仿宋" w:eastAsia="仿宋" w:cs="仿宋"/>
          <w:kern w:val="0"/>
          <w:sz w:val="32"/>
          <w:szCs w:val="32"/>
          <w:lang w:val="en-US" w:eastAsia="zh-CN" w:bidi="ar"/>
        </w:rPr>
        <w:t>湖北省电子税务局网页端</w:t>
      </w:r>
      <w:r>
        <w:rPr>
          <w:rFonts w:hint="eastAsia" w:ascii="仿宋" w:hAnsi="仿宋" w:eastAsia="仿宋" w:cs="仿宋"/>
          <w:kern w:val="0"/>
          <w:sz w:val="32"/>
          <w:szCs w:val="32"/>
          <w:lang w:val="en-US" w:eastAsia="zh-CN" w:bidi="ar"/>
        </w:rPr>
        <w:fldChar w:fldCharType="end"/>
      </w:r>
      <w:r>
        <w:rPr>
          <w:rFonts w:hint="eastAsia" w:ascii="仿宋" w:hAnsi="仿宋" w:eastAsia="仿宋" w:cs="仿宋"/>
          <w:kern w:val="0"/>
          <w:sz w:val="32"/>
          <w:szCs w:val="32"/>
          <w:lang w:val="en-US" w:eastAsia="zh-CN" w:bidi="ar"/>
        </w:rPr>
        <w:t>，依次点击【公众服务】—【涉税专业服务机构信息公告和查询】，即可进入查询页面。</w:t>
      </w:r>
    </w:p>
    <w:p>
      <w:pPr>
        <w:rPr>
          <w:rFonts w:hint="eastAsia" w:eastAsiaTheme="minorEastAsia"/>
          <w:lang w:eastAsia="zh-CN"/>
        </w:rPr>
      </w:pPr>
      <w:r>
        <w:rPr>
          <w:rFonts w:hint="eastAsia" w:eastAsiaTheme="minorEastAsia"/>
          <w:lang w:eastAsia="zh-CN"/>
        </w:rPr>
        <w:drawing>
          <wp:inline distT="0" distB="0" distL="114300" distR="114300">
            <wp:extent cx="5454015" cy="2258695"/>
            <wp:effectExtent l="0" t="0" r="13335" b="825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454015" cy="22586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559425" cy="3381375"/>
            <wp:effectExtent l="0" t="0" r="3175" b="952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559425" cy="3381375"/>
                    </a:xfrm>
                    <a:prstGeom prst="rect">
                      <a:avLst/>
                    </a:prstGeom>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涉税专业服务机构登录湖北省电子税务局网页端，在【我要办税】—【涉税专业服务】，点击进入【涉税专业服务机构管理】/【税务师事务所管理】，【信用等级】—【查看】，点击【在职人数】即可查询机构人员信用积分。</w:t>
      </w:r>
    </w:p>
    <w:p>
      <w:pPr>
        <w:keepNext w:val="0"/>
        <w:keepLines w:val="0"/>
        <w:widowControl/>
        <w:numPr>
          <w:ilvl w:val="0"/>
          <w:numId w:val="0"/>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0500" cy="2455545"/>
            <wp:effectExtent l="0" t="0" r="6350" b="1905"/>
            <wp:docPr id="16"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
                    <pic:cNvPicPr>
                      <a:picLocks noChangeAspect="1"/>
                    </pic:cNvPicPr>
                  </pic:nvPicPr>
                  <pic:blipFill>
                    <a:blip r:embed="rId11"/>
                    <a:stretch>
                      <a:fillRect/>
                    </a:stretch>
                  </pic:blipFill>
                  <pic:spPr>
                    <a:xfrm>
                      <a:off x="0" y="0"/>
                      <a:ext cx="5270500" cy="2455545"/>
                    </a:xfrm>
                    <a:prstGeom prst="rect">
                      <a:avLst/>
                    </a:prstGeom>
                  </pic:spPr>
                </pic:pic>
              </a:graphicData>
            </a:graphic>
          </wp:inline>
        </w:drawing>
      </w:r>
    </w:p>
    <w:p>
      <w:pPr>
        <w:keepNext w:val="0"/>
        <w:keepLines w:val="0"/>
        <w:widowControl/>
        <w:numPr>
          <w:ilvl w:val="0"/>
          <w:numId w:val="0"/>
        </w:numPr>
        <w:suppressLineNumbers w:val="0"/>
        <w:jc w:val="left"/>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5269865" cy="1436370"/>
            <wp:effectExtent l="0" t="0" r="6985" b="11430"/>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pic:cNvPicPr>
                  </pic:nvPicPr>
                  <pic:blipFill>
                    <a:blip r:embed="rId12"/>
                    <a:stretch>
                      <a:fillRect/>
                    </a:stretch>
                  </pic:blipFill>
                  <pic:spPr>
                    <a:xfrm>
                      <a:off x="0" y="0"/>
                      <a:ext cx="5269865" cy="1436370"/>
                    </a:xfrm>
                    <a:prstGeom prst="rect">
                      <a:avLst/>
                    </a:prstGeom>
                  </pic:spPr>
                </pic:pic>
              </a:graphicData>
            </a:graphic>
          </wp:inline>
        </w:drawing>
      </w:r>
    </w:p>
    <w:p>
      <w:pPr>
        <w:keepNext w:val="0"/>
        <w:keepLines w:val="0"/>
        <w:widowControl/>
        <w:suppressLineNumbers w:val="0"/>
        <w:jc w:val="left"/>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5268595" cy="1694180"/>
            <wp:effectExtent l="0" t="0" r="8255" b="1270"/>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pic:cNvPicPr>
                  </pic:nvPicPr>
                  <pic:blipFill>
                    <a:blip r:embed="rId13"/>
                    <a:stretch>
                      <a:fillRect/>
                    </a:stretch>
                  </pic:blipFill>
                  <pic:spPr>
                    <a:xfrm>
                      <a:off x="0" y="0"/>
                      <a:ext cx="5268595" cy="1694180"/>
                    </a:xfrm>
                    <a:prstGeom prst="rect">
                      <a:avLst/>
                    </a:prstGeom>
                  </pic:spPr>
                </pic:pic>
              </a:graphicData>
            </a:graphic>
          </wp:inline>
        </w:drawing>
      </w:r>
    </w:p>
    <w:p>
      <w:pPr>
        <w:keepNext w:val="0"/>
        <w:keepLines w:val="0"/>
        <w:widowControl/>
        <w:suppressLineNumbers w:val="0"/>
        <w:jc w:val="left"/>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5266690" cy="2112010"/>
            <wp:effectExtent l="0" t="0" r="10160" b="2540"/>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pic:cNvPicPr>
                  </pic:nvPicPr>
                  <pic:blipFill>
                    <a:blip r:embed="rId14"/>
                    <a:stretch>
                      <a:fillRect/>
                    </a:stretch>
                  </pic:blipFill>
                  <pic:spPr>
                    <a:xfrm>
                      <a:off x="0" y="0"/>
                      <a:ext cx="5266690" cy="21120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Style w:val="6"/>
          <w:rFonts w:hint="eastAsia" w:ascii="仿宋" w:hAnsi="仿宋" w:eastAsia="仿宋" w:cs="仿宋"/>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Style w:val="6"/>
          <w:rFonts w:hint="eastAsia" w:ascii="仿宋" w:hAnsi="仿宋" w:eastAsia="仿宋" w:cs="仿宋"/>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Style w:val="6"/>
          <w:rFonts w:hint="eastAsia" w:ascii="仿宋" w:hAnsi="仿宋" w:eastAsia="仿宋" w:cs="仿宋"/>
          <w:kern w:val="0"/>
          <w:sz w:val="32"/>
          <w:szCs w:val="32"/>
          <w:lang w:val="en-US" w:eastAsia="zh-CN" w:bidi="ar"/>
        </w:rPr>
        <w:t>渠道四：个人所得税APP</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rPr>
      </w:pPr>
      <w:r>
        <w:rPr>
          <w:rFonts w:hint="eastAsia" w:ascii="仿宋" w:hAnsi="仿宋" w:eastAsia="仿宋" w:cs="仿宋"/>
          <w:kern w:val="0"/>
          <w:sz w:val="32"/>
          <w:szCs w:val="32"/>
          <w:lang w:val="en-US" w:eastAsia="zh-CN" w:bidi="ar"/>
        </w:rPr>
        <w:t>登录个人所得税APP，进入【办&amp;查】页面，下拉点击【涉税专业服务机构】，即可查看其信用积分。</w:t>
      </w:r>
    </w:p>
    <w:p>
      <w:pPr>
        <w:jc w:val="center"/>
        <w:rPr>
          <w:rFonts w:hint="eastAsia" w:eastAsiaTheme="minorEastAsia"/>
          <w:lang w:eastAsia="zh-CN"/>
        </w:rPr>
      </w:pPr>
      <w:r>
        <w:rPr>
          <w:rFonts w:hint="eastAsia" w:eastAsiaTheme="minorEastAsia"/>
          <w:lang w:eastAsia="zh-CN"/>
        </w:rPr>
        <w:drawing>
          <wp:inline distT="0" distB="0" distL="114300" distR="114300">
            <wp:extent cx="1873885" cy="3764280"/>
            <wp:effectExtent l="0" t="0" r="12065" b="7620"/>
            <wp:docPr id="9" name="图片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
                    <pic:cNvPicPr>
                      <a:picLocks noChangeAspect="1"/>
                    </pic:cNvPicPr>
                  </pic:nvPicPr>
                  <pic:blipFill>
                    <a:blip r:embed="rId15"/>
                    <a:stretch>
                      <a:fillRect/>
                    </a:stretch>
                  </pic:blipFill>
                  <pic:spPr>
                    <a:xfrm>
                      <a:off x="0" y="0"/>
                      <a:ext cx="1873885" cy="3764280"/>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2048510" cy="4090670"/>
            <wp:effectExtent l="0" t="0" r="8890" b="5080"/>
            <wp:docPr id="10"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
                    <pic:cNvPicPr>
                      <a:picLocks noChangeAspect="1"/>
                    </pic:cNvPicPr>
                  </pic:nvPicPr>
                  <pic:blipFill>
                    <a:blip r:embed="rId16"/>
                    <a:stretch>
                      <a:fillRect/>
                    </a:stretch>
                  </pic:blipFill>
                  <pic:spPr>
                    <a:xfrm>
                      <a:off x="0" y="0"/>
                      <a:ext cx="2048510" cy="409067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rPr>
      </w:pPr>
      <w:r>
        <w:rPr>
          <w:rStyle w:val="6"/>
          <w:rFonts w:hint="eastAsia" w:ascii="仿宋" w:hAnsi="仿宋" w:eastAsia="仿宋" w:cs="仿宋"/>
          <w:kern w:val="0"/>
          <w:sz w:val="32"/>
          <w:szCs w:val="32"/>
          <w:lang w:val="en-US" w:eastAsia="zh-CN" w:bidi="ar"/>
        </w:rPr>
        <w:t>渠道五：楚税通APP</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1.企业业务登录楚税通APP，点击进入【综合信息】，点击【查询】—【涉税专业服务机构（人员）信用查询】，即可查询本机构信用积分。</w:t>
      </w:r>
    </w:p>
    <w:p>
      <w:pPr>
        <w:keepNext w:val="0"/>
        <w:keepLines w:val="0"/>
        <w:widowControl/>
        <w:suppressLineNumbers w:val="0"/>
        <w:jc w:val="center"/>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1833245" cy="3586480"/>
            <wp:effectExtent l="0" t="0" r="14605" b="13970"/>
            <wp:docPr id="11" name="图片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
                    <pic:cNvPicPr>
                      <a:picLocks noChangeAspect="1"/>
                    </pic:cNvPicPr>
                  </pic:nvPicPr>
                  <pic:blipFill>
                    <a:blip r:embed="rId17"/>
                    <a:stretch>
                      <a:fillRect/>
                    </a:stretch>
                  </pic:blipFill>
                  <pic:spPr>
                    <a:xfrm>
                      <a:off x="0" y="0"/>
                      <a:ext cx="1833245" cy="3586480"/>
                    </a:xfrm>
                    <a:prstGeom prst="rect">
                      <a:avLst/>
                    </a:prstGeom>
                  </pic:spPr>
                </pic:pic>
              </a:graphicData>
            </a:graphic>
          </wp:inline>
        </w:drawing>
      </w:r>
    </w:p>
    <w:p>
      <w:pPr>
        <w:keepNext w:val="0"/>
        <w:keepLines w:val="0"/>
        <w:widowControl/>
        <w:suppressLineNumbers w:val="0"/>
        <w:jc w:val="center"/>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2066290" cy="4222750"/>
            <wp:effectExtent l="0" t="0" r="10160" b="6350"/>
            <wp:docPr id="12" name="图片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
                    <pic:cNvPicPr>
                      <a:picLocks noChangeAspect="1"/>
                    </pic:cNvPicPr>
                  </pic:nvPicPr>
                  <pic:blipFill>
                    <a:blip r:embed="rId18"/>
                    <a:stretch>
                      <a:fillRect/>
                    </a:stretch>
                  </pic:blipFill>
                  <pic:spPr>
                    <a:xfrm>
                      <a:off x="0" y="0"/>
                      <a:ext cx="2066290" cy="4222750"/>
                    </a:xfrm>
                    <a:prstGeom prst="rect">
                      <a:avLst/>
                    </a:prstGeom>
                  </pic:spPr>
                </pic:pic>
              </a:graphicData>
            </a:graphic>
          </wp:inline>
        </w:drawing>
      </w:r>
    </w:p>
    <w:p>
      <w:pPr>
        <w:keepNext w:val="0"/>
        <w:keepLines w:val="0"/>
        <w:widowControl/>
        <w:suppressLineNumbers w:val="0"/>
        <w:jc w:val="center"/>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drawing>
          <wp:inline distT="0" distB="0" distL="114300" distR="114300">
            <wp:extent cx="2159000" cy="4222750"/>
            <wp:effectExtent l="0" t="0" r="12700" b="6350"/>
            <wp:docPr id="13" name="图片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
                    <pic:cNvPicPr>
                      <a:picLocks noChangeAspect="1"/>
                    </pic:cNvPicPr>
                  </pic:nvPicPr>
                  <pic:blipFill>
                    <a:blip r:embed="rId19"/>
                    <a:stretch>
                      <a:fillRect/>
                    </a:stretch>
                  </pic:blipFill>
                  <pic:spPr>
                    <a:xfrm>
                      <a:off x="0" y="0"/>
                      <a:ext cx="2159000" cy="42227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rStyle w:val="6"/>
          <w:rFonts w:hint="eastAsia" w:ascii="仿宋" w:hAnsi="仿宋" w:eastAsia="仿宋" w:cs="仿宋"/>
          <w:kern w:val="0"/>
          <w:sz w:val="32"/>
          <w:szCs w:val="32"/>
          <w:lang w:val="en-US" w:eastAsia="zh-CN" w:bidi="ar"/>
        </w:rPr>
      </w:pPr>
      <w:r>
        <w:rPr>
          <w:rStyle w:val="6"/>
          <w:rFonts w:hint="eastAsia" w:ascii="仿宋" w:hAnsi="仿宋" w:eastAsia="仿宋" w:cs="仿宋"/>
          <w:b w:val="0"/>
          <w:bCs/>
          <w:kern w:val="0"/>
          <w:sz w:val="32"/>
          <w:szCs w:val="32"/>
          <w:lang w:val="en-US" w:eastAsia="zh-CN" w:bidi="ar"/>
        </w:rPr>
        <w:t>2.个人业务登录楚税通APP，进入</w:t>
      </w:r>
      <w:r>
        <w:rPr>
          <w:rFonts w:hint="eastAsia" w:ascii="仿宋" w:hAnsi="仿宋" w:eastAsia="仿宋" w:cs="仿宋"/>
          <w:kern w:val="0"/>
          <w:sz w:val="32"/>
          <w:szCs w:val="32"/>
          <w:lang w:val="en-US" w:eastAsia="zh-CN" w:bidi="ar"/>
        </w:rPr>
        <w:t>【</w:t>
      </w:r>
      <w:r>
        <w:rPr>
          <w:rFonts w:hint="eastAsia" w:ascii="仿宋" w:hAnsi="仿宋" w:eastAsia="仿宋" w:cs="仿宋"/>
          <w:b/>
          <w:bCs/>
          <w:kern w:val="0"/>
          <w:sz w:val="32"/>
          <w:szCs w:val="32"/>
          <w:lang w:val="en-US" w:eastAsia="zh-CN" w:bidi="ar"/>
        </w:rPr>
        <w:t>查询中心</w:t>
      </w:r>
      <w:r>
        <w:rPr>
          <w:rFonts w:hint="eastAsia" w:ascii="仿宋" w:hAnsi="仿宋" w:eastAsia="仿宋" w:cs="仿宋"/>
          <w:kern w:val="0"/>
          <w:sz w:val="32"/>
          <w:szCs w:val="32"/>
          <w:lang w:val="en-US" w:eastAsia="zh-CN" w:bidi="ar"/>
        </w:rPr>
        <w:t>】，点击【</w:t>
      </w:r>
      <w:r>
        <w:rPr>
          <w:rFonts w:hint="eastAsia" w:ascii="仿宋" w:hAnsi="仿宋" w:eastAsia="仿宋" w:cs="仿宋"/>
          <w:b/>
          <w:bCs/>
          <w:kern w:val="0"/>
          <w:sz w:val="32"/>
          <w:szCs w:val="32"/>
          <w:lang w:val="en-US" w:eastAsia="zh-CN" w:bidi="ar"/>
        </w:rPr>
        <w:t>公众</w:t>
      </w:r>
      <w:r>
        <w:rPr>
          <w:rFonts w:hint="eastAsia" w:ascii="仿宋" w:hAnsi="仿宋" w:eastAsia="仿宋" w:cs="仿宋"/>
          <w:kern w:val="0"/>
          <w:sz w:val="32"/>
          <w:szCs w:val="32"/>
          <w:lang w:val="en-US" w:eastAsia="zh-CN" w:bidi="ar"/>
        </w:rPr>
        <w:t>】—【涉税专业服务机构信息公告和查询】，即可进入查询页面。</w:t>
      </w:r>
    </w:p>
    <w:p>
      <w:pPr>
        <w:keepNext w:val="0"/>
        <w:keepLines w:val="0"/>
        <w:widowControl/>
        <w:suppressLineNumbers w:val="0"/>
        <w:jc w:val="center"/>
      </w:pPr>
      <w:r>
        <w:drawing>
          <wp:inline distT="0" distB="0" distL="114300" distR="114300">
            <wp:extent cx="1918970" cy="3789045"/>
            <wp:effectExtent l="0" t="0" r="508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1918970" cy="3789045"/>
                    </a:xfrm>
                    <a:prstGeom prst="rect">
                      <a:avLst/>
                    </a:prstGeom>
                    <a:noFill/>
                    <a:ln>
                      <a:noFill/>
                    </a:ln>
                  </pic:spPr>
                </pic:pic>
              </a:graphicData>
            </a:graphic>
          </wp:inline>
        </w:drawing>
      </w:r>
    </w:p>
    <w:p>
      <w:pPr>
        <w:keepNext w:val="0"/>
        <w:keepLines w:val="0"/>
        <w:widowControl/>
        <w:suppressLineNumbers w:val="0"/>
        <w:jc w:val="center"/>
        <w:rPr>
          <w:lang w:val="en-US" w:eastAsia="zh-CN"/>
        </w:rPr>
      </w:pPr>
      <w:r>
        <w:rPr>
          <w:lang w:val="en-US" w:eastAsia="zh-CN"/>
        </w:rPr>
        <w:drawing>
          <wp:inline distT="0" distB="0" distL="114300" distR="114300">
            <wp:extent cx="2299335" cy="3790950"/>
            <wp:effectExtent l="0" t="0" r="5715" b="0"/>
            <wp:docPr id="15" name="图片 1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
                    <pic:cNvPicPr>
                      <a:picLocks noChangeAspect="1"/>
                    </pic:cNvPicPr>
                  </pic:nvPicPr>
                  <pic:blipFill>
                    <a:blip r:embed="rId21"/>
                    <a:stretch>
                      <a:fillRect/>
                    </a:stretch>
                  </pic:blipFill>
                  <pic:spPr>
                    <a:xfrm>
                      <a:off x="0" y="0"/>
                      <a:ext cx="2299335" cy="3790950"/>
                    </a:xfrm>
                    <a:prstGeom prst="rect">
                      <a:avLst/>
                    </a:prstGeom>
                  </pic:spPr>
                </pic:pic>
              </a:graphicData>
            </a:graphic>
          </wp:inline>
        </w:drawing>
      </w:r>
    </w:p>
    <w:p>
      <w:pPr>
        <w:keepNext w:val="0"/>
        <w:keepLines w:val="0"/>
        <w:widowControl/>
        <w:suppressLineNumbers w:val="0"/>
        <w:jc w:val="left"/>
        <w:rPr>
          <w:rStyle w:val="6"/>
          <w:rFonts w:hint="eastAsia" w:ascii="仿宋" w:hAnsi="仿宋" w:eastAsia="仿宋" w:cs="仿宋"/>
          <w:kern w:val="0"/>
          <w:sz w:val="32"/>
          <w:szCs w:val="32"/>
          <w:lang w:val="en-US" w:eastAsia="zh-CN" w:bidi="ar"/>
        </w:rPr>
      </w:pPr>
    </w:p>
    <w:p>
      <w:pPr>
        <w:keepNext w:val="0"/>
        <w:keepLines w:val="0"/>
        <w:widowControl/>
        <w:suppressLineNumbers w:val="0"/>
        <w:jc w:val="left"/>
        <w:rPr>
          <w:rStyle w:val="6"/>
          <w:rFonts w:hint="eastAsia" w:ascii="仿宋" w:hAnsi="仿宋" w:eastAsia="仿宋" w:cs="仿宋"/>
          <w:kern w:val="0"/>
          <w:sz w:val="32"/>
          <w:szCs w:val="32"/>
          <w:lang w:val="en-US" w:eastAsia="zh-CN" w:bidi="ar"/>
        </w:rPr>
      </w:pPr>
      <w:r>
        <w:rPr>
          <w:rStyle w:val="6"/>
          <w:rFonts w:hint="eastAsia" w:ascii="仿宋" w:hAnsi="仿宋" w:eastAsia="仿宋" w:cs="仿宋"/>
          <w:kern w:val="0"/>
          <w:sz w:val="32"/>
          <w:szCs w:val="32"/>
          <w:lang w:val="en-US" w:eastAsia="zh-CN" w:bidi="ar"/>
        </w:rPr>
        <w:t>渠道六：办税服务厅</w:t>
      </w:r>
    </w:p>
    <w:p>
      <w:pPr>
        <w:keepNext w:val="0"/>
        <w:keepLines w:val="0"/>
        <w:widowControl/>
        <w:suppressLineNumbers w:val="0"/>
        <w:jc w:val="left"/>
        <w:rPr>
          <w:rFonts w:hint="eastAsia" w:ascii="仿宋" w:hAnsi="仿宋" w:eastAsia="仿宋" w:cs="仿宋"/>
          <w:sz w:val="32"/>
          <w:szCs w:val="32"/>
        </w:rPr>
      </w:pPr>
      <w:r>
        <w:rPr>
          <w:rFonts w:hint="eastAsia" w:ascii="仿宋" w:hAnsi="仿宋" w:eastAsia="仿宋" w:cs="仿宋"/>
          <w:kern w:val="0"/>
          <w:sz w:val="32"/>
          <w:szCs w:val="32"/>
          <w:lang w:val="en-US" w:eastAsia="zh-CN" w:bidi="ar"/>
        </w:rPr>
        <w:t>国家税务总局荆州市税务局各级税务机关办税服务厅的公告栏或电子屏，会公告纳入实名制管理的涉税专业服务机构信息。您可以线下前往办税服务厅查询。</w:t>
      </w:r>
    </w:p>
    <w:p>
      <w:pPr>
        <w:keepNext w:val="0"/>
        <w:keepLines w:val="0"/>
        <w:widowControl/>
        <w:suppressLineNumbers w:val="0"/>
        <w:jc w:val="left"/>
        <w:rPr>
          <w:rStyle w:val="6"/>
          <w:rFonts w:ascii="宋体" w:hAnsi="宋体" w:eastAsia="宋体" w:cs="宋体"/>
          <w:kern w:val="0"/>
          <w:sz w:val="24"/>
          <w:szCs w:val="24"/>
          <w:lang w:val="en-US" w:eastAsia="zh-CN" w:bidi="ar"/>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A7F6ED"/>
    <w:multiLevelType w:val="singleLevel"/>
    <w:tmpl w:val="4EA7F6E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jNjBmMzZjYmFmYzdmNThkMGM4MTVmODdhMTBiMGEifQ=="/>
    <w:docVar w:name="KSO_WPS_MARK_KEY" w:val="6201db0e-01b2-4b92-9752-2e88b13b6a21"/>
  </w:docVars>
  <w:rsids>
    <w:rsidRoot w:val="00000000"/>
    <w:rsid w:val="15477D09"/>
    <w:rsid w:val="1B662CFD"/>
    <w:rsid w:val="3A310C2A"/>
    <w:rsid w:val="50681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732</Words>
  <Characters>753</Characters>
  <Lines>0</Lines>
  <Paragraphs>0</Paragraphs>
  <TotalTime>53</TotalTime>
  <ScaleCrop>false</ScaleCrop>
  <LinksUpToDate>false</LinksUpToDate>
  <CharactersWithSpaces>777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2024-10-16T01:44:00Z</dcterms:created>
  <dc:creator>Administrator</dc:creator>
  <cp:lastModifiedBy>蔡冰月</cp:lastModifiedBy>
  <dcterms:modified xsi:type="dcterms:W3CDTF">2024-10-21T02:27:43Z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49C44DEC7ED54B13A463147380BF62AA_13</vt:lpwstr>
  </property>
</Properties>
</file>