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信用积分查询路径：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常用路径</w:t>
      </w:r>
      <w:r>
        <w:rPr>
          <w:rFonts w:hint="eastAsia"/>
          <w:lang w:val="en-US" w:eastAsia="zh-CN"/>
        </w:rPr>
        <w:t>1：国家税务总局官网-纳税服务-涉税服务机构；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常用路径2：国家税务总局湖北省税务局官网-我要查询-涉税专业服务机构（人员）信用信息查询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线下工作时间查询：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窗口查询：全州办税服务厅所有办税窗口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电话查询：恩施市：0718-8212366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利川市：0718-7252222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建始县：0718-3228528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巴东县：0718-4223471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来凤县：0718-6285493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咸丰县：0718-6891163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宣恩县：0718-5712366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鹤峰县：0718-5312366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D59CE"/>
    <w:rsid w:val="4EC8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2024-10-21T01:36:00Z</dcterms:created>
  <dc:creator>admin</dc:creator>
  <cp:lastModifiedBy>谭潇</cp:lastModifiedBy>
  <dcterms:modified xsi:type="dcterms:W3CDTF">2024-10-21T01:50:47Z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